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604A5">
      <w:pPr>
        <w:rPr>
          <w:rFonts w:eastAsia="仿宋_GB2312"/>
          <w:color w:val="auto"/>
          <w:sz w:val="36"/>
          <w:szCs w:val="36"/>
        </w:rPr>
      </w:pPr>
      <w:bookmarkStart w:id="0" w:name="_top"/>
      <w:bookmarkEnd w:id="0"/>
      <w:r>
        <w:rPr>
          <w:rFonts w:eastAsia="仿宋_GB2312"/>
          <w:color w:val="auto"/>
          <w:sz w:val="36"/>
          <w:szCs w:val="36"/>
        </w:rPr>
        <w:drawing>
          <wp:anchor distT="0" distB="0" distL="114300" distR="114300" simplePos="0" relativeHeight="251659264" behindDoc="1" locked="0" layoutInCell="1" allowOverlap="0">
            <wp:simplePos x="0" y="0"/>
            <wp:positionH relativeFrom="column">
              <wp:posOffset>-118745</wp:posOffset>
            </wp:positionH>
            <wp:positionV relativeFrom="page">
              <wp:posOffset>1104900</wp:posOffset>
            </wp:positionV>
            <wp:extent cx="1031875" cy="592455"/>
            <wp:effectExtent l="0" t="0" r="0" b="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8"/>
                    <a:stretch>
                      <a:fillRect/>
                    </a:stretch>
                  </pic:blipFill>
                  <pic:spPr>
                    <a:xfrm>
                      <a:off x="0" y="0"/>
                      <a:ext cx="1031875" cy="592455"/>
                    </a:xfrm>
                    <a:prstGeom prst="rect">
                      <a:avLst/>
                    </a:prstGeom>
                    <a:noFill/>
                    <a:ln>
                      <a:noFill/>
                    </a:ln>
                  </pic:spPr>
                </pic:pic>
              </a:graphicData>
            </a:graphic>
          </wp:anchor>
        </w:drawing>
      </w:r>
    </w:p>
    <w:p w14:paraId="083CEFA8">
      <w:pPr>
        <w:rPr>
          <w:rFonts w:eastAsia="仿宋_GB2312"/>
          <w:color w:val="auto"/>
          <w:sz w:val="36"/>
          <w:szCs w:val="36"/>
        </w:rPr>
      </w:pPr>
    </w:p>
    <w:p w14:paraId="24C2BEF9">
      <w:pPr>
        <w:rPr>
          <w:rFonts w:eastAsia="仿宋_GB2312"/>
          <w:color w:val="auto"/>
          <w:sz w:val="36"/>
          <w:szCs w:val="36"/>
        </w:rPr>
      </w:pPr>
    </w:p>
    <w:p w14:paraId="5E25201C">
      <w:pPr>
        <w:rPr>
          <w:rFonts w:eastAsia="仿宋_GB2312"/>
          <w:color w:val="auto"/>
          <w:sz w:val="36"/>
          <w:szCs w:val="36"/>
        </w:rPr>
      </w:pPr>
    </w:p>
    <w:p w14:paraId="514DC137">
      <w:pPr>
        <w:rPr>
          <w:rFonts w:eastAsia="仿宋_GB2312"/>
          <w:color w:val="auto"/>
          <w:sz w:val="36"/>
          <w:szCs w:val="36"/>
        </w:rPr>
      </w:pPr>
    </w:p>
    <w:p w14:paraId="2EFA3C2A">
      <w:pPr>
        <w:jc w:val="center"/>
        <w:rPr>
          <w:b/>
          <w:bCs/>
          <w:color w:val="auto"/>
          <w:sz w:val="72"/>
          <w:szCs w:val="72"/>
        </w:rPr>
      </w:pPr>
      <w:r>
        <w:rPr>
          <w:b/>
          <w:bCs/>
          <w:color w:val="auto"/>
          <w:sz w:val="72"/>
          <w:szCs w:val="72"/>
        </w:rPr>
        <w:t>建设项目环境影响报告表</w:t>
      </w:r>
    </w:p>
    <w:p w14:paraId="50E2E149">
      <w:pPr>
        <w:adjustRightInd w:val="0"/>
        <w:snapToGrid w:val="0"/>
        <w:spacing w:before="192" w:beforeLines="80" w:after="2640" w:afterLines="1100" w:line="360" w:lineRule="auto"/>
        <w:jc w:val="center"/>
        <w:rPr>
          <w:rFonts w:eastAsia="楷体_GB2312"/>
          <w:bCs/>
          <w:color w:val="auto"/>
          <w:sz w:val="48"/>
          <w:szCs w:val="48"/>
        </w:rPr>
      </w:pPr>
      <w:r>
        <w:rPr>
          <w:rFonts w:eastAsia="楷体_GB2312"/>
          <w:bCs/>
          <w:color w:val="auto"/>
          <w:sz w:val="48"/>
          <w:szCs w:val="48"/>
        </w:rPr>
        <w:t>（污染影响类）</w:t>
      </w:r>
    </w:p>
    <w:tbl>
      <w:tblPr>
        <w:tblStyle w:val="88"/>
        <w:tblW w:w="0" w:type="auto"/>
        <w:jc w:val="center"/>
        <w:tblLayout w:type="fixed"/>
        <w:tblCellMar>
          <w:top w:w="0" w:type="dxa"/>
          <w:left w:w="108" w:type="dxa"/>
          <w:bottom w:w="0" w:type="dxa"/>
          <w:right w:w="108" w:type="dxa"/>
        </w:tblCellMar>
      </w:tblPr>
      <w:tblGrid>
        <w:gridCol w:w="2301"/>
        <w:gridCol w:w="5956"/>
      </w:tblGrid>
      <w:tr w14:paraId="62AC5E4E">
        <w:tblPrEx>
          <w:tblCellMar>
            <w:top w:w="0" w:type="dxa"/>
            <w:left w:w="108" w:type="dxa"/>
            <w:bottom w:w="0" w:type="dxa"/>
            <w:right w:w="108" w:type="dxa"/>
          </w:tblCellMar>
        </w:tblPrEx>
        <w:trPr>
          <w:trHeight w:val="567" w:hRule="atLeast"/>
          <w:jc w:val="center"/>
        </w:trPr>
        <w:tc>
          <w:tcPr>
            <w:tcW w:w="2301" w:type="dxa"/>
            <w:tcBorders>
              <w:right w:val="nil"/>
            </w:tcBorders>
            <w:vAlign w:val="center"/>
          </w:tcPr>
          <w:p w14:paraId="2AE9990B">
            <w:pPr>
              <w:adjustRightInd w:val="0"/>
              <w:snapToGrid w:val="0"/>
              <w:rPr>
                <w:bCs/>
                <w:color w:val="auto"/>
                <w:spacing w:val="60"/>
                <w:sz w:val="32"/>
                <w:szCs w:val="32"/>
              </w:rPr>
            </w:pPr>
            <w:r>
              <w:rPr>
                <w:bCs/>
                <w:color w:val="auto"/>
                <w:spacing w:val="60"/>
                <w:w w:val="80"/>
                <w:sz w:val="36"/>
                <w:szCs w:val="36"/>
              </w:rPr>
              <w:t>项目名称：</w:t>
            </w:r>
          </w:p>
        </w:tc>
        <w:tc>
          <w:tcPr>
            <w:tcW w:w="5956" w:type="dxa"/>
            <w:tcBorders>
              <w:top w:val="nil"/>
              <w:left w:val="nil"/>
              <w:bottom w:val="single" w:color="auto" w:sz="4" w:space="0"/>
              <w:right w:val="nil"/>
            </w:tcBorders>
            <w:vAlign w:val="center"/>
          </w:tcPr>
          <w:p w14:paraId="5EA10792">
            <w:pPr>
              <w:adjustRightInd w:val="0"/>
              <w:snapToGrid w:val="0"/>
              <w:jc w:val="center"/>
              <w:rPr>
                <w:bCs/>
                <w:color w:val="auto"/>
                <w:kern w:val="0"/>
                <w:sz w:val="36"/>
                <w:szCs w:val="36"/>
              </w:rPr>
            </w:pPr>
            <w:r>
              <w:rPr>
                <w:bCs/>
                <w:color w:val="auto"/>
                <w:spacing w:val="1"/>
                <w:w w:val="63"/>
                <w:kern w:val="0"/>
                <w:sz w:val="36"/>
                <w:szCs w:val="36"/>
                <w:fitText w:val="5552" w:id="-1814810367"/>
              </w:rPr>
              <w:t>裕达新材料年产</w:t>
            </w:r>
            <w:r>
              <w:rPr>
                <w:rFonts w:hint="eastAsia"/>
                <w:bCs/>
                <w:color w:val="auto"/>
                <w:spacing w:val="1"/>
                <w:w w:val="63"/>
                <w:kern w:val="0"/>
                <w:sz w:val="36"/>
                <w:szCs w:val="36"/>
                <w:fitText w:val="5552" w:id="-1814810367"/>
                <w:lang w:val="en-US" w:eastAsia="zh-CN"/>
              </w:rPr>
              <w:t>10</w:t>
            </w:r>
            <w:r>
              <w:rPr>
                <w:bCs/>
                <w:color w:val="auto"/>
                <w:spacing w:val="1"/>
                <w:w w:val="63"/>
                <w:kern w:val="0"/>
                <w:sz w:val="36"/>
                <w:szCs w:val="36"/>
                <w:fitText w:val="5552" w:id="-1814810367"/>
              </w:rPr>
              <w:t>万套木塑门、</w:t>
            </w:r>
            <w:r>
              <w:rPr>
                <w:rFonts w:hint="eastAsia"/>
                <w:bCs/>
                <w:color w:val="auto"/>
                <w:spacing w:val="1"/>
                <w:w w:val="63"/>
                <w:kern w:val="0"/>
                <w:sz w:val="36"/>
                <w:szCs w:val="36"/>
                <w:fitText w:val="5552" w:id="-1814810367"/>
                <w:lang w:val="en-US" w:eastAsia="zh-CN"/>
              </w:rPr>
              <w:t>200</w:t>
            </w:r>
            <w:r>
              <w:rPr>
                <w:bCs/>
                <w:color w:val="auto"/>
                <w:spacing w:val="1"/>
                <w:w w:val="63"/>
                <w:kern w:val="0"/>
                <w:sz w:val="36"/>
                <w:szCs w:val="36"/>
                <w:fitText w:val="5552" w:id="-1814810367"/>
              </w:rPr>
              <w:t>万米木塑线条项</w:t>
            </w:r>
            <w:r>
              <w:rPr>
                <w:bCs/>
                <w:color w:val="auto"/>
                <w:spacing w:val="21"/>
                <w:w w:val="63"/>
                <w:kern w:val="0"/>
                <w:sz w:val="36"/>
                <w:szCs w:val="36"/>
                <w:fitText w:val="5552" w:id="-1814810367"/>
              </w:rPr>
              <w:t>目</w:t>
            </w:r>
          </w:p>
        </w:tc>
      </w:tr>
      <w:tr w14:paraId="31C38319">
        <w:tblPrEx>
          <w:tblCellMar>
            <w:top w:w="0" w:type="dxa"/>
            <w:left w:w="108" w:type="dxa"/>
            <w:bottom w:w="0" w:type="dxa"/>
            <w:right w:w="108" w:type="dxa"/>
          </w:tblCellMar>
        </w:tblPrEx>
        <w:trPr>
          <w:trHeight w:val="567" w:hRule="atLeast"/>
          <w:jc w:val="center"/>
        </w:trPr>
        <w:tc>
          <w:tcPr>
            <w:tcW w:w="2301" w:type="dxa"/>
            <w:tcBorders>
              <w:right w:val="nil"/>
            </w:tcBorders>
            <w:vAlign w:val="center"/>
          </w:tcPr>
          <w:p w14:paraId="09AAB041">
            <w:pPr>
              <w:adjustRightInd w:val="0"/>
              <w:rPr>
                <w:bCs/>
                <w:color w:val="auto"/>
                <w:spacing w:val="-28"/>
                <w:sz w:val="32"/>
                <w:szCs w:val="32"/>
              </w:rPr>
            </w:pPr>
            <w:r>
              <w:rPr>
                <w:bCs/>
                <w:color w:val="auto"/>
                <w:spacing w:val="-28"/>
                <w:w w:val="80"/>
                <w:sz w:val="36"/>
                <w:szCs w:val="36"/>
              </w:rPr>
              <w:t>建设单位（盖章）：</w:t>
            </w:r>
          </w:p>
        </w:tc>
        <w:tc>
          <w:tcPr>
            <w:tcW w:w="5956" w:type="dxa"/>
            <w:tcBorders>
              <w:top w:val="single" w:color="auto" w:sz="4" w:space="0"/>
              <w:left w:val="nil"/>
              <w:bottom w:val="single" w:color="auto" w:sz="4" w:space="0"/>
              <w:right w:val="nil"/>
            </w:tcBorders>
            <w:vAlign w:val="center"/>
          </w:tcPr>
          <w:p w14:paraId="74385FE3">
            <w:pPr>
              <w:adjustRightInd w:val="0"/>
              <w:snapToGrid w:val="0"/>
              <w:jc w:val="center"/>
              <w:rPr>
                <w:bCs/>
                <w:color w:val="auto"/>
                <w:spacing w:val="-28"/>
                <w:kern w:val="0"/>
                <w:sz w:val="36"/>
                <w:szCs w:val="36"/>
              </w:rPr>
            </w:pPr>
            <w:r>
              <w:rPr>
                <w:bCs/>
                <w:color w:val="auto"/>
                <w:spacing w:val="36"/>
                <w:kern w:val="0"/>
                <w:sz w:val="36"/>
                <w:szCs w:val="36"/>
                <w:fitText w:val="5552" w:id="-1814810367"/>
              </w:rPr>
              <w:t>湖州裕达新材料科技有限公</w:t>
            </w:r>
            <w:r>
              <w:rPr>
                <w:bCs/>
                <w:color w:val="auto"/>
                <w:spacing w:val="4"/>
                <w:kern w:val="0"/>
                <w:sz w:val="36"/>
                <w:szCs w:val="36"/>
                <w:fitText w:val="5552" w:id="-1814810367"/>
              </w:rPr>
              <w:t>司</w:t>
            </w:r>
          </w:p>
        </w:tc>
      </w:tr>
      <w:tr w14:paraId="7A4B3159">
        <w:tblPrEx>
          <w:tblCellMar>
            <w:top w:w="0" w:type="dxa"/>
            <w:left w:w="108" w:type="dxa"/>
            <w:bottom w:w="0" w:type="dxa"/>
            <w:right w:w="108" w:type="dxa"/>
          </w:tblCellMar>
        </w:tblPrEx>
        <w:trPr>
          <w:trHeight w:val="567" w:hRule="atLeast"/>
          <w:jc w:val="center"/>
        </w:trPr>
        <w:tc>
          <w:tcPr>
            <w:tcW w:w="2301" w:type="dxa"/>
            <w:tcBorders>
              <w:bottom w:val="nil"/>
              <w:right w:val="nil"/>
            </w:tcBorders>
            <w:vAlign w:val="center"/>
          </w:tcPr>
          <w:p w14:paraId="348924D5">
            <w:pPr>
              <w:adjustRightInd w:val="0"/>
              <w:snapToGrid w:val="0"/>
              <w:rPr>
                <w:bCs/>
                <w:color w:val="auto"/>
                <w:spacing w:val="-28"/>
                <w:w w:val="90"/>
                <w:sz w:val="32"/>
                <w:szCs w:val="32"/>
              </w:rPr>
            </w:pPr>
            <w:r>
              <w:rPr>
                <w:bCs/>
                <w:color w:val="auto"/>
                <w:spacing w:val="60"/>
                <w:w w:val="80"/>
                <w:sz w:val="36"/>
                <w:szCs w:val="36"/>
              </w:rPr>
              <w:t>编制日期：</w:t>
            </w:r>
          </w:p>
        </w:tc>
        <w:tc>
          <w:tcPr>
            <w:tcW w:w="5956" w:type="dxa"/>
            <w:tcBorders>
              <w:top w:val="single" w:color="auto" w:sz="4" w:space="0"/>
              <w:left w:val="nil"/>
              <w:bottom w:val="single" w:color="auto" w:sz="4" w:space="0"/>
              <w:right w:val="nil"/>
            </w:tcBorders>
            <w:vAlign w:val="center"/>
          </w:tcPr>
          <w:p w14:paraId="0C56D58D">
            <w:pPr>
              <w:adjustRightInd w:val="0"/>
              <w:snapToGrid w:val="0"/>
              <w:jc w:val="center"/>
              <w:textAlignment w:val="center"/>
              <w:rPr>
                <w:bCs/>
                <w:color w:val="auto"/>
                <w:spacing w:val="56"/>
                <w:kern w:val="0"/>
                <w:sz w:val="36"/>
                <w:szCs w:val="36"/>
              </w:rPr>
            </w:pPr>
            <w:r>
              <w:rPr>
                <w:bCs/>
                <w:color w:val="auto"/>
                <w:spacing w:val="56"/>
                <w:kern w:val="0"/>
                <w:sz w:val="36"/>
                <w:szCs w:val="36"/>
              </w:rPr>
              <w:t>202</w:t>
            </w:r>
            <w:r>
              <w:rPr>
                <w:rFonts w:hint="eastAsia"/>
                <w:bCs/>
                <w:color w:val="auto"/>
                <w:spacing w:val="56"/>
                <w:kern w:val="0"/>
                <w:sz w:val="36"/>
                <w:szCs w:val="36"/>
                <w:lang w:val="en-US" w:eastAsia="zh-CN"/>
              </w:rPr>
              <w:t>6</w:t>
            </w:r>
            <w:r>
              <w:rPr>
                <w:bCs/>
                <w:color w:val="auto"/>
                <w:spacing w:val="56"/>
                <w:kern w:val="0"/>
                <w:sz w:val="36"/>
                <w:szCs w:val="36"/>
              </w:rPr>
              <w:t>年</w:t>
            </w:r>
            <w:r>
              <w:rPr>
                <w:rFonts w:hint="eastAsia"/>
                <w:bCs/>
                <w:color w:val="auto"/>
                <w:spacing w:val="56"/>
                <w:kern w:val="0"/>
                <w:sz w:val="36"/>
                <w:szCs w:val="36"/>
                <w:lang w:val="en-US" w:eastAsia="zh-CN"/>
              </w:rPr>
              <w:t>5</w:t>
            </w:r>
            <w:r>
              <w:rPr>
                <w:bCs/>
                <w:color w:val="auto"/>
                <w:spacing w:val="56"/>
                <w:kern w:val="0"/>
                <w:sz w:val="36"/>
                <w:szCs w:val="36"/>
              </w:rPr>
              <w:t>月</w:t>
            </w:r>
          </w:p>
        </w:tc>
      </w:tr>
      <w:tr w14:paraId="62D7F456">
        <w:tblPrEx>
          <w:tblCellMar>
            <w:top w:w="0" w:type="dxa"/>
            <w:left w:w="108" w:type="dxa"/>
            <w:bottom w:w="0" w:type="dxa"/>
            <w:right w:w="108" w:type="dxa"/>
          </w:tblCellMar>
        </w:tblPrEx>
        <w:trPr>
          <w:trHeight w:val="567" w:hRule="atLeast"/>
          <w:jc w:val="center"/>
        </w:trPr>
        <w:tc>
          <w:tcPr>
            <w:tcW w:w="2301" w:type="dxa"/>
            <w:tcBorders>
              <w:top w:val="nil"/>
              <w:left w:val="nil"/>
              <w:bottom w:val="nil"/>
              <w:right w:val="nil"/>
            </w:tcBorders>
            <w:vAlign w:val="center"/>
          </w:tcPr>
          <w:p w14:paraId="31B12D34">
            <w:pPr>
              <w:adjustRightInd w:val="0"/>
              <w:snapToGrid w:val="0"/>
              <w:rPr>
                <w:bCs/>
                <w:color w:val="auto"/>
                <w:spacing w:val="60"/>
                <w:sz w:val="36"/>
                <w:szCs w:val="36"/>
              </w:rPr>
            </w:pPr>
            <w:bookmarkStart w:id="1" w:name="_Hlk57884087"/>
          </w:p>
        </w:tc>
        <w:tc>
          <w:tcPr>
            <w:tcW w:w="5956" w:type="dxa"/>
            <w:tcBorders>
              <w:top w:val="single" w:color="auto" w:sz="4" w:space="0"/>
              <w:left w:val="nil"/>
              <w:bottom w:val="nil"/>
              <w:right w:val="nil"/>
            </w:tcBorders>
            <w:vAlign w:val="center"/>
          </w:tcPr>
          <w:p w14:paraId="751FDFC1">
            <w:pPr>
              <w:adjustRightInd w:val="0"/>
              <w:snapToGrid w:val="0"/>
              <w:jc w:val="center"/>
              <w:textAlignment w:val="center"/>
              <w:rPr>
                <w:bCs/>
                <w:color w:val="auto"/>
                <w:spacing w:val="56"/>
                <w:kern w:val="0"/>
                <w:sz w:val="36"/>
                <w:szCs w:val="36"/>
              </w:rPr>
            </w:pPr>
          </w:p>
        </w:tc>
      </w:tr>
      <w:bookmarkEnd w:id="1"/>
    </w:tbl>
    <w:p w14:paraId="11C55F96">
      <w:pPr>
        <w:adjustRightInd w:val="0"/>
        <w:snapToGrid w:val="0"/>
        <w:spacing w:before="2640" w:beforeLines="1100" w:line="360" w:lineRule="auto"/>
        <w:jc w:val="center"/>
        <w:rPr>
          <w:b/>
          <w:bCs/>
          <w:color w:val="auto"/>
          <w:sz w:val="44"/>
          <w:szCs w:val="44"/>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eastAsia="楷体_GB2312"/>
          <w:color w:val="auto"/>
          <w:sz w:val="36"/>
          <w:szCs w:val="36"/>
        </w:rPr>
        <w:t>中华人民共和国生态环境部制</w:t>
      </w:r>
    </w:p>
    <w:p w14:paraId="5BF0B6E3">
      <w:pPr>
        <w:pStyle w:val="119"/>
        <w:snapToGrid w:val="0"/>
        <w:spacing w:before="0" w:line="300" w:lineRule="auto"/>
        <w:ind w:firstLine="442"/>
        <w:rPr>
          <w:rFonts w:ascii="Times New Roman"/>
          <w:b/>
          <w:bCs/>
          <w:color w:val="auto"/>
          <w:sz w:val="44"/>
          <w:szCs w:val="44"/>
        </w:rPr>
      </w:pPr>
      <w:r>
        <w:rPr>
          <w:rFonts w:ascii="Times New Roman"/>
          <w:b/>
          <w:bCs/>
          <w:color w:val="auto"/>
          <w:sz w:val="44"/>
          <w:szCs w:val="44"/>
        </w:rPr>
        <w:t>目录</w:t>
      </w:r>
    </w:p>
    <w:p w14:paraId="3CA5018D">
      <w:pPr>
        <w:pStyle w:val="47"/>
        <w:rPr>
          <w:rFonts w:eastAsia="黑体"/>
          <w:color w:val="auto"/>
          <w:sz w:val="28"/>
          <w:szCs w:val="28"/>
        </w:rPr>
      </w:pPr>
      <w:r>
        <w:rPr>
          <w:rStyle w:val="96"/>
          <w:rFonts w:eastAsia="黑体"/>
          <w:color w:val="auto"/>
          <w:sz w:val="28"/>
          <w:szCs w:val="28"/>
        </w:rPr>
        <w:fldChar w:fldCharType="begin"/>
      </w:r>
      <w:r>
        <w:rPr>
          <w:rStyle w:val="96"/>
          <w:rFonts w:eastAsia="黑体"/>
          <w:color w:val="auto"/>
          <w:sz w:val="28"/>
          <w:szCs w:val="28"/>
        </w:rPr>
        <w:instrText xml:space="preserve"> TOC \o "1-3" \h \z \u </w:instrText>
      </w:r>
      <w:r>
        <w:rPr>
          <w:rStyle w:val="96"/>
          <w:rFonts w:eastAsia="黑体"/>
          <w:color w:val="auto"/>
          <w:sz w:val="28"/>
          <w:szCs w:val="28"/>
        </w:rPr>
        <w:fldChar w:fldCharType="separate"/>
      </w:r>
      <w:r>
        <w:rPr>
          <w:color w:val="auto"/>
        </w:rPr>
        <w:fldChar w:fldCharType="begin"/>
      </w:r>
      <w:r>
        <w:rPr>
          <w:color w:val="auto"/>
        </w:rPr>
        <w:instrText xml:space="preserve"> HYPERLINK \l "_Toc67930370" </w:instrText>
      </w:r>
      <w:r>
        <w:rPr>
          <w:color w:val="auto"/>
        </w:rPr>
        <w:fldChar w:fldCharType="separate"/>
      </w:r>
      <w:r>
        <w:rPr>
          <w:rStyle w:val="96"/>
          <w:rFonts w:eastAsia="黑体"/>
          <w:snapToGrid w:val="0"/>
          <w:color w:val="auto"/>
          <w:sz w:val="28"/>
          <w:szCs w:val="28"/>
        </w:rPr>
        <w:t>一、建设项目基本情况</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_Toc67930370 \h </w:instrText>
      </w:r>
      <w:r>
        <w:rPr>
          <w:rFonts w:eastAsia="黑体"/>
          <w:color w:val="auto"/>
          <w:sz w:val="28"/>
          <w:szCs w:val="28"/>
        </w:rPr>
        <w:fldChar w:fldCharType="separate"/>
      </w:r>
      <w:r>
        <w:rPr>
          <w:rFonts w:eastAsia="黑体"/>
          <w:color w:val="auto"/>
          <w:sz w:val="28"/>
          <w:szCs w:val="28"/>
        </w:rPr>
        <w:t>1</w:t>
      </w:r>
      <w:r>
        <w:rPr>
          <w:rFonts w:eastAsia="黑体"/>
          <w:color w:val="auto"/>
          <w:sz w:val="28"/>
          <w:szCs w:val="28"/>
        </w:rPr>
        <w:fldChar w:fldCharType="end"/>
      </w:r>
      <w:r>
        <w:rPr>
          <w:rFonts w:eastAsia="黑体"/>
          <w:color w:val="auto"/>
          <w:sz w:val="28"/>
          <w:szCs w:val="28"/>
        </w:rPr>
        <w:fldChar w:fldCharType="end"/>
      </w:r>
    </w:p>
    <w:p w14:paraId="213944F5">
      <w:pPr>
        <w:pStyle w:val="47"/>
        <w:rPr>
          <w:rFonts w:eastAsia="黑体"/>
          <w:color w:val="auto"/>
          <w:sz w:val="28"/>
          <w:szCs w:val="28"/>
        </w:rPr>
      </w:pPr>
      <w:r>
        <w:rPr>
          <w:color w:val="auto"/>
        </w:rPr>
        <w:fldChar w:fldCharType="begin"/>
      </w:r>
      <w:r>
        <w:rPr>
          <w:color w:val="auto"/>
        </w:rPr>
        <w:instrText xml:space="preserve"> HYPERLINK \l "_Toc67930371" </w:instrText>
      </w:r>
      <w:r>
        <w:rPr>
          <w:color w:val="auto"/>
        </w:rPr>
        <w:fldChar w:fldCharType="separate"/>
      </w:r>
      <w:r>
        <w:rPr>
          <w:rStyle w:val="96"/>
          <w:rFonts w:eastAsia="黑体"/>
          <w:snapToGrid w:val="0"/>
          <w:color w:val="auto"/>
          <w:sz w:val="28"/>
          <w:szCs w:val="28"/>
        </w:rPr>
        <w:t>二、建设项目工程分析</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_Toc67930371 \h </w:instrText>
      </w:r>
      <w:r>
        <w:rPr>
          <w:rFonts w:eastAsia="黑体"/>
          <w:color w:val="auto"/>
          <w:sz w:val="28"/>
          <w:szCs w:val="28"/>
        </w:rPr>
        <w:fldChar w:fldCharType="separate"/>
      </w:r>
      <w:r>
        <w:rPr>
          <w:rFonts w:eastAsia="黑体"/>
          <w:color w:val="auto"/>
          <w:sz w:val="28"/>
          <w:szCs w:val="28"/>
        </w:rPr>
        <w:t>33</w:t>
      </w:r>
      <w:r>
        <w:rPr>
          <w:rFonts w:eastAsia="黑体"/>
          <w:color w:val="auto"/>
          <w:sz w:val="28"/>
          <w:szCs w:val="28"/>
        </w:rPr>
        <w:fldChar w:fldCharType="end"/>
      </w:r>
      <w:r>
        <w:rPr>
          <w:rFonts w:eastAsia="黑体"/>
          <w:color w:val="auto"/>
          <w:sz w:val="28"/>
          <w:szCs w:val="28"/>
        </w:rPr>
        <w:fldChar w:fldCharType="end"/>
      </w:r>
    </w:p>
    <w:p w14:paraId="2D173077">
      <w:pPr>
        <w:pStyle w:val="47"/>
        <w:rPr>
          <w:rFonts w:eastAsia="黑体"/>
          <w:color w:val="auto"/>
          <w:sz w:val="28"/>
          <w:szCs w:val="28"/>
        </w:rPr>
      </w:pPr>
      <w:r>
        <w:rPr>
          <w:color w:val="auto"/>
        </w:rPr>
        <w:fldChar w:fldCharType="begin"/>
      </w:r>
      <w:r>
        <w:rPr>
          <w:color w:val="auto"/>
        </w:rPr>
        <w:instrText xml:space="preserve"> HYPERLINK \l "_Toc67930372" </w:instrText>
      </w:r>
      <w:r>
        <w:rPr>
          <w:color w:val="auto"/>
        </w:rPr>
        <w:fldChar w:fldCharType="separate"/>
      </w:r>
      <w:r>
        <w:rPr>
          <w:rStyle w:val="96"/>
          <w:rFonts w:eastAsia="黑体"/>
          <w:snapToGrid w:val="0"/>
          <w:color w:val="auto"/>
          <w:sz w:val="28"/>
          <w:szCs w:val="28"/>
        </w:rPr>
        <w:t>三、区域环境质量现状、环境保护目标及评价标准</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_Toc67930372 \h </w:instrText>
      </w:r>
      <w:r>
        <w:rPr>
          <w:rFonts w:eastAsia="黑体"/>
          <w:color w:val="auto"/>
          <w:sz w:val="28"/>
          <w:szCs w:val="28"/>
        </w:rPr>
        <w:fldChar w:fldCharType="separate"/>
      </w:r>
      <w:r>
        <w:rPr>
          <w:rFonts w:eastAsia="黑体"/>
          <w:color w:val="auto"/>
          <w:sz w:val="28"/>
          <w:szCs w:val="28"/>
        </w:rPr>
        <w:t>42</w:t>
      </w:r>
      <w:r>
        <w:rPr>
          <w:rFonts w:eastAsia="黑体"/>
          <w:color w:val="auto"/>
          <w:sz w:val="28"/>
          <w:szCs w:val="28"/>
        </w:rPr>
        <w:fldChar w:fldCharType="end"/>
      </w:r>
      <w:r>
        <w:rPr>
          <w:rFonts w:eastAsia="黑体"/>
          <w:color w:val="auto"/>
          <w:sz w:val="28"/>
          <w:szCs w:val="28"/>
        </w:rPr>
        <w:fldChar w:fldCharType="end"/>
      </w:r>
    </w:p>
    <w:p w14:paraId="6DAB0751">
      <w:pPr>
        <w:pStyle w:val="47"/>
        <w:rPr>
          <w:rFonts w:eastAsia="黑体"/>
          <w:color w:val="auto"/>
          <w:sz w:val="28"/>
          <w:szCs w:val="28"/>
        </w:rPr>
      </w:pPr>
      <w:r>
        <w:rPr>
          <w:color w:val="auto"/>
        </w:rPr>
        <w:fldChar w:fldCharType="begin"/>
      </w:r>
      <w:r>
        <w:rPr>
          <w:color w:val="auto"/>
        </w:rPr>
        <w:instrText xml:space="preserve"> HYPERLINK \l "_Toc67930373" </w:instrText>
      </w:r>
      <w:r>
        <w:rPr>
          <w:color w:val="auto"/>
        </w:rPr>
        <w:fldChar w:fldCharType="separate"/>
      </w:r>
      <w:r>
        <w:rPr>
          <w:rStyle w:val="96"/>
          <w:rFonts w:eastAsia="黑体"/>
          <w:snapToGrid w:val="0"/>
          <w:color w:val="auto"/>
          <w:sz w:val="28"/>
          <w:szCs w:val="28"/>
        </w:rPr>
        <w:t>四、主要环境影响和保护措施</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_Toc67930373 \h </w:instrText>
      </w:r>
      <w:r>
        <w:rPr>
          <w:rFonts w:eastAsia="黑体"/>
          <w:color w:val="auto"/>
          <w:sz w:val="28"/>
          <w:szCs w:val="28"/>
        </w:rPr>
        <w:fldChar w:fldCharType="separate"/>
      </w:r>
      <w:r>
        <w:rPr>
          <w:rFonts w:eastAsia="黑体"/>
          <w:color w:val="auto"/>
          <w:sz w:val="28"/>
          <w:szCs w:val="28"/>
        </w:rPr>
        <w:t>53</w:t>
      </w:r>
      <w:r>
        <w:rPr>
          <w:rFonts w:eastAsia="黑体"/>
          <w:color w:val="auto"/>
          <w:sz w:val="28"/>
          <w:szCs w:val="28"/>
        </w:rPr>
        <w:fldChar w:fldCharType="end"/>
      </w:r>
      <w:r>
        <w:rPr>
          <w:rFonts w:eastAsia="黑体"/>
          <w:color w:val="auto"/>
          <w:sz w:val="28"/>
          <w:szCs w:val="28"/>
        </w:rPr>
        <w:fldChar w:fldCharType="end"/>
      </w:r>
    </w:p>
    <w:p w14:paraId="55449035">
      <w:pPr>
        <w:pStyle w:val="47"/>
        <w:rPr>
          <w:rFonts w:eastAsia="黑体"/>
          <w:color w:val="auto"/>
          <w:sz w:val="28"/>
          <w:szCs w:val="28"/>
        </w:rPr>
      </w:pPr>
      <w:r>
        <w:rPr>
          <w:color w:val="auto"/>
        </w:rPr>
        <w:fldChar w:fldCharType="begin"/>
      </w:r>
      <w:r>
        <w:rPr>
          <w:color w:val="auto"/>
        </w:rPr>
        <w:instrText xml:space="preserve"> HYPERLINK \l "_Toc67930374" </w:instrText>
      </w:r>
      <w:r>
        <w:rPr>
          <w:color w:val="auto"/>
        </w:rPr>
        <w:fldChar w:fldCharType="separate"/>
      </w:r>
      <w:r>
        <w:rPr>
          <w:rStyle w:val="96"/>
          <w:rFonts w:eastAsia="黑体"/>
          <w:snapToGrid w:val="0"/>
          <w:color w:val="auto"/>
          <w:sz w:val="28"/>
          <w:szCs w:val="28"/>
        </w:rPr>
        <w:t>五、环境保护措施监督检查清单</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_Toc67930374 \h </w:instrText>
      </w:r>
      <w:r>
        <w:rPr>
          <w:rFonts w:eastAsia="黑体"/>
          <w:color w:val="auto"/>
          <w:sz w:val="28"/>
          <w:szCs w:val="28"/>
        </w:rPr>
        <w:fldChar w:fldCharType="separate"/>
      </w:r>
      <w:r>
        <w:rPr>
          <w:rFonts w:eastAsia="黑体"/>
          <w:color w:val="auto"/>
          <w:sz w:val="28"/>
          <w:szCs w:val="28"/>
        </w:rPr>
        <w:t>78</w:t>
      </w:r>
      <w:r>
        <w:rPr>
          <w:rFonts w:eastAsia="黑体"/>
          <w:color w:val="auto"/>
          <w:sz w:val="28"/>
          <w:szCs w:val="28"/>
        </w:rPr>
        <w:fldChar w:fldCharType="end"/>
      </w:r>
      <w:r>
        <w:rPr>
          <w:rFonts w:eastAsia="黑体"/>
          <w:color w:val="auto"/>
          <w:sz w:val="28"/>
          <w:szCs w:val="28"/>
        </w:rPr>
        <w:fldChar w:fldCharType="end"/>
      </w:r>
    </w:p>
    <w:p w14:paraId="425D1CBE">
      <w:pPr>
        <w:pStyle w:val="47"/>
        <w:rPr>
          <w:rFonts w:eastAsia="黑体"/>
          <w:color w:val="auto"/>
          <w:sz w:val="28"/>
          <w:szCs w:val="28"/>
        </w:rPr>
      </w:pPr>
      <w:r>
        <w:rPr>
          <w:color w:val="auto"/>
        </w:rPr>
        <w:fldChar w:fldCharType="begin"/>
      </w:r>
      <w:r>
        <w:rPr>
          <w:color w:val="auto"/>
        </w:rPr>
        <w:instrText xml:space="preserve"> HYPERLINK \l "_Toc67930375" </w:instrText>
      </w:r>
      <w:r>
        <w:rPr>
          <w:color w:val="auto"/>
        </w:rPr>
        <w:fldChar w:fldCharType="separate"/>
      </w:r>
      <w:r>
        <w:rPr>
          <w:rStyle w:val="96"/>
          <w:rFonts w:eastAsia="黑体"/>
          <w:snapToGrid w:val="0"/>
          <w:color w:val="auto"/>
          <w:sz w:val="28"/>
          <w:szCs w:val="28"/>
        </w:rPr>
        <w:t>六、结论</w:t>
      </w:r>
      <w:r>
        <w:rPr>
          <w:rFonts w:eastAsia="黑体"/>
          <w:color w:val="auto"/>
          <w:sz w:val="28"/>
          <w:szCs w:val="28"/>
        </w:rPr>
        <w:tab/>
      </w:r>
      <w:r>
        <w:rPr>
          <w:rFonts w:eastAsia="黑体"/>
          <w:color w:val="auto"/>
          <w:sz w:val="28"/>
          <w:szCs w:val="28"/>
        </w:rPr>
        <w:fldChar w:fldCharType="begin"/>
      </w:r>
      <w:r>
        <w:rPr>
          <w:rFonts w:eastAsia="黑体"/>
          <w:color w:val="auto"/>
          <w:sz w:val="28"/>
          <w:szCs w:val="28"/>
        </w:rPr>
        <w:instrText xml:space="preserve"> PAGEREF _Toc67930375 \h </w:instrText>
      </w:r>
      <w:r>
        <w:rPr>
          <w:rFonts w:eastAsia="黑体"/>
          <w:color w:val="auto"/>
          <w:sz w:val="28"/>
          <w:szCs w:val="28"/>
        </w:rPr>
        <w:fldChar w:fldCharType="separate"/>
      </w:r>
      <w:r>
        <w:rPr>
          <w:rFonts w:eastAsia="黑体"/>
          <w:color w:val="auto"/>
          <w:sz w:val="28"/>
          <w:szCs w:val="28"/>
        </w:rPr>
        <w:t>80</w:t>
      </w:r>
      <w:r>
        <w:rPr>
          <w:rFonts w:eastAsia="黑体"/>
          <w:color w:val="auto"/>
          <w:sz w:val="28"/>
          <w:szCs w:val="28"/>
        </w:rPr>
        <w:fldChar w:fldCharType="end"/>
      </w:r>
      <w:r>
        <w:rPr>
          <w:rFonts w:eastAsia="黑体"/>
          <w:color w:val="auto"/>
          <w:sz w:val="28"/>
          <w:szCs w:val="28"/>
        </w:rPr>
        <w:fldChar w:fldCharType="end"/>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3470"/>
        <w:gridCol w:w="1024"/>
        <w:gridCol w:w="2310"/>
        <w:gridCol w:w="817"/>
      </w:tblGrid>
      <w:tr w14:paraId="1C80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5"/>
            <w:tcBorders>
              <w:top w:val="nil"/>
              <w:left w:val="nil"/>
              <w:bottom w:val="nil"/>
              <w:right w:val="nil"/>
            </w:tcBorders>
          </w:tcPr>
          <w:p w14:paraId="0924768D">
            <w:pPr>
              <w:pStyle w:val="122"/>
              <w:tabs>
                <w:tab w:val="right" w:leader="dot" w:pos="9628"/>
              </w:tabs>
              <w:spacing w:line="360" w:lineRule="auto"/>
              <w:jc w:val="left"/>
              <w:rPr>
                <w:rFonts w:eastAsia="黑体"/>
                <w:snapToGrid w:val="0"/>
                <w:color w:val="auto"/>
                <w:sz w:val="30"/>
                <w:szCs w:val="30"/>
              </w:rPr>
            </w:pPr>
            <w:r>
              <w:rPr>
                <w:rStyle w:val="96"/>
                <w:rFonts w:eastAsia="黑体"/>
                <w:color w:val="auto"/>
                <w:sz w:val="28"/>
                <w:szCs w:val="28"/>
              </w:rPr>
              <w:fldChar w:fldCharType="end"/>
            </w:r>
            <w:r>
              <w:rPr>
                <w:color w:val="auto"/>
              </w:rPr>
              <w:fldChar w:fldCharType="begin"/>
            </w:r>
            <w:r>
              <w:rPr>
                <w:color w:val="auto"/>
              </w:rPr>
              <w:instrText xml:space="preserve"> HYPERLINK \l "_Toc2639" </w:instrText>
            </w:r>
            <w:r>
              <w:rPr>
                <w:color w:val="auto"/>
              </w:rPr>
              <w:fldChar w:fldCharType="separate"/>
            </w:r>
            <w:r>
              <w:rPr>
                <w:rFonts w:eastAsia="黑体"/>
                <w:snapToGrid w:val="0"/>
                <w:color w:val="auto"/>
                <w:sz w:val="30"/>
                <w:szCs w:val="30"/>
              </w:rPr>
              <w:t>附表</w:t>
            </w:r>
            <w:r>
              <w:rPr>
                <w:rFonts w:eastAsia="黑体"/>
                <w:snapToGrid w:val="0"/>
                <w:color w:val="auto"/>
                <w:sz w:val="30"/>
                <w:szCs w:val="30"/>
              </w:rPr>
              <w:fldChar w:fldCharType="end"/>
            </w:r>
          </w:p>
          <w:p w14:paraId="56E4A450">
            <w:pPr>
              <w:pStyle w:val="177"/>
              <w:tabs>
                <w:tab w:val="right" w:leader="dot" w:pos="8844"/>
              </w:tabs>
              <w:spacing w:line="400" w:lineRule="exact"/>
              <w:ind w:firstLine="283"/>
              <w:rPr>
                <w:rFonts w:eastAsia="黑体"/>
                <w:snapToGrid w:val="0"/>
                <w:color w:val="auto"/>
                <w:sz w:val="28"/>
                <w:szCs w:val="28"/>
              </w:rPr>
            </w:pPr>
            <w:r>
              <w:rPr>
                <w:rFonts w:eastAsia="黑体"/>
                <w:color w:val="auto"/>
                <w:sz w:val="24"/>
                <w:szCs w:val="24"/>
              </w:rPr>
              <w:t>附表</w:t>
            </w:r>
            <w:r>
              <w:rPr>
                <w:rFonts w:hint="eastAsia" w:eastAsia="黑体"/>
                <w:color w:val="auto"/>
                <w:sz w:val="24"/>
                <w:szCs w:val="24"/>
              </w:rPr>
              <w:t xml:space="preserve">  </w:t>
            </w:r>
            <w:r>
              <w:rPr>
                <w:color w:val="auto"/>
              </w:rPr>
              <w:fldChar w:fldCharType="begin"/>
            </w:r>
            <w:r>
              <w:rPr>
                <w:color w:val="auto"/>
              </w:rPr>
              <w:instrText xml:space="preserve"> HYPERLINK \l "_Toc20807" </w:instrText>
            </w:r>
            <w:r>
              <w:rPr>
                <w:color w:val="auto"/>
              </w:rPr>
              <w:fldChar w:fldCharType="separate"/>
            </w:r>
            <w:r>
              <w:rPr>
                <w:rFonts w:eastAsia="黑体"/>
                <w:snapToGrid w:val="0"/>
                <w:color w:val="auto"/>
                <w:sz w:val="24"/>
                <w:szCs w:val="24"/>
              </w:rPr>
              <w:t>建设项目污染物排放量汇总表</w:t>
            </w:r>
            <w:r>
              <w:rPr>
                <w:rFonts w:eastAsia="黑体"/>
                <w:snapToGrid w:val="0"/>
                <w:color w:val="auto"/>
                <w:sz w:val="24"/>
                <w:szCs w:val="24"/>
              </w:rPr>
              <w:fldChar w:fldCharType="end"/>
            </w:r>
          </w:p>
        </w:tc>
      </w:tr>
      <w:tr w14:paraId="688D6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5"/>
            <w:tcBorders>
              <w:top w:val="nil"/>
              <w:left w:val="nil"/>
              <w:bottom w:val="nil"/>
              <w:right w:val="nil"/>
            </w:tcBorders>
          </w:tcPr>
          <w:p w14:paraId="0510976A">
            <w:pPr>
              <w:pStyle w:val="82"/>
              <w:spacing w:before="0" w:beforeAutospacing="0" w:after="0" w:afterAutospacing="0" w:line="500" w:lineRule="exact"/>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附图</w:t>
            </w:r>
          </w:p>
        </w:tc>
      </w:tr>
      <w:tr w14:paraId="4696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439" w:type="dxa"/>
            <w:tcBorders>
              <w:top w:val="nil"/>
              <w:left w:val="nil"/>
              <w:bottom w:val="nil"/>
              <w:right w:val="nil"/>
            </w:tcBorders>
          </w:tcPr>
          <w:p w14:paraId="142EB0FE">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附图1</w:t>
            </w:r>
          </w:p>
        </w:tc>
        <w:tc>
          <w:tcPr>
            <w:tcW w:w="6804" w:type="dxa"/>
            <w:gridSpan w:val="3"/>
            <w:tcBorders>
              <w:top w:val="nil"/>
              <w:left w:val="nil"/>
              <w:bottom w:val="nil"/>
              <w:right w:val="nil"/>
            </w:tcBorders>
          </w:tcPr>
          <w:p w14:paraId="5E48AAAE">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建设项目</w:t>
            </w:r>
            <w:r>
              <w:rPr>
                <w:rFonts w:ascii="Times New Roman" w:hAnsi="Times New Roman" w:eastAsia="黑体"/>
                <w:snapToGrid w:val="0"/>
                <w:color w:val="auto"/>
                <w:szCs w:val="24"/>
              </w:rPr>
              <w:t>地理位置图</w:t>
            </w:r>
          </w:p>
        </w:tc>
        <w:tc>
          <w:tcPr>
            <w:tcW w:w="817" w:type="dxa"/>
            <w:tcBorders>
              <w:top w:val="nil"/>
              <w:left w:val="nil"/>
              <w:bottom w:val="nil"/>
              <w:right w:val="nil"/>
            </w:tcBorders>
          </w:tcPr>
          <w:p w14:paraId="24C8CE12">
            <w:pPr>
              <w:pStyle w:val="82"/>
              <w:jc w:val="center"/>
              <w:rPr>
                <w:rFonts w:ascii="Times New Roman" w:hAnsi="Times New Roman" w:eastAsia="黑体"/>
                <w:snapToGrid w:val="0"/>
                <w:color w:val="auto"/>
                <w:szCs w:val="24"/>
              </w:rPr>
            </w:pPr>
          </w:p>
        </w:tc>
      </w:tr>
      <w:tr w14:paraId="28E9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1234D5D2">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附图2</w:t>
            </w:r>
          </w:p>
        </w:tc>
        <w:tc>
          <w:tcPr>
            <w:tcW w:w="6804" w:type="dxa"/>
            <w:gridSpan w:val="3"/>
            <w:tcBorders>
              <w:top w:val="nil"/>
              <w:left w:val="nil"/>
              <w:bottom w:val="nil"/>
              <w:right w:val="nil"/>
            </w:tcBorders>
          </w:tcPr>
          <w:p w14:paraId="0FFB82CD">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建设项目周围环境概况</w:t>
            </w:r>
          </w:p>
        </w:tc>
        <w:tc>
          <w:tcPr>
            <w:tcW w:w="817" w:type="dxa"/>
            <w:tcBorders>
              <w:top w:val="nil"/>
              <w:left w:val="nil"/>
              <w:bottom w:val="nil"/>
              <w:right w:val="nil"/>
            </w:tcBorders>
          </w:tcPr>
          <w:p w14:paraId="3ED5BE13">
            <w:pPr>
              <w:pStyle w:val="82"/>
              <w:jc w:val="center"/>
              <w:rPr>
                <w:rFonts w:ascii="Times New Roman" w:hAnsi="Times New Roman" w:eastAsia="黑体"/>
                <w:snapToGrid w:val="0"/>
                <w:color w:val="auto"/>
                <w:szCs w:val="24"/>
              </w:rPr>
            </w:pPr>
          </w:p>
        </w:tc>
      </w:tr>
      <w:tr w14:paraId="7DCF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2AF67076">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附图3</w:t>
            </w:r>
          </w:p>
        </w:tc>
        <w:tc>
          <w:tcPr>
            <w:tcW w:w="6804" w:type="dxa"/>
            <w:gridSpan w:val="3"/>
            <w:tcBorders>
              <w:top w:val="nil"/>
              <w:left w:val="nil"/>
              <w:bottom w:val="nil"/>
              <w:right w:val="nil"/>
            </w:tcBorders>
          </w:tcPr>
          <w:p w14:paraId="4B4532A3">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建设项目周围环境状况照片</w:t>
            </w:r>
          </w:p>
        </w:tc>
        <w:tc>
          <w:tcPr>
            <w:tcW w:w="817" w:type="dxa"/>
            <w:tcBorders>
              <w:top w:val="nil"/>
              <w:left w:val="nil"/>
              <w:bottom w:val="nil"/>
              <w:right w:val="nil"/>
            </w:tcBorders>
          </w:tcPr>
          <w:p w14:paraId="38B473E7">
            <w:pPr>
              <w:pStyle w:val="82"/>
              <w:jc w:val="center"/>
              <w:rPr>
                <w:rFonts w:ascii="Times New Roman" w:hAnsi="Times New Roman" w:eastAsia="黑体"/>
                <w:snapToGrid w:val="0"/>
                <w:color w:val="auto"/>
                <w:szCs w:val="24"/>
              </w:rPr>
            </w:pPr>
          </w:p>
        </w:tc>
      </w:tr>
      <w:tr w14:paraId="7267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10DE5EB7">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附图4</w:t>
            </w:r>
          </w:p>
        </w:tc>
        <w:tc>
          <w:tcPr>
            <w:tcW w:w="6804" w:type="dxa"/>
            <w:gridSpan w:val="3"/>
            <w:tcBorders>
              <w:top w:val="nil"/>
              <w:left w:val="nil"/>
              <w:bottom w:val="nil"/>
              <w:right w:val="nil"/>
            </w:tcBorders>
          </w:tcPr>
          <w:p w14:paraId="3DE448A7">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建设项目生态环境管控分区图</w:t>
            </w:r>
          </w:p>
        </w:tc>
        <w:tc>
          <w:tcPr>
            <w:tcW w:w="817" w:type="dxa"/>
            <w:tcBorders>
              <w:top w:val="nil"/>
              <w:left w:val="nil"/>
              <w:bottom w:val="nil"/>
              <w:right w:val="nil"/>
            </w:tcBorders>
          </w:tcPr>
          <w:p w14:paraId="79C41504">
            <w:pPr>
              <w:pStyle w:val="82"/>
              <w:jc w:val="center"/>
              <w:rPr>
                <w:rFonts w:ascii="Times New Roman" w:hAnsi="Times New Roman" w:eastAsia="黑体"/>
                <w:snapToGrid w:val="0"/>
                <w:color w:val="auto"/>
                <w:szCs w:val="24"/>
              </w:rPr>
            </w:pPr>
          </w:p>
        </w:tc>
      </w:tr>
      <w:tr w14:paraId="04BE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7DF448C2">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附图5</w:t>
            </w:r>
          </w:p>
        </w:tc>
        <w:tc>
          <w:tcPr>
            <w:tcW w:w="6804" w:type="dxa"/>
            <w:gridSpan w:val="3"/>
            <w:tcBorders>
              <w:top w:val="nil"/>
              <w:left w:val="nil"/>
              <w:bottom w:val="nil"/>
              <w:right w:val="nil"/>
            </w:tcBorders>
          </w:tcPr>
          <w:p w14:paraId="1F9827F3">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建设项目所在地环境空气质量功能区划分图</w:t>
            </w:r>
          </w:p>
        </w:tc>
        <w:tc>
          <w:tcPr>
            <w:tcW w:w="817" w:type="dxa"/>
            <w:tcBorders>
              <w:top w:val="nil"/>
              <w:left w:val="nil"/>
              <w:bottom w:val="nil"/>
              <w:right w:val="nil"/>
            </w:tcBorders>
          </w:tcPr>
          <w:p w14:paraId="2B41574A">
            <w:pPr>
              <w:pStyle w:val="82"/>
              <w:jc w:val="center"/>
              <w:rPr>
                <w:rFonts w:ascii="Times New Roman" w:hAnsi="Times New Roman" w:eastAsia="黑体"/>
                <w:snapToGrid w:val="0"/>
                <w:color w:val="auto"/>
                <w:szCs w:val="24"/>
              </w:rPr>
            </w:pPr>
          </w:p>
        </w:tc>
      </w:tr>
      <w:tr w14:paraId="2BE6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1D286833">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附图6</w:t>
            </w:r>
          </w:p>
        </w:tc>
        <w:tc>
          <w:tcPr>
            <w:tcW w:w="6804" w:type="dxa"/>
            <w:gridSpan w:val="3"/>
            <w:tcBorders>
              <w:top w:val="nil"/>
              <w:left w:val="nil"/>
              <w:bottom w:val="nil"/>
              <w:right w:val="nil"/>
            </w:tcBorders>
          </w:tcPr>
          <w:p w14:paraId="323236B5">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建设项目所在地水环境功能区划图</w:t>
            </w:r>
          </w:p>
        </w:tc>
        <w:tc>
          <w:tcPr>
            <w:tcW w:w="817" w:type="dxa"/>
            <w:tcBorders>
              <w:top w:val="nil"/>
              <w:left w:val="nil"/>
              <w:bottom w:val="nil"/>
              <w:right w:val="nil"/>
            </w:tcBorders>
          </w:tcPr>
          <w:p w14:paraId="4B6990D9">
            <w:pPr>
              <w:pStyle w:val="82"/>
              <w:jc w:val="center"/>
              <w:rPr>
                <w:rFonts w:ascii="Times New Roman" w:hAnsi="Times New Roman" w:eastAsia="黑体"/>
                <w:snapToGrid w:val="0"/>
                <w:color w:val="auto"/>
                <w:szCs w:val="24"/>
              </w:rPr>
            </w:pPr>
          </w:p>
        </w:tc>
      </w:tr>
      <w:tr w14:paraId="66CD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4E4E910F">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w:t>
            </w:r>
            <w:r>
              <w:rPr>
                <w:rFonts w:hint="eastAsia" w:ascii="Times New Roman" w:hAnsi="Times New Roman" w:eastAsia="黑体"/>
                <w:snapToGrid w:val="0"/>
                <w:color w:val="auto"/>
                <w:szCs w:val="24"/>
              </w:rPr>
              <w:t>7</w:t>
            </w:r>
          </w:p>
        </w:tc>
        <w:tc>
          <w:tcPr>
            <w:tcW w:w="6804" w:type="dxa"/>
            <w:gridSpan w:val="3"/>
            <w:tcBorders>
              <w:top w:val="nil"/>
              <w:left w:val="nil"/>
              <w:bottom w:val="nil"/>
              <w:right w:val="nil"/>
            </w:tcBorders>
          </w:tcPr>
          <w:p w14:paraId="371FBF52">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建设项目平面布置图</w:t>
            </w:r>
          </w:p>
        </w:tc>
        <w:tc>
          <w:tcPr>
            <w:tcW w:w="817" w:type="dxa"/>
            <w:tcBorders>
              <w:top w:val="nil"/>
              <w:left w:val="nil"/>
              <w:bottom w:val="nil"/>
              <w:right w:val="nil"/>
            </w:tcBorders>
          </w:tcPr>
          <w:p w14:paraId="57FB8295">
            <w:pPr>
              <w:pStyle w:val="82"/>
              <w:jc w:val="center"/>
              <w:rPr>
                <w:rFonts w:ascii="Times New Roman" w:hAnsi="Times New Roman" w:eastAsia="黑体"/>
                <w:snapToGrid w:val="0"/>
                <w:color w:val="auto"/>
                <w:szCs w:val="24"/>
              </w:rPr>
            </w:pPr>
          </w:p>
        </w:tc>
      </w:tr>
      <w:tr w14:paraId="24F7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70FAC82F">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w:t>
            </w:r>
            <w:r>
              <w:rPr>
                <w:rFonts w:hint="eastAsia" w:ascii="Times New Roman" w:hAnsi="Times New Roman" w:eastAsia="黑体"/>
                <w:snapToGrid w:val="0"/>
                <w:color w:val="auto"/>
                <w:szCs w:val="24"/>
              </w:rPr>
              <w:t>8</w:t>
            </w:r>
          </w:p>
        </w:tc>
        <w:tc>
          <w:tcPr>
            <w:tcW w:w="6804" w:type="dxa"/>
            <w:gridSpan w:val="3"/>
            <w:tcBorders>
              <w:top w:val="nil"/>
              <w:left w:val="nil"/>
              <w:bottom w:val="nil"/>
              <w:right w:val="nil"/>
            </w:tcBorders>
          </w:tcPr>
          <w:p w14:paraId="5FDEB9CB">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湖州市区生态保护红线图</w:t>
            </w:r>
          </w:p>
        </w:tc>
        <w:tc>
          <w:tcPr>
            <w:tcW w:w="817" w:type="dxa"/>
            <w:tcBorders>
              <w:top w:val="nil"/>
              <w:left w:val="nil"/>
              <w:bottom w:val="nil"/>
              <w:right w:val="nil"/>
            </w:tcBorders>
          </w:tcPr>
          <w:p w14:paraId="7E8A915C">
            <w:pPr>
              <w:pStyle w:val="82"/>
              <w:jc w:val="center"/>
              <w:rPr>
                <w:rFonts w:ascii="Times New Roman" w:hAnsi="Times New Roman" w:eastAsia="黑体"/>
                <w:snapToGrid w:val="0"/>
                <w:color w:val="auto"/>
                <w:szCs w:val="24"/>
              </w:rPr>
            </w:pPr>
          </w:p>
        </w:tc>
      </w:tr>
      <w:tr w14:paraId="1D91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4497498F">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w:t>
            </w:r>
            <w:r>
              <w:rPr>
                <w:rFonts w:hint="eastAsia" w:ascii="Times New Roman" w:hAnsi="Times New Roman" w:eastAsia="黑体"/>
                <w:snapToGrid w:val="0"/>
                <w:color w:val="auto"/>
                <w:szCs w:val="24"/>
              </w:rPr>
              <w:t>9</w:t>
            </w:r>
          </w:p>
        </w:tc>
        <w:tc>
          <w:tcPr>
            <w:tcW w:w="6804" w:type="dxa"/>
            <w:gridSpan w:val="3"/>
            <w:tcBorders>
              <w:top w:val="nil"/>
              <w:left w:val="nil"/>
              <w:bottom w:val="nil"/>
              <w:right w:val="nil"/>
            </w:tcBorders>
          </w:tcPr>
          <w:p w14:paraId="7AEDCDE9">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建设项目周围保护目标图（500m）</w:t>
            </w:r>
          </w:p>
        </w:tc>
        <w:tc>
          <w:tcPr>
            <w:tcW w:w="817" w:type="dxa"/>
            <w:tcBorders>
              <w:top w:val="nil"/>
              <w:left w:val="nil"/>
              <w:bottom w:val="nil"/>
              <w:right w:val="nil"/>
            </w:tcBorders>
          </w:tcPr>
          <w:p w14:paraId="1001511E">
            <w:pPr>
              <w:pStyle w:val="82"/>
              <w:jc w:val="center"/>
              <w:rPr>
                <w:rFonts w:ascii="Times New Roman" w:hAnsi="Times New Roman" w:eastAsia="黑体"/>
                <w:snapToGrid w:val="0"/>
                <w:color w:val="auto"/>
                <w:szCs w:val="24"/>
              </w:rPr>
            </w:pPr>
          </w:p>
        </w:tc>
      </w:tr>
      <w:tr w14:paraId="7D3D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78C99E74">
            <w:pPr>
              <w:pStyle w:val="82"/>
              <w:ind w:firstLine="283"/>
              <w:rPr>
                <w:rFonts w:ascii="Times New Roman" w:hAnsi="Times New Roman" w:eastAsia="黑体"/>
                <w:snapToGrid w:val="0"/>
                <w:color w:val="auto"/>
                <w:szCs w:val="24"/>
              </w:rPr>
            </w:pPr>
            <w:r>
              <w:rPr>
                <w:rFonts w:ascii="Times New Roman" w:hAnsi="Times New Roman" w:eastAsia="黑体"/>
                <w:snapToGrid w:val="0"/>
                <w:color w:val="auto"/>
                <w:szCs w:val="24"/>
              </w:rPr>
              <w:t>附图</w:t>
            </w:r>
            <w:r>
              <w:rPr>
                <w:rFonts w:hint="eastAsia" w:ascii="Times New Roman" w:hAnsi="Times New Roman" w:eastAsia="黑体"/>
                <w:snapToGrid w:val="0"/>
                <w:color w:val="auto"/>
                <w:szCs w:val="24"/>
              </w:rPr>
              <w:t>10</w:t>
            </w:r>
          </w:p>
        </w:tc>
        <w:tc>
          <w:tcPr>
            <w:tcW w:w="6804" w:type="dxa"/>
            <w:gridSpan w:val="3"/>
            <w:tcBorders>
              <w:top w:val="nil"/>
              <w:left w:val="nil"/>
              <w:bottom w:val="nil"/>
              <w:right w:val="nil"/>
            </w:tcBorders>
          </w:tcPr>
          <w:p w14:paraId="69D0CE09">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湖州市南浔区练市镇国土空间总体规划-三条控制线图</w:t>
            </w:r>
          </w:p>
        </w:tc>
        <w:tc>
          <w:tcPr>
            <w:tcW w:w="817" w:type="dxa"/>
            <w:tcBorders>
              <w:top w:val="nil"/>
              <w:left w:val="nil"/>
              <w:bottom w:val="nil"/>
              <w:right w:val="nil"/>
            </w:tcBorders>
          </w:tcPr>
          <w:p w14:paraId="0A7D1FE4">
            <w:pPr>
              <w:pStyle w:val="82"/>
              <w:jc w:val="center"/>
              <w:rPr>
                <w:rFonts w:ascii="Times New Roman" w:hAnsi="Times New Roman" w:eastAsia="黑体"/>
                <w:snapToGrid w:val="0"/>
                <w:color w:val="auto"/>
                <w:szCs w:val="24"/>
              </w:rPr>
            </w:pPr>
          </w:p>
        </w:tc>
      </w:tr>
      <w:tr w14:paraId="1A8B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2D3C1E9F">
            <w:pPr>
              <w:pStyle w:val="82"/>
              <w:ind w:firstLine="283"/>
              <w:rPr>
                <w:rFonts w:ascii="Times New Roman" w:hAnsi="Times New Roman" w:eastAsia="黑体"/>
                <w:snapToGrid w:val="0"/>
                <w:color w:val="auto"/>
                <w:szCs w:val="24"/>
              </w:rPr>
            </w:pPr>
          </w:p>
        </w:tc>
        <w:tc>
          <w:tcPr>
            <w:tcW w:w="6804" w:type="dxa"/>
            <w:gridSpan w:val="3"/>
            <w:tcBorders>
              <w:top w:val="nil"/>
              <w:left w:val="nil"/>
              <w:bottom w:val="nil"/>
              <w:right w:val="nil"/>
            </w:tcBorders>
          </w:tcPr>
          <w:p w14:paraId="766F86DC">
            <w:pPr>
              <w:pStyle w:val="82"/>
              <w:rPr>
                <w:rFonts w:ascii="Times New Roman" w:hAnsi="Times New Roman" w:eastAsia="黑体"/>
                <w:snapToGrid w:val="0"/>
                <w:color w:val="auto"/>
                <w:szCs w:val="24"/>
              </w:rPr>
            </w:pPr>
          </w:p>
        </w:tc>
        <w:tc>
          <w:tcPr>
            <w:tcW w:w="817" w:type="dxa"/>
            <w:tcBorders>
              <w:top w:val="nil"/>
              <w:left w:val="nil"/>
              <w:bottom w:val="nil"/>
              <w:right w:val="nil"/>
            </w:tcBorders>
          </w:tcPr>
          <w:p w14:paraId="2F95A29B">
            <w:pPr>
              <w:pStyle w:val="82"/>
              <w:jc w:val="center"/>
              <w:rPr>
                <w:rFonts w:ascii="Times New Roman" w:hAnsi="Times New Roman" w:eastAsia="黑体"/>
                <w:snapToGrid w:val="0"/>
                <w:color w:val="auto"/>
                <w:szCs w:val="24"/>
              </w:rPr>
            </w:pPr>
          </w:p>
        </w:tc>
      </w:tr>
      <w:tr w14:paraId="7F3F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5"/>
            <w:tcBorders>
              <w:top w:val="nil"/>
              <w:left w:val="nil"/>
              <w:bottom w:val="nil"/>
              <w:right w:val="nil"/>
            </w:tcBorders>
          </w:tcPr>
          <w:p w14:paraId="00EC2B24">
            <w:pPr>
              <w:pStyle w:val="82"/>
              <w:spacing w:before="0" w:beforeAutospacing="0" w:after="0" w:afterAutospacing="0" w:line="500" w:lineRule="exact"/>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附件</w:t>
            </w:r>
          </w:p>
        </w:tc>
      </w:tr>
      <w:tr w14:paraId="1FF5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9" w:type="dxa"/>
            <w:tcBorders>
              <w:top w:val="nil"/>
              <w:left w:val="nil"/>
              <w:bottom w:val="nil"/>
              <w:right w:val="nil"/>
            </w:tcBorders>
          </w:tcPr>
          <w:p w14:paraId="4BD0447B">
            <w:pPr>
              <w:pStyle w:val="82"/>
              <w:ind w:firstLine="283"/>
              <w:jc w:val="both"/>
              <w:rPr>
                <w:rFonts w:ascii="Times New Roman" w:hAnsi="Times New Roman" w:eastAsia="黑体"/>
                <w:snapToGrid w:val="0"/>
                <w:color w:val="auto"/>
                <w:szCs w:val="24"/>
              </w:rPr>
            </w:pPr>
            <w:r>
              <w:rPr>
                <w:rFonts w:ascii="Times New Roman" w:hAnsi="Times New Roman" w:eastAsia="黑体"/>
                <w:snapToGrid w:val="0"/>
                <w:color w:val="auto"/>
                <w:szCs w:val="24"/>
              </w:rPr>
              <w:t>附件</w:t>
            </w:r>
            <w:r>
              <w:rPr>
                <w:rFonts w:hint="eastAsia" w:ascii="Times New Roman" w:hAnsi="Times New Roman" w:eastAsia="黑体"/>
                <w:snapToGrid w:val="0"/>
                <w:color w:val="auto"/>
                <w:szCs w:val="24"/>
              </w:rPr>
              <w:t>1</w:t>
            </w:r>
          </w:p>
        </w:tc>
        <w:tc>
          <w:tcPr>
            <w:tcW w:w="7621" w:type="dxa"/>
            <w:gridSpan w:val="4"/>
            <w:tcBorders>
              <w:top w:val="nil"/>
              <w:left w:val="nil"/>
              <w:bottom w:val="nil"/>
              <w:right w:val="nil"/>
            </w:tcBorders>
          </w:tcPr>
          <w:p w14:paraId="0FE00392">
            <w:pPr>
              <w:pStyle w:val="82"/>
              <w:rPr>
                <w:rFonts w:ascii="Times New Roman" w:hAnsi="Times New Roman" w:eastAsia="黑体"/>
                <w:snapToGrid w:val="0"/>
                <w:color w:val="auto"/>
                <w:szCs w:val="24"/>
              </w:rPr>
            </w:pPr>
            <w:r>
              <w:rPr>
                <w:rFonts w:ascii="Times New Roman" w:hAnsi="Times New Roman" w:eastAsia="黑体"/>
                <w:snapToGrid w:val="0"/>
                <w:color w:val="auto"/>
                <w:szCs w:val="24"/>
              </w:rPr>
              <w:t>浙江省工业企业“零土地”技术改造项目备案通知书</w:t>
            </w:r>
          </w:p>
        </w:tc>
      </w:tr>
      <w:tr w14:paraId="079A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2DF5A1CF">
            <w:pPr>
              <w:pStyle w:val="82"/>
              <w:ind w:firstLine="283"/>
              <w:jc w:val="both"/>
              <w:rPr>
                <w:rFonts w:ascii="Times New Roman" w:hAnsi="Times New Roman" w:eastAsia="黑体"/>
                <w:snapToGrid w:val="0"/>
                <w:color w:val="auto"/>
                <w:szCs w:val="24"/>
              </w:rPr>
            </w:pPr>
            <w:r>
              <w:rPr>
                <w:rFonts w:ascii="Times New Roman" w:hAnsi="Times New Roman" w:eastAsia="黑体"/>
                <w:snapToGrid w:val="0"/>
                <w:color w:val="auto"/>
                <w:szCs w:val="24"/>
              </w:rPr>
              <w:t>附件</w:t>
            </w:r>
            <w:r>
              <w:rPr>
                <w:rFonts w:hint="eastAsia" w:ascii="Times New Roman" w:hAnsi="Times New Roman" w:eastAsia="黑体"/>
                <w:snapToGrid w:val="0"/>
                <w:color w:val="auto"/>
                <w:szCs w:val="24"/>
              </w:rPr>
              <w:t>2</w:t>
            </w:r>
          </w:p>
        </w:tc>
        <w:tc>
          <w:tcPr>
            <w:tcW w:w="7621" w:type="dxa"/>
            <w:gridSpan w:val="4"/>
            <w:tcBorders>
              <w:top w:val="nil"/>
              <w:left w:val="nil"/>
              <w:bottom w:val="nil"/>
              <w:right w:val="nil"/>
            </w:tcBorders>
          </w:tcPr>
          <w:p w14:paraId="434D4D47">
            <w:pPr>
              <w:pStyle w:val="82"/>
              <w:jc w:val="both"/>
              <w:rPr>
                <w:rFonts w:ascii="Times New Roman" w:hAnsi="Times New Roman" w:eastAsia="黑体"/>
                <w:snapToGrid w:val="0"/>
                <w:color w:val="auto"/>
                <w:szCs w:val="24"/>
              </w:rPr>
            </w:pPr>
            <w:r>
              <w:rPr>
                <w:rFonts w:ascii="Times New Roman" w:hAnsi="Times New Roman" w:eastAsia="黑体"/>
                <w:snapToGrid w:val="0"/>
                <w:color w:val="auto"/>
                <w:szCs w:val="24"/>
              </w:rPr>
              <w:t>营业执照</w:t>
            </w:r>
            <w:r>
              <w:rPr>
                <w:rFonts w:hint="eastAsia" w:ascii="Times New Roman" w:hAnsi="Times New Roman" w:eastAsia="黑体"/>
                <w:snapToGrid w:val="0"/>
                <w:color w:val="auto"/>
                <w:szCs w:val="24"/>
              </w:rPr>
              <w:t>、</w:t>
            </w:r>
            <w:r>
              <w:rPr>
                <w:rFonts w:ascii="Times New Roman" w:hAnsi="Times New Roman" w:eastAsia="黑体"/>
                <w:snapToGrid w:val="0"/>
                <w:color w:val="auto"/>
                <w:szCs w:val="24"/>
              </w:rPr>
              <w:t>法人身份证</w:t>
            </w:r>
            <w:r>
              <w:rPr>
                <w:rFonts w:hint="eastAsia" w:ascii="Times New Roman" w:hAnsi="Times New Roman" w:eastAsia="黑体"/>
                <w:snapToGrid w:val="0"/>
                <w:color w:val="auto"/>
                <w:szCs w:val="24"/>
              </w:rPr>
              <w:t>正反面</w:t>
            </w:r>
          </w:p>
        </w:tc>
      </w:tr>
      <w:tr w14:paraId="0EFE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4BCBB644">
            <w:pPr>
              <w:pStyle w:val="82"/>
              <w:ind w:firstLine="283"/>
              <w:jc w:val="both"/>
              <w:rPr>
                <w:rFonts w:ascii="Times New Roman" w:hAnsi="Times New Roman" w:eastAsia="黑体"/>
                <w:snapToGrid w:val="0"/>
                <w:color w:val="auto"/>
                <w:szCs w:val="24"/>
              </w:rPr>
            </w:pPr>
            <w:r>
              <w:rPr>
                <w:rFonts w:ascii="Times New Roman" w:hAnsi="Times New Roman" w:eastAsia="黑体"/>
                <w:snapToGrid w:val="0"/>
                <w:color w:val="auto"/>
                <w:szCs w:val="24"/>
              </w:rPr>
              <w:t>附件</w:t>
            </w:r>
            <w:r>
              <w:rPr>
                <w:rFonts w:hint="eastAsia" w:ascii="Times New Roman" w:hAnsi="Times New Roman" w:eastAsia="黑体"/>
                <w:snapToGrid w:val="0"/>
                <w:color w:val="auto"/>
                <w:szCs w:val="24"/>
              </w:rPr>
              <w:t>3</w:t>
            </w:r>
          </w:p>
        </w:tc>
        <w:tc>
          <w:tcPr>
            <w:tcW w:w="7621" w:type="dxa"/>
            <w:gridSpan w:val="4"/>
            <w:tcBorders>
              <w:top w:val="nil"/>
              <w:left w:val="nil"/>
              <w:bottom w:val="nil"/>
              <w:right w:val="nil"/>
            </w:tcBorders>
          </w:tcPr>
          <w:p w14:paraId="611C1FD9">
            <w:pPr>
              <w:pStyle w:val="82"/>
              <w:jc w:val="both"/>
              <w:rPr>
                <w:rFonts w:ascii="Times New Roman" w:hAnsi="Times New Roman" w:eastAsia="黑体"/>
                <w:snapToGrid w:val="0"/>
                <w:color w:val="auto"/>
                <w:szCs w:val="24"/>
              </w:rPr>
            </w:pPr>
            <w:r>
              <w:rPr>
                <w:rFonts w:hint="eastAsia" w:ascii="Times New Roman" w:hAnsi="Times New Roman" w:eastAsia="黑体"/>
                <w:snapToGrid w:val="0"/>
                <w:color w:val="auto"/>
                <w:szCs w:val="24"/>
              </w:rPr>
              <w:t>租赁协议</w:t>
            </w:r>
          </w:p>
        </w:tc>
      </w:tr>
      <w:tr w14:paraId="1A9F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5DAC05B1">
            <w:pPr>
              <w:pStyle w:val="82"/>
              <w:ind w:firstLine="283"/>
              <w:jc w:val="both"/>
              <w:rPr>
                <w:rFonts w:ascii="Times New Roman" w:hAnsi="Times New Roman" w:eastAsia="黑体"/>
                <w:snapToGrid w:val="0"/>
                <w:color w:val="auto"/>
                <w:szCs w:val="24"/>
              </w:rPr>
            </w:pPr>
            <w:r>
              <w:rPr>
                <w:rFonts w:ascii="Times New Roman" w:hAnsi="Times New Roman" w:eastAsia="黑体"/>
                <w:snapToGrid w:val="0"/>
                <w:color w:val="auto"/>
                <w:szCs w:val="24"/>
              </w:rPr>
              <w:t>附件</w:t>
            </w:r>
            <w:r>
              <w:rPr>
                <w:rFonts w:hint="eastAsia" w:ascii="Times New Roman" w:hAnsi="Times New Roman" w:eastAsia="黑体"/>
                <w:snapToGrid w:val="0"/>
                <w:color w:val="auto"/>
                <w:szCs w:val="24"/>
              </w:rPr>
              <w:t>4</w:t>
            </w:r>
          </w:p>
        </w:tc>
        <w:tc>
          <w:tcPr>
            <w:tcW w:w="7621" w:type="dxa"/>
            <w:gridSpan w:val="4"/>
            <w:tcBorders>
              <w:top w:val="nil"/>
              <w:left w:val="nil"/>
              <w:bottom w:val="nil"/>
              <w:right w:val="nil"/>
            </w:tcBorders>
          </w:tcPr>
          <w:p w14:paraId="2B6346CC">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不动产权证、宗地图</w:t>
            </w:r>
          </w:p>
        </w:tc>
      </w:tr>
      <w:tr w14:paraId="0728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7D57408A">
            <w:pPr>
              <w:pStyle w:val="82"/>
              <w:ind w:firstLine="283"/>
              <w:jc w:val="both"/>
              <w:rPr>
                <w:rFonts w:ascii="Times New Roman" w:hAnsi="Times New Roman" w:eastAsia="黑体"/>
                <w:snapToGrid w:val="0"/>
                <w:color w:val="auto"/>
                <w:szCs w:val="24"/>
              </w:rPr>
            </w:pPr>
            <w:r>
              <w:rPr>
                <w:rFonts w:hint="eastAsia" w:ascii="Times New Roman" w:hAnsi="Times New Roman" w:eastAsia="黑体"/>
                <w:snapToGrid w:val="0"/>
                <w:color w:val="auto"/>
                <w:szCs w:val="24"/>
              </w:rPr>
              <w:t>附件5</w:t>
            </w:r>
          </w:p>
        </w:tc>
        <w:tc>
          <w:tcPr>
            <w:tcW w:w="7621" w:type="dxa"/>
            <w:gridSpan w:val="4"/>
            <w:tcBorders>
              <w:top w:val="nil"/>
              <w:left w:val="nil"/>
              <w:bottom w:val="nil"/>
              <w:right w:val="nil"/>
            </w:tcBorders>
          </w:tcPr>
          <w:p w14:paraId="1753DBE8">
            <w:pPr>
              <w:pStyle w:val="82"/>
              <w:rPr>
                <w:rFonts w:ascii="Times New Roman" w:hAnsi="Times New Roman" w:eastAsia="黑体"/>
                <w:snapToGrid w:val="0"/>
                <w:color w:val="auto"/>
                <w:szCs w:val="24"/>
              </w:rPr>
            </w:pPr>
            <w:r>
              <w:rPr>
                <w:rFonts w:hint="eastAsia" w:ascii="Times New Roman" w:hAnsi="Times New Roman" w:eastAsia="黑体"/>
                <w:snapToGrid w:val="0"/>
                <w:color w:val="auto"/>
                <w:szCs w:val="24"/>
              </w:rPr>
              <w:t>原辅料MSDS</w:t>
            </w:r>
          </w:p>
        </w:tc>
      </w:tr>
      <w:tr w14:paraId="1B3B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26334B2B">
            <w:pPr>
              <w:pStyle w:val="82"/>
              <w:ind w:firstLine="283"/>
              <w:jc w:val="both"/>
              <w:rPr>
                <w:rFonts w:hint="default" w:ascii="Times New Roman" w:hAnsi="Times New Roman" w:eastAsia="黑体"/>
                <w:snapToGrid w:val="0"/>
                <w:color w:val="auto"/>
                <w:szCs w:val="24"/>
                <w:lang w:val="en-US" w:eastAsia="zh-CN"/>
              </w:rPr>
            </w:pPr>
            <w:r>
              <w:rPr>
                <w:rFonts w:hint="eastAsia" w:ascii="Times New Roman" w:hAnsi="Times New Roman" w:eastAsia="黑体"/>
                <w:snapToGrid w:val="0"/>
                <w:color w:val="auto"/>
                <w:szCs w:val="24"/>
                <w:lang w:val="en-US" w:eastAsia="zh-CN"/>
              </w:rPr>
              <w:t>附件6</w:t>
            </w:r>
          </w:p>
        </w:tc>
        <w:tc>
          <w:tcPr>
            <w:tcW w:w="7621" w:type="dxa"/>
            <w:gridSpan w:val="4"/>
            <w:tcBorders>
              <w:top w:val="nil"/>
              <w:left w:val="nil"/>
              <w:bottom w:val="nil"/>
              <w:right w:val="nil"/>
            </w:tcBorders>
          </w:tcPr>
          <w:p w14:paraId="18D76B4B">
            <w:pPr>
              <w:pStyle w:val="82"/>
              <w:rPr>
                <w:rFonts w:hint="default" w:ascii="Times New Roman" w:hAnsi="Times New Roman" w:eastAsia="黑体"/>
                <w:snapToGrid w:val="0"/>
                <w:color w:val="auto"/>
                <w:szCs w:val="24"/>
                <w:lang w:val="en-US" w:eastAsia="zh-CN"/>
              </w:rPr>
            </w:pPr>
            <w:r>
              <w:rPr>
                <w:rFonts w:hint="eastAsia" w:ascii="Times New Roman" w:hAnsi="Times New Roman" w:eastAsia="黑体"/>
                <w:snapToGrid w:val="0"/>
                <w:color w:val="auto"/>
                <w:szCs w:val="24"/>
                <w:lang w:val="en-US" w:eastAsia="zh-CN"/>
              </w:rPr>
              <w:t>工业集聚点证明</w:t>
            </w:r>
          </w:p>
        </w:tc>
      </w:tr>
      <w:tr w14:paraId="2EF5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61E74F01">
            <w:pPr>
              <w:pStyle w:val="82"/>
              <w:ind w:firstLine="283"/>
              <w:rPr>
                <w:rFonts w:ascii="Times New Roman" w:hAnsi="Times New Roman" w:eastAsia="黑体"/>
                <w:snapToGrid w:val="0"/>
                <w:color w:val="auto"/>
                <w:szCs w:val="24"/>
              </w:rPr>
            </w:pPr>
          </w:p>
        </w:tc>
        <w:tc>
          <w:tcPr>
            <w:tcW w:w="3470" w:type="dxa"/>
            <w:tcBorders>
              <w:top w:val="nil"/>
              <w:left w:val="nil"/>
              <w:bottom w:val="nil"/>
              <w:right w:val="nil"/>
            </w:tcBorders>
          </w:tcPr>
          <w:p w14:paraId="01CECB8F">
            <w:pPr>
              <w:pStyle w:val="82"/>
              <w:rPr>
                <w:rFonts w:ascii="Times New Roman" w:hAnsi="Times New Roman" w:eastAsia="黑体"/>
                <w:snapToGrid w:val="0"/>
                <w:color w:val="auto"/>
                <w:szCs w:val="24"/>
              </w:rPr>
            </w:pPr>
          </w:p>
        </w:tc>
        <w:tc>
          <w:tcPr>
            <w:tcW w:w="1024" w:type="dxa"/>
            <w:tcBorders>
              <w:top w:val="nil"/>
              <w:left w:val="nil"/>
              <w:bottom w:val="nil"/>
              <w:right w:val="nil"/>
            </w:tcBorders>
          </w:tcPr>
          <w:p w14:paraId="7563D987">
            <w:pPr>
              <w:pStyle w:val="82"/>
              <w:jc w:val="center"/>
              <w:rPr>
                <w:rFonts w:ascii="Times New Roman" w:hAnsi="Times New Roman" w:eastAsia="黑体"/>
                <w:snapToGrid w:val="0"/>
                <w:color w:val="auto"/>
                <w:szCs w:val="24"/>
              </w:rPr>
            </w:pPr>
          </w:p>
        </w:tc>
        <w:tc>
          <w:tcPr>
            <w:tcW w:w="3127" w:type="dxa"/>
            <w:gridSpan w:val="2"/>
            <w:tcBorders>
              <w:top w:val="nil"/>
              <w:left w:val="nil"/>
              <w:bottom w:val="nil"/>
              <w:right w:val="nil"/>
            </w:tcBorders>
          </w:tcPr>
          <w:p w14:paraId="129D132C">
            <w:pPr>
              <w:pStyle w:val="82"/>
              <w:jc w:val="center"/>
              <w:rPr>
                <w:rFonts w:ascii="Times New Roman" w:hAnsi="Times New Roman" w:eastAsia="黑体"/>
                <w:snapToGrid w:val="0"/>
                <w:color w:val="auto"/>
                <w:szCs w:val="24"/>
              </w:rPr>
            </w:pPr>
          </w:p>
        </w:tc>
      </w:tr>
      <w:tr w14:paraId="1A4F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nil"/>
              <w:left w:val="nil"/>
              <w:bottom w:val="nil"/>
              <w:right w:val="nil"/>
            </w:tcBorders>
          </w:tcPr>
          <w:p w14:paraId="12554B3F">
            <w:pPr>
              <w:pStyle w:val="82"/>
              <w:ind w:firstLine="283"/>
              <w:rPr>
                <w:rFonts w:ascii="Times New Roman" w:hAnsi="Times New Roman" w:eastAsia="黑体"/>
                <w:snapToGrid w:val="0"/>
                <w:color w:val="auto"/>
                <w:szCs w:val="24"/>
              </w:rPr>
            </w:pPr>
            <w:bookmarkStart w:id="2" w:name="_Toc67930370"/>
          </w:p>
        </w:tc>
        <w:tc>
          <w:tcPr>
            <w:tcW w:w="3470" w:type="dxa"/>
            <w:tcBorders>
              <w:top w:val="nil"/>
              <w:left w:val="nil"/>
              <w:bottom w:val="nil"/>
              <w:right w:val="nil"/>
            </w:tcBorders>
          </w:tcPr>
          <w:p w14:paraId="6D34630F">
            <w:pPr>
              <w:pStyle w:val="82"/>
              <w:rPr>
                <w:rFonts w:ascii="Times New Roman" w:hAnsi="Times New Roman" w:eastAsia="黑体"/>
                <w:snapToGrid w:val="0"/>
                <w:color w:val="auto"/>
                <w:szCs w:val="24"/>
              </w:rPr>
            </w:pPr>
          </w:p>
        </w:tc>
        <w:tc>
          <w:tcPr>
            <w:tcW w:w="1024" w:type="dxa"/>
            <w:tcBorders>
              <w:top w:val="nil"/>
              <w:left w:val="nil"/>
              <w:bottom w:val="nil"/>
              <w:right w:val="nil"/>
            </w:tcBorders>
          </w:tcPr>
          <w:p w14:paraId="0DC938FA">
            <w:pPr>
              <w:pStyle w:val="82"/>
              <w:jc w:val="center"/>
              <w:rPr>
                <w:rFonts w:ascii="Times New Roman" w:hAnsi="Times New Roman" w:eastAsia="黑体"/>
                <w:snapToGrid w:val="0"/>
                <w:color w:val="auto"/>
                <w:szCs w:val="24"/>
              </w:rPr>
            </w:pPr>
          </w:p>
        </w:tc>
        <w:tc>
          <w:tcPr>
            <w:tcW w:w="3127" w:type="dxa"/>
            <w:gridSpan w:val="2"/>
            <w:tcBorders>
              <w:top w:val="nil"/>
              <w:left w:val="nil"/>
              <w:bottom w:val="nil"/>
              <w:right w:val="nil"/>
            </w:tcBorders>
          </w:tcPr>
          <w:p w14:paraId="7B9B927A">
            <w:pPr>
              <w:pStyle w:val="82"/>
              <w:jc w:val="center"/>
              <w:rPr>
                <w:rFonts w:ascii="Times New Roman" w:hAnsi="Times New Roman" w:eastAsia="黑体"/>
                <w:snapToGrid w:val="0"/>
                <w:color w:val="auto"/>
                <w:szCs w:val="24"/>
              </w:rPr>
            </w:pPr>
          </w:p>
        </w:tc>
      </w:tr>
    </w:tbl>
    <w:p w14:paraId="703D4F14">
      <w:pPr>
        <w:pStyle w:val="82"/>
        <w:jc w:val="center"/>
        <w:outlineLvl w:val="0"/>
        <w:rPr>
          <w:rFonts w:ascii="Times New Roman" w:hAnsi="Times New Roman" w:eastAsia="黑体"/>
          <w:snapToGrid w:val="0"/>
          <w:color w:val="auto"/>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B0F929F">
      <w:pPr>
        <w:pStyle w:val="8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bookmarkEnd w:id="2"/>
    </w:p>
    <w:tbl>
      <w:tblPr>
        <w:tblStyle w:val="88"/>
        <w:tblW w:w="49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7"/>
        <w:gridCol w:w="1728"/>
        <w:gridCol w:w="1891"/>
        <w:gridCol w:w="1856"/>
        <w:gridCol w:w="2909"/>
      </w:tblGrid>
      <w:tr w14:paraId="1CB00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6" w:type="pct"/>
            <w:gridSpan w:val="2"/>
            <w:tcMar>
              <w:top w:w="16" w:type="dxa"/>
              <w:left w:w="16" w:type="dxa"/>
              <w:right w:w="16" w:type="dxa"/>
            </w:tcMar>
            <w:vAlign w:val="center"/>
          </w:tcPr>
          <w:p w14:paraId="1F78CE62">
            <w:pPr>
              <w:adjustRightInd w:val="0"/>
              <w:snapToGrid w:val="0"/>
              <w:jc w:val="center"/>
              <w:rPr>
                <w:color w:val="auto"/>
                <w:sz w:val="24"/>
              </w:rPr>
            </w:pPr>
            <w:r>
              <w:rPr>
                <w:color w:val="auto"/>
                <w:sz w:val="24"/>
              </w:rPr>
              <w:t>建设项目名称</w:t>
            </w:r>
          </w:p>
        </w:tc>
        <w:tc>
          <w:tcPr>
            <w:tcW w:w="3773" w:type="pct"/>
            <w:gridSpan w:val="3"/>
            <w:vAlign w:val="center"/>
          </w:tcPr>
          <w:p w14:paraId="78923960">
            <w:pPr>
              <w:adjustRightInd w:val="0"/>
              <w:snapToGrid w:val="0"/>
              <w:jc w:val="center"/>
              <w:rPr>
                <w:color w:val="auto"/>
                <w:sz w:val="24"/>
              </w:rPr>
            </w:pPr>
            <w:r>
              <w:rPr>
                <w:rFonts w:hint="eastAsia"/>
                <w:color w:val="auto"/>
                <w:sz w:val="24"/>
                <w:szCs w:val="32"/>
              </w:rPr>
              <w:t>裕达新材料年产</w:t>
            </w:r>
            <w:r>
              <w:rPr>
                <w:rFonts w:hint="eastAsia"/>
                <w:color w:val="auto"/>
                <w:sz w:val="24"/>
                <w:szCs w:val="32"/>
                <w:lang w:val="en-US" w:eastAsia="zh-CN"/>
              </w:rPr>
              <w:t>10</w:t>
            </w:r>
            <w:r>
              <w:rPr>
                <w:rFonts w:hint="eastAsia"/>
                <w:color w:val="auto"/>
                <w:sz w:val="24"/>
                <w:szCs w:val="32"/>
              </w:rPr>
              <w:t>万套木塑门、</w:t>
            </w:r>
            <w:r>
              <w:rPr>
                <w:rFonts w:hint="eastAsia"/>
                <w:color w:val="auto"/>
                <w:sz w:val="24"/>
                <w:szCs w:val="32"/>
                <w:lang w:val="en-US" w:eastAsia="zh-CN"/>
              </w:rPr>
              <w:t>200</w:t>
            </w:r>
            <w:r>
              <w:rPr>
                <w:rFonts w:hint="eastAsia"/>
                <w:color w:val="auto"/>
                <w:sz w:val="24"/>
                <w:szCs w:val="32"/>
              </w:rPr>
              <w:t>万米木塑线条项目</w:t>
            </w:r>
          </w:p>
        </w:tc>
      </w:tr>
      <w:tr w14:paraId="683C2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6" w:type="pct"/>
            <w:gridSpan w:val="2"/>
            <w:tcMar>
              <w:top w:w="16" w:type="dxa"/>
              <w:left w:w="16" w:type="dxa"/>
              <w:right w:w="16" w:type="dxa"/>
            </w:tcMar>
            <w:vAlign w:val="center"/>
          </w:tcPr>
          <w:p w14:paraId="27CCC94B">
            <w:pPr>
              <w:adjustRightInd w:val="0"/>
              <w:snapToGrid w:val="0"/>
              <w:jc w:val="center"/>
              <w:rPr>
                <w:color w:val="auto"/>
                <w:sz w:val="24"/>
              </w:rPr>
            </w:pPr>
            <w:r>
              <w:rPr>
                <w:color w:val="auto"/>
                <w:sz w:val="24"/>
              </w:rPr>
              <w:t>项目代码</w:t>
            </w:r>
          </w:p>
        </w:tc>
        <w:tc>
          <w:tcPr>
            <w:tcW w:w="3773" w:type="pct"/>
            <w:gridSpan w:val="3"/>
            <w:vAlign w:val="center"/>
          </w:tcPr>
          <w:p w14:paraId="7652F98A">
            <w:pPr>
              <w:adjustRightInd w:val="0"/>
              <w:snapToGrid w:val="0"/>
              <w:jc w:val="center"/>
              <w:rPr>
                <w:color w:val="auto"/>
                <w:sz w:val="24"/>
              </w:rPr>
            </w:pPr>
            <w:r>
              <w:rPr>
                <w:rFonts w:hint="eastAsia"/>
                <w:color w:val="auto"/>
                <w:sz w:val="24"/>
              </w:rPr>
              <w:t>2506-330503-07-02-460157</w:t>
            </w:r>
          </w:p>
        </w:tc>
      </w:tr>
      <w:tr w14:paraId="42737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6" w:type="pct"/>
            <w:gridSpan w:val="2"/>
            <w:tcMar>
              <w:top w:w="16" w:type="dxa"/>
              <w:left w:w="16" w:type="dxa"/>
              <w:right w:w="16" w:type="dxa"/>
            </w:tcMar>
            <w:vAlign w:val="center"/>
          </w:tcPr>
          <w:p w14:paraId="666F28A0">
            <w:pPr>
              <w:adjustRightInd w:val="0"/>
              <w:snapToGrid w:val="0"/>
              <w:jc w:val="center"/>
              <w:rPr>
                <w:color w:val="auto"/>
                <w:sz w:val="24"/>
              </w:rPr>
            </w:pPr>
            <w:r>
              <w:rPr>
                <w:color w:val="auto"/>
                <w:sz w:val="24"/>
              </w:rPr>
              <w:t>建设单位联系人</w:t>
            </w:r>
          </w:p>
        </w:tc>
        <w:tc>
          <w:tcPr>
            <w:tcW w:w="1072" w:type="pct"/>
            <w:vAlign w:val="center"/>
          </w:tcPr>
          <w:p w14:paraId="51766A6D">
            <w:pPr>
              <w:adjustRightInd w:val="0"/>
              <w:snapToGrid w:val="0"/>
              <w:jc w:val="center"/>
              <w:rPr>
                <w:color w:val="auto"/>
                <w:sz w:val="24"/>
              </w:rPr>
            </w:pPr>
            <w:r>
              <w:rPr>
                <w:rFonts w:hint="eastAsia"/>
                <w:color w:val="auto"/>
                <w:sz w:val="24"/>
              </w:rPr>
              <w:t>王磊</w:t>
            </w:r>
          </w:p>
        </w:tc>
        <w:tc>
          <w:tcPr>
            <w:tcW w:w="1051" w:type="pct"/>
            <w:vAlign w:val="center"/>
          </w:tcPr>
          <w:p w14:paraId="46DDAB71">
            <w:pPr>
              <w:adjustRightInd w:val="0"/>
              <w:snapToGrid w:val="0"/>
              <w:jc w:val="center"/>
              <w:rPr>
                <w:color w:val="auto"/>
                <w:sz w:val="24"/>
              </w:rPr>
            </w:pPr>
            <w:r>
              <w:rPr>
                <w:color w:val="auto"/>
                <w:sz w:val="24"/>
              </w:rPr>
              <w:t>联系方式</w:t>
            </w:r>
          </w:p>
        </w:tc>
        <w:tc>
          <w:tcPr>
            <w:tcW w:w="1648" w:type="pct"/>
            <w:vAlign w:val="center"/>
          </w:tcPr>
          <w:p w14:paraId="4106F1B5">
            <w:pPr>
              <w:adjustRightInd w:val="0"/>
              <w:snapToGrid w:val="0"/>
              <w:jc w:val="center"/>
              <w:rPr>
                <w:color w:val="auto"/>
                <w:sz w:val="24"/>
              </w:rPr>
            </w:pPr>
            <w:r>
              <w:rPr>
                <w:color w:val="auto"/>
                <w:sz w:val="24"/>
              </w:rPr>
              <w:t>18267252999</w:t>
            </w:r>
          </w:p>
        </w:tc>
      </w:tr>
      <w:tr w14:paraId="31129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6" w:type="pct"/>
            <w:gridSpan w:val="2"/>
            <w:tcMar>
              <w:top w:w="16" w:type="dxa"/>
              <w:left w:w="16" w:type="dxa"/>
              <w:right w:w="16" w:type="dxa"/>
            </w:tcMar>
            <w:vAlign w:val="center"/>
          </w:tcPr>
          <w:p w14:paraId="62982291">
            <w:pPr>
              <w:adjustRightInd w:val="0"/>
              <w:snapToGrid w:val="0"/>
              <w:jc w:val="center"/>
              <w:rPr>
                <w:color w:val="auto"/>
                <w:sz w:val="24"/>
              </w:rPr>
            </w:pPr>
            <w:r>
              <w:rPr>
                <w:color w:val="auto"/>
                <w:sz w:val="24"/>
              </w:rPr>
              <w:t>建设地点</w:t>
            </w:r>
          </w:p>
        </w:tc>
        <w:tc>
          <w:tcPr>
            <w:tcW w:w="3773" w:type="pct"/>
            <w:gridSpan w:val="3"/>
            <w:vAlign w:val="center"/>
          </w:tcPr>
          <w:p w14:paraId="0172ED9F">
            <w:pPr>
              <w:adjustRightInd w:val="0"/>
              <w:snapToGrid w:val="0"/>
              <w:jc w:val="center"/>
              <w:rPr>
                <w:color w:val="auto"/>
                <w:sz w:val="24"/>
              </w:rPr>
            </w:pPr>
            <w:r>
              <w:rPr>
                <w:rFonts w:hint="eastAsia"/>
                <w:color w:val="auto"/>
                <w:sz w:val="24"/>
              </w:rPr>
              <w:t>练市镇水口村东堡工业区</w:t>
            </w:r>
          </w:p>
        </w:tc>
      </w:tr>
      <w:tr w14:paraId="31CF4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26" w:type="pct"/>
            <w:gridSpan w:val="2"/>
            <w:tcMar>
              <w:top w:w="16" w:type="dxa"/>
              <w:left w:w="16" w:type="dxa"/>
              <w:right w:w="16" w:type="dxa"/>
            </w:tcMar>
            <w:vAlign w:val="center"/>
          </w:tcPr>
          <w:p w14:paraId="30584FD4">
            <w:pPr>
              <w:adjustRightInd w:val="0"/>
              <w:snapToGrid w:val="0"/>
              <w:jc w:val="center"/>
              <w:rPr>
                <w:color w:val="auto"/>
                <w:sz w:val="24"/>
              </w:rPr>
            </w:pPr>
            <w:r>
              <w:rPr>
                <w:color w:val="auto"/>
                <w:sz w:val="24"/>
              </w:rPr>
              <w:t>地理坐标</w:t>
            </w:r>
          </w:p>
        </w:tc>
        <w:tc>
          <w:tcPr>
            <w:tcW w:w="3773" w:type="pct"/>
            <w:gridSpan w:val="3"/>
            <w:vAlign w:val="center"/>
          </w:tcPr>
          <w:p w14:paraId="46FB4D3F">
            <w:pPr>
              <w:jc w:val="center"/>
              <w:rPr>
                <w:color w:val="auto"/>
                <w:sz w:val="24"/>
              </w:rPr>
            </w:pPr>
            <w:r>
              <w:rPr>
                <w:rFonts w:hint="eastAsia"/>
                <w:color w:val="auto"/>
                <w:sz w:val="24"/>
              </w:rPr>
              <w:t>120°24′37.127″；</w:t>
            </w:r>
            <w:r>
              <w:rPr>
                <w:color w:val="auto"/>
                <w:sz w:val="24"/>
              </w:rPr>
              <w:t>30</w:t>
            </w:r>
            <w:r>
              <w:rPr>
                <w:rFonts w:hint="eastAsia"/>
                <w:color w:val="auto"/>
                <w:sz w:val="24"/>
              </w:rPr>
              <w:t>°</w:t>
            </w:r>
            <w:r>
              <w:rPr>
                <w:color w:val="auto"/>
                <w:sz w:val="24"/>
              </w:rPr>
              <w:t>4</w:t>
            </w:r>
            <w:r>
              <w:rPr>
                <w:rFonts w:hint="eastAsia"/>
                <w:color w:val="auto"/>
                <w:sz w:val="24"/>
              </w:rPr>
              <w:t>6′4.462″</w:t>
            </w:r>
          </w:p>
        </w:tc>
      </w:tr>
      <w:tr w14:paraId="4A29C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26" w:type="pct"/>
            <w:gridSpan w:val="2"/>
            <w:tcMar>
              <w:top w:w="16" w:type="dxa"/>
              <w:left w:w="16" w:type="dxa"/>
              <w:right w:w="16" w:type="dxa"/>
            </w:tcMar>
            <w:vAlign w:val="center"/>
          </w:tcPr>
          <w:p w14:paraId="78111095">
            <w:pPr>
              <w:adjustRightInd w:val="0"/>
              <w:snapToGrid w:val="0"/>
              <w:jc w:val="center"/>
              <w:rPr>
                <w:color w:val="auto"/>
                <w:sz w:val="24"/>
              </w:rPr>
            </w:pPr>
            <w:r>
              <w:rPr>
                <w:color w:val="auto"/>
                <w:sz w:val="24"/>
              </w:rPr>
              <w:t>国民经济</w:t>
            </w:r>
          </w:p>
          <w:p w14:paraId="41B61858">
            <w:pPr>
              <w:adjustRightInd w:val="0"/>
              <w:snapToGrid w:val="0"/>
              <w:jc w:val="center"/>
              <w:rPr>
                <w:color w:val="auto"/>
                <w:sz w:val="24"/>
              </w:rPr>
            </w:pPr>
            <w:r>
              <w:rPr>
                <w:color w:val="auto"/>
                <w:sz w:val="24"/>
              </w:rPr>
              <w:t>行业类别</w:t>
            </w:r>
          </w:p>
        </w:tc>
        <w:tc>
          <w:tcPr>
            <w:tcW w:w="1072" w:type="pct"/>
            <w:vAlign w:val="center"/>
          </w:tcPr>
          <w:p w14:paraId="01D0B752">
            <w:pPr>
              <w:adjustRightInd w:val="0"/>
              <w:snapToGrid w:val="0"/>
              <w:jc w:val="center"/>
              <w:rPr>
                <w:color w:val="auto"/>
                <w:sz w:val="24"/>
              </w:rPr>
            </w:pPr>
            <w:r>
              <w:rPr>
                <w:rFonts w:hint="eastAsia"/>
                <w:color w:val="auto"/>
                <w:sz w:val="24"/>
                <w:lang w:val="en-US" w:eastAsia="zh-CN"/>
              </w:rPr>
              <w:t>塑料家具制造</w:t>
            </w:r>
            <w:r>
              <w:rPr>
                <w:rFonts w:hint="eastAsia"/>
                <w:color w:val="auto"/>
                <w:sz w:val="24"/>
              </w:rPr>
              <w:t>（C</w:t>
            </w:r>
            <w:r>
              <w:rPr>
                <w:rFonts w:hint="eastAsia"/>
                <w:color w:val="auto"/>
                <w:sz w:val="24"/>
                <w:lang w:val="en-US" w:eastAsia="zh-CN"/>
              </w:rPr>
              <w:t>2140</w:t>
            </w:r>
            <w:r>
              <w:rPr>
                <w:rFonts w:hint="eastAsia"/>
                <w:color w:val="auto"/>
                <w:sz w:val="24"/>
              </w:rPr>
              <w:t>）</w:t>
            </w:r>
          </w:p>
        </w:tc>
        <w:tc>
          <w:tcPr>
            <w:tcW w:w="1051" w:type="pct"/>
            <w:vAlign w:val="center"/>
          </w:tcPr>
          <w:p w14:paraId="3F1585FA">
            <w:pPr>
              <w:adjustRightInd w:val="0"/>
              <w:snapToGrid w:val="0"/>
              <w:jc w:val="center"/>
              <w:rPr>
                <w:color w:val="auto"/>
                <w:sz w:val="24"/>
              </w:rPr>
            </w:pPr>
            <w:bookmarkStart w:id="3" w:name="_Hlk49843745"/>
            <w:r>
              <w:rPr>
                <w:color w:val="auto"/>
                <w:sz w:val="24"/>
              </w:rPr>
              <w:t>建设项目</w:t>
            </w:r>
          </w:p>
          <w:p w14:paraId="37C1A2B6">
            <w:pPr>
              <w:adjustRightInd w:val="0"/>
              <w:snapToGrid w:val="0"/>
              <w:jc w:val="center"/>
              <w:rPr>
                <w:color w:val="auto"/>
                <w:sz w:val="24"/>
              </w:rPr>
            </w:pPr>
            <w:r>
              <w:rPr>
                <w:color w:val="auto"/>
                <w:sz w:val="24"/>
              </w:rPr>
              <w:t>行业类别</w:t>
            </w:r>
            <w:bookmarkEnd w:id="3"/>
          </w:p>
        </w:tc>
        <w:tc>
          <w:tcPr>
            <w:tcW w:w="1648" w:type="pct"/>
            <w:vAlign w:val="center"/>
          </w:tcPr>
          <w:p w14:paraId="3867EA45">
            <w:pPr>
              <w:numPr>
                <w:ilvl w:val="0"/>
                <w:numId w:val="12"/>
              </w:numPr>
              <w:adjustRightInd w:val="0"/>
              <w:snapToGrid w:val="0"/>
              <w:rPr>
                <w:color w:val="auto"/>
                <w:sz w:val="24"/>
              </w:rPr>
            </w:pPr>
            <w:r>
              <w:rPr>
                <w:rFonts w:hint="eastAsia"/>
                <w:color w:val="auto"/>
                <w:sz w:val="24"/>
              </w:rPr>
              <w:t>、家具制造业 21</w:t>
            </w:r>
            <w:r>
              <w:rPr>
                <w:color w:val="auto"/>
                <w:sz w:val="24"/>
              </w:rPr>
              <w:t>，</w:t>
            </w:r>
          </w:p>
          <w:p w14:paraId="06998256">
            <w:pPr>
              <w:numPr>
                <w:ilvl w:val="0"/>
                <w:numId w:val="0"/>
              </w:numPr>
              <w:adjustRightInd w:val="0"/>
              <w:snapToGrid w:val="0"/>
              <w:rPr>
                <w:color w:val="auto"/>
                <w:sz w:val="24"/>
              </w:rPr>
            </w:pPr>
            <w:r>
              <w:rPr>
                <w:rFonts w:hint="eastAsia"/>
                <w:color w:val="auto"/>
                <w:sz w:val="24"/>
                <w:lang w:val="en-US" w:eastAsia="zh-CN"/>
              </w:rPr>
              <w:t>36</w:t>
            </w:r>
            <w:r>
              <w:rPr>
                <w:color w:val="auto"/>
                <w:sz w:val="24"/>
              </w:rPr>
              <w:t>、</w:t>
            </w:r>
            <w:r>
              <w:rPr>
                <w:rFonts w:hint="eastAsia"/>
                <w:color w:val="auto"/>
                <w:sz w:val="24"/>
              </w:rPr>
              <w:t>塑料家具制造214*</w:t>
            </w:r>
          </w:p>
        </w:tc>
      </w:tr>
      <w:tr w14:paraId="37BC2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6" w:hRule="atLeast"/>
          <w:jc w:val="center"/>
        </w:trPr>
        <w:tc>
          <w:tcPr>
            <w:tcW w:w="1226" w:type="pct"/>
            <w:gridSpan w:val="2"/>
            <w:tcMar>
              <w:top w:w="16" w:type="dxa"/>
              <w:left w:w="16" w:type="dxa"/>
              <w:right w:w="16" w:type="dxa"/>
            </w:tcMar>
            <w:vAlign w:val="center"/>
          </w:tcPr>
          <w:p w14:paraId="40643E16">
            <w:pPr>
              <w:adjustRightInd w:val="0"/>
              <w:snapToGrid w:val="0"/>
              <w:jc w:val="center"/>
              <w:rPr>
                <w:color w:val="auto"/>
                <w:sz w:val="24"/>
              </w:rPr>
            </w:pPr>
            <w:r>
              <w:rPr>
                <w:color w:val="auto"/>
                <w:sz w:val="24"/>
              </w:rPr>
              <w:t>建设性质</w:t>
            </w:r>
          </w:p>
        </w:tc>
        <w:tc>
          <w:tcPr>
            <w:tcW w:w="1072" w:type="pct"/>
            <w:vAlign w:val="center"/>
          </w:tcPr>
          <w:p w14:paraId="60AEA96F">
            <w:pPr>
              <w:spacing w:line="276" w:lineRule="auto"/>
              <w:jc w:val="left"/>
              <w:rPr>
                <w:color w:val="auto"/>
                <w:sz w:val="24"/>
              </w:rPr>
            </w:pPr>
            <w:r>
              <w:rPr>
                <w:color w:val="auto"/>
                <w:sz w:val="24"/>
              </w:rPr>
              <w:t>☑新建（迁建）</w:t>
            </w:r>
          </w:p>
          <w:p w14:paraId="27A6E031">
            <w:pPr>
              <w:spacing w:line="276" w:lineRule="auto"/>
              <w:jc w:val="left"/>
              <w:rPr>
                <w:color w:val="auto"/>
                <w:sz w:val="24"/>
              </w:rPr>
            </w:pPr>
            <w:r>
              <w:rPr>
                <w:color w:val="auto"/>
                <w:sz w:val="32"/>
                <w:szCs w:val="32"/>
              </w:rPr>
              <w:t>□</w:t>
            </w:r>
            <w:r>
              <w:rPr>
                <w:color w:val="auto"/>
                <w:sz w:val="24"/>
              </w:rPr>
              <w:t>改建</w:t>
            </w:r>
          </w:p>
          <w:p w14:paraId="47F37B9C">
            <w:pPr>
              <w:spacing w:line="276" w:lineRule="auto"/>
              <w:jc w:val="left"/>
              <w:rPr>
                <w:color w:val="auto"/>
                <w:sz w:val="24"/>
              </w:rPr>
            </w:pPr>
            <w:r>
              <w:rPr>
                <w:color w:val="auto"/>
                <w:sz w:val="32"/>
                <w:szCs w:val="32"/>
              </w:rPr>
              <w:t>□</w:t>
            </w:r>
            <w:r>
              <w:rPr>
                <w:color w:val="auto"/>
                <w:sz w:val="24"/>
              </w:rPr>
              <w:t>扩建</w:t>
            </w:r>
          </w:p>
          <w:p w14:paraId="62D9F845">
            <w:pPr>
              <w:spacing w:line="276" w:lineRule="auto"/>
              <w:jc w:val="left"/>
              <w:rPr>
                <w:color w:val="auto"/>
                <w:sz w:val="24"/>
              </w:rPr>
            </w:pPr>
            <w:r>
              <w:rPr>
                <w:color w:val="auto"/>
                <w:sz w:val="32"/>
                <w:szCs w:val="32"/>
              </w:rPr>
              <w:t>□</w:t>
            </w:r>
            <w:r>
              <w:rPr>
                <w:color w:val="auto"/>
                <w:sz w:val="24"/>
              </w:rPr>
              <w:t>技术改造</w:t>
            </w:r>
          </w:p>
        </w:tc>
        <w:tc>
          <w:tcPr>
            <w:tcW w:w="1051" w:type="pct"/>
            <w:vAlign w:val="center"/>
          </w:tcPr>
          <w:p w14:paraId="5F165EC8">
            <w:pPr>
              <w:adjustRightInd w:val="0"/>
              <w:snapToGrid w:val="0"/>
              <w:jc w:val="center"/>
              <w:rPr>
                <w:color w:val="auto"/>
                <w:sz w:val="24"/>
              </w:rPr>
            </w:pPr>
            <w:r>
              <w:rPr>
                <w:color w:val="auto"/>
                <w:sz w:val="24"/>
              </w:rPr>
              <w:t>建设项目</w:t>
            </w:r>
          </w:p>
          <w:p w14:paraId="783F1830">
            <w:pPr>
              <w:adjustRightInd w:val="0"/>
              <w:snapToGrid w:val="0"/>
              <w:jc w:val="center"/>
              <w:rPr>
                <w:color w:val="auto"/>
                <w:sz w:val="24"/>
              </w:rPr>
            </w:pPr>
            <w:r>
              <w:rPr>
                <w:color w:val="auto"/>
                <w:sz w:val="24"/>
              </w:rPr>
              <w:t>申报情形</w:t>
            </w:r>
          </w:p>
        </w:tc>
        <w:tc>
          <w:tcPr>
            <w:tcW w:w="1648" w:type="pct"/>
            <w:vAlign w:val="center"/>
          </w:tcPr>
          <w:p w14:paraId="278FDB1B">
            <w:pPr>
              <w:spacing w:line="276" w:lineRule="auto"/>
              <w:jc w:val="left"/>
              <w:rPr>
                <w:color w:val="auto"/>
                <w:sz w:val="24"/>
              </w:rPr>
            </w:pPr>
            <w:r>
              <w:rPr>
                <w:color w:val="auto"/>
                <w:sz w:val="24"/>
              </w:rPr>
              <w:t>☑首次申报项目</w:t>
            </w:r>
          </w:p>
          <w:p w14:paraId="54D5636A">
            <w:pPr>
              <w:jc w:val="left"/>
              <w:rPr>
                <w:color w:val="auto"/>
                <w:sz w:val="24"/>
              </w:rPr>
            </w:pPr>
            <w:r>
              <w:rPr>
                <w:color w:val="auto"/>
                <w:sz w:val="32"/>
                <w:szCs w:val="32"/>
              </w:rPr>
              <w:t>□</w:t>
            </w:r>
            <w:r>
              <w:rPr>
                <w:color w:val="auto"/>
                <w:sz w:val="24"/>
              </w:rPr>
              <w:t>不予批准后再次申报项目</w:t>
            </w:r>
          </w:p>
          <w:p w14:paraId="1953B3B9">
            <w:pPr>
              <w:spacing w:line="276" w:lineRule="auto"/>
              <w:jc w:val="left"/>
              <w:rPr>
                <w:color w:val="auto"/>
                <w:sz w:val="24"/>
              </w:rPr>
            </w:pPr>
            <w:r>
              <w:rPr>
                <w:color w:val="auto"/>
                <w:sz w:val="32"/>
                <w:szCs w:val="32"/>
              </w:rPr>
              <w:t>□</w:t>
            </w:r>
            <w:r>
              <w:rPr>
                <w:color w:val="auto"/>
                <w:sz w:val="24"/>
              </w:rPr>
              <w:t>超五年重新审核项目</w:t>
            </w:r>
          </w:p>
          <w:p w14:paraId="3B228E5C">
            <w:pPr>
              <w:spacing w:line="276" w:lineRule="auto"/>
              <w:jc w:val="left"/>
              <w:rPr>
                <w:color w:val="auto"/>
                <w:sz w:val="24"/>
              </w:rPr>
            </w:pPr>
            <w:r>
              <w:rPr>
                <w:color w:val="auto"/>
                <w:sz w:val="32"/>
                <w:szCs w:val="32"/>
              </w:rPr>
              <w:t>□</w:t>
            </w:r>
            <w:r>
              <w:rPr>
                <w:color w:val="auto"/>
                <w:sz w:val="24"/>
              </w:rPr>
              <w:t>重大变动重新报批项目</w:t>
            </w:r>
          </w:p>
        </w:tc>
      </w:tr>
      <w:tr w14:paraId="15C32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26" w:type="pct"/>
            <w:gridSpan w:val="2"/>
            <w:tcMar>
              <w:top w:w="16" w:type="dxa"/>
              <w:left w:w="16" w:type="dxa"/>
              <w:right w:w="16" w:type="dxa"/>
            </w:tcMar>
            <w:vAlign w:val="center"/>
          </w:tcPr>
          <w:p w14:paraId="47C5D55A">
            <w:pPr>
              <w:adjustRightInd w:val="0"/>
              <w:snapToGrid w:val="0"/>
              <w:jc w:val="center"/>
              <w:rPr>
                <w:color w:val="auto"/>
                <w:sz w:val="24"/>
              </w:rPr>
            </w:pPr>
            <w:r>
              <w:rPr>
                <w:color w:val="auto"/>
                <w:sz w:val="24"/>
              </w:rPr>
              <w:t>项目审批（核准/</w:t>
            </w:r>
          </w:p>
          <w:p w14:paraId="0B96BE35">
            <w:pPr>
              <w:adjustRightInd w:val="0"/>
              <w:snapToGrid w:val="0"/>
              <w:jc w:val="center"/>
              <w:rPr>
                <w:color w:val="auto"/>
                <w:sz w:val="24"/>
              </w:rPr>
            </w:pPr>
            <w:r>
              <w:rPr>
                <w:color w:val="auto"/>
                <w:sz w:val="24"/>
              </w:rPr>
              <w:t>备案）部门（选填）</w:t>
            </w:r>
          </w:p>
        </w:tc>
        <w:tc>
          <w:tcPr>
            <w:tcW w:w="1072" w:type="pct"/>
            <w:vAlign w:val="center"/>
          </w:tcPr>
          <w:p w14:paraId="310BA8EF">
            <w:pPr>
              <w:adjustRightInd w:val="0"/>
              <w:snapToGrid w:val="0"/>
              <w:jc w:val="center"/>
              <w:rPr>
                <w:color w:val="auto"/>
                <w:sz w:val="24"/>
              </w:rPr>
            </w:pPr>
            <w:r>
              <w:rPr>
                <w:color w:val="auto"/>
                <w:sz w:val="24"/>
              </w:rPr>
              <w:t>南浔区经济</w:t>
            </w:r>
            <w:r>
              <w:rPr>
                <w:rFonts w:hint="eastAsia"/>
                <w:color w:val="auto"/>
                <w:sz w:val="24"/>
                <w:lang w:val="en-US" w:eastAsia="zh-CN"/>
              </w:rPr>
              <w:t>和</w:t>
            </w:r>
            <w:r>
              <w:rPr>
                <w:color w:val="auto"/>
                <w:sz w:val="24"/>
              </w:rPr>
              <w:t>信息化局</w:t>
            </w:r>
          </w:p>
        </w:tc>
        <w:tc>
          <w:tcPr>
            <w:tcW w:w="1051" w:type="pct"/>
            <w:vAlign w:val="center"/>
          </w:tcPr>
          <w:p w14:paraId="275C9CB6">
            <w:pPr>
              <w:adjustRightInd w:val="0"/>
              <w:snapToGrid w:val="0"/>
              <w:jc w:val="center"/>
              <w:rPr>
                <w:color w:val="auto"/>
                <w:sz w:val="24"/>
              </w:rPr>
            </w:pPr>
            <w:r>
              <w:rPr>
                <w:color w:val="auto"/>
                <w:sz w:val="24"/>
              </w:rPr>
              <w:t>项目审批（核准/备案）文号（选填）</w:t>
            </w:r>
          </w:p>
        </w:tc>
        <w:tc>
          <w:tcPr>
            <w:tcW w:w="1648" w:type="pct"/>
            <w:vAlign w:val="center"/>
          </w:tcPr>
          <w:p w14:paraId="26F4BB53">
            <w:pPr>
              <w:adjustRightInd w:val="0"/>
              <w:snapToGrid w:val="0"/>
              <w:jc w:val="center"/>
              <w:rPr>
                <w:color w:val="auto"/>
                <w:sz w:val="24"/>
              </w:rPr>
            </w:pPr>
            <w:r>
              <w:rPr>
                <w:rFonts w:hint="eastAsia"/>
                <w:color w:val="auto"/>
                <w:sz w:val="24"/>
              </w:rPr>
              <w:t>2506-330503-07-02-460157</w:t>
            </w:r>
          </w:p>
        </w:tc>
      </w:tr>
      <w:tr w14:paraId="32493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6" w:type="pct"/>
            <w:gridSpan w:val="2"/>
            <w:tcMar>
              <w:top w:w="16" w:type="dxa"/>
              <w:left w:w="16" w:type="dxa"/>
              <w:right w:w="16" w:type="dxa"/>
            </w:tcMar>
            <w:vAlign w:val="center"/>
          </w:tcPr>
          <w:p w14:paraId="7A57BD82">
            <w:pPr>
              <w:adjustRightInd w:val="0"/>
              <w:snapToGrid w:val="0"/>
              <w:jc w:val="center"/>
              <w:rPr>
                <w:color w:val="auto"/>
                <w:sz w:val="24"/>
              </w:rPr>
            </w:pPr>
            <w:r>
              <w:rPr>
                <w:color w:val="auto"/>
                <w:sz w:val="24"/>
              </w:rPr>
              <w:t>总投资（万元）</w:t>
            </w:r>
          </w:p>
        </w:tc>
        <w:tc>
          <w:tcPr>
            <w:tcW w:w="1072" w:type="pct"/>
            <w:vAlign w:val="center"/>
          </w:tcPr>
          <w:p w14:paraId="130E1260">
            <w:pPr>
              <w:adjustRightInd w:val="0"/>
              <w:snapToGrid w:val="0"/>
              <w:jc w:val="center"/>
              <w:rPr>
                <w:color w:val="auto"/>
                <w:sz w:val="24"/>
              </w:rPr>
            </w:pPr>
            <w:r>
              <w:rPr>
                <w:rFonts w:hint="eastAsia"/>
                <w:color w:val="auto"/>
                <w:sz w:val="24"/>
              </w:rPr>
              <w:t>13000</w:t>
            </w:r>
          </w:p>
        </w:tc>
        <w:tc>
          <w:tcPr>
            <w:tcW w:w="1051" w:type="pct"/>
            <w:tcMar>
              <w:top w:w="16" w:type="dxa"/>
              <w:left w:w="16" w:type="dxa"/>
              <w:right w:w="16" w:type="dxa"/>
            </w:tcMar>
            <w:vAlign w:val="center"/>
          </w:tcPr>
          <w:p w14:paraId="1DE3A0F4">
            <w:pPr>
              <w:adjustRightInd w:val="0"/>
              <w:snapToGrid w:val="0"/>
              <w:jc w:val="center"/>
              <w:rPr>
                <w:color w:val="auto"/>
                <w:sz w:val="24"/>
              </w:rPr>
            </w:pPr>
            <w:r>
              <w:rPr>
                <w:color w:val="auto"/>
                <w:sz w:val="24"/>
              </w:rPr>
              <w:t>环保投资（万元）</w:t>
            </w:r>
          </w:p>
        </w:tc>
        <w:tc>
          <w:tcPr>
            <w:tcW w:w="1648" w:type="pct"/>
            <w:vAlign w:val="center"/>
          </w:tcPr>
          <w:p w14:paraId="40A26D55">
            <w:pPr>
              <w:adjustRightInd w:val="0"/>
              <w:snapToGrid w:val="0"/>
              <w:jc w:val="center"/>
              <w:rPr>
                <w:rFonts w:hint="default" w:eastAsia="宋体"/>
                <w:color w:val="auto"/>
                <w:sz w:val="24"/>
                <w:lang w:val="en-US" w:eastAsia="zh-CN"/>
              </w:rPr>
            </w:pPr>
            <w:r>
              <w:rPr>
                <w:rFonts w:hint="eastAsia"/>
                <w:color w:val="auto"/>
                <w:sz w:val="24"/>
              </w:rPr>
              <w:t>1</w:t>
            </w:r>
            <w:r>
              <w:rPr>
                <w:rFonts w:hint="eastAsia"/>
                <w:color w:val="auto"/>
                <w:sz w:val="24"/>
                <w:lang w:val="en-US" w:eastAsia="zh-CN"/>
              </w:rPr>
              <w:t>05</w:t>
            </w:r>
          </w:p>
        </w:tc>
      </w:tr>
      <w:tr w14:paraId="7B9B4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26" w:type="pct"/>
            <w:gridSpan w:val="2"/>
            <w:tcMar>
              <w:top w:w="16" w:type="dxa"/>
              <w:left w:w="16" w:type="dxa"/>
              <w:right w:w="16" w:type="dxa"/>
            </w:tcMar>
            <w:vAlign w:val="center"/>
          </w:tcPr>
          <w:p w14:paraId="3D762EFB">
            <w:pPr>
              <w:adjustRightInd w:val="0"/>
              <w:snapToGrid w:val="0"/>
              <w:jc w:val="center"/>
              <w:rPr>
                <w:color w:val="auto"/>
                <w:sz w:val="24"/>
              </w:rPr>
            </w:pPr>
            <w:r>
              <w:rPr>
                <w:color w:val="auto"/>
                <w:sz w:val="24"/>
              </w:rPr>
              <w:t>环保投资占比（%）</w:t>
            </w:r>
          </w:p>
        </w:tc>
        <w:tc>
          <w:tcPr>
            <w:tcW w:w="1072" w:type="pct"/>
            <w:vAlign w:val="center"/>
          </w:tcPr>
          <w:p w14:paraId="79F52920">
            <w:pPr>
              <w:adjustRightInd w:val="0"/>
              <w:snapToGrid w:val="0"/>
              <w:jc w:val="center"/>
              <w:rPr>
                <w:color w:val="auto"/>
                <w:sz w:val="24"/>
              </w:rPr>
            </w:pPr>
            <w:r>
              <w:rPr>
                <w:rFonts w:hint="eastAsia"/>
                <w:color w:val="auto"/>
                <w:sz w:val="24"/>
              </w:rPr>
              <w:t>0.</w:t>
            </w:r>
            <w:r>
              <w:rPr>
                <w:rFonts w:hint="eastAsia"/>
                <w:color w:val="auto"/>
                <w:sz w:val="24"/>
                <w:lang w:val="en-US" w:eastAsia="zh-CN"/>
              </w:rPr>
              <w:t>81</w:t>
            </w:r>
            <w:r>
              <w:rPr>
                <w:rFonts w:hint="eastAsia"/>
                <w:color w:val="auto"/>
                <w:sz w:val="24"/>
              </w:rPr>
              <w:t>%</w:t>
            </w:r>
          </w:p>
        </w:tc>
        <w:tc>
          <w:tcPr>
            <w:tcW w:w="1051" w:type="pct"/>
            <w:tcMar>
              <w:top w:w="16" w:type="dxa"/>
              <w:left w:w="16" w:type="dxa"/>
              <w:right w:w="16" w:type="dxa"/>
            </w:tcMar>
            <w:vAlign w:val="center"/>
          </w:tcPr>
          <w:p w14:paraId="4D379793">
            <w:pPr>
              <w:adjustRightInd w:val="0"/>
              <w:snapToGrid w:val="0"/>
              <w:jc w:val="center"/>
              <w:rPr>
                <w:color w:val="auto"/>
                <w:sz w:val="24"/>
              </w:rPr>
            </w:pPr>
            <w:r>
              <w:rPr>
                <w:color w:val="auto"/>
                <w:sz w:val="24"/>
              </w:rPr>
              <w:t>施工工期</w:t>
            </w:r>
          </w:p>
        </w:tc>
        <w:tc>
          <w:tcPr>
            <w:tcW w:w="1648" w:type="pct"/>
            <w:vAlign w:val="center"/>
          </w:tcPr>
          <w:p w14:paraId="68BED26B">
            <w:pPr>
              <w:adjustRightInd w:val="0"/>
              <w:snapToGrid w:val="0"/>
              <w:jc w:val="center"/>
              <w:rPr>
                <w:color w:val="auto"/>
                <w:sz w:val="24"/>
              </w:rPr>
            </w:pPr>
            <w:r>
              <w:rPr>
                <w:rFonts w:hint="eastAsia"/>
                <w:color w:val="auto"/>
                <w:sz w:val="24"/>
              </w:rPr>
              <w:t>11个月</w:t>
            </w:r>
          </w:p>
        </w:tc>
      </w:tr>
      <w:tr w14:paraId="27A3E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226" w:type="pct"/>
            <w:gridSpan w:val="2"/>
            <w:tcMar>
              <w:top w:w="16" w:type="dxa"/>
              <w:left w:w="16" w:type="dxa"/>
              <w:right w:w="16" w:type="dxa"/>
            </w:tcMar>
            <w:vAlign w:val="center"/>
          </w:tcPr>
          <w:p w14:paraId="0E3C8F31">
            <w:pPr>
              <w:adjustRightInd w:val="0"/>
              <w:snapToGrid w:val="0"/>
              <w:jc w:val="center"/>
              <w:rPr>
                <w:color w:val="auto"/>
                <w:sz w:val="24"/>
              </w:rPr>
            </w:pPr>
            <w:r>
              <w:rPr>
                <w:color w:val="auto"/>
                <w:sz w:val="24"/>
              </w:rPr>
              <w:t>是否开工建设</w:t>
            </w:r>
          </w:p>
        </w:tc>
        <w:tc>
          <w:tcPr>
            <w:tcW w:w="1072" w:type="pct"/>
            <w:vAlign w:val="center"/>
          </w:tcPr>
          <w:p w14:paraId="444E14E8">
            <w:pPr>
              <w:adjustRightInd w:val="0"/>
              <w:snapToGrid w:val="0"/>
              <w:rPr>
                <w:color w:val="auto"/>
                <w:sz w:val="24"/>
              </w:rPr>
            </w:pPr>
            <w:r>
              <w:rPr>
                <w:rFonts w:hint="eastAsia"/>
                <w:color w:val="auto"/>
                <w:sz w:val="24"/>
                <w:lang w:eastAsia="zh-CN"/>
              </w:rPr>
              <w:t>□</w:t>
            </w:r>
            <w:r>
              <w:rPr>
                <w:color w:val="auto"/>
                <w:sz w:val="24"/>
              </w:rPr>
              <w:t>否</w:t>
            </w:r>
          </w:p>
          <w:p w14:paraId="0284D46A">
            <w:pPr>
              <w:adjustRightInd w:val="0"/>
              <w:snapToGrid w:val="0"/>
              <w:rPr>
                <w:color w:val="auto"/>
                <w:sz w:val="24"/>
              </w:rPr>
            </w:pPr>
            <w:r>
              <w:rPr>
                <w:rFonts w:hint="eastAsia"/>
                <w:color w:val="auto"/>
                <w:sz w:val="24"/>
                <w:lang w:eastAsia="zh-CN"/>
              </w:rPr>
              <w:t>☑</w:t>
            </w:r>
            <w:r>
              <w:rPr>
                <w:color w:val="auto"/>
                <w:sz w:val="24"/>
              </w:rPr>
              <w:t>是：</w:t>
            </w:r>
            <w:r>
              <w:rPr>
                <w:rFonts w:hint="eastAsia"/>
                <w:color w:val="auto"/>
                <w:sz w:val="24"/>
              </w:rPr>
              <w:t>项目设备</w:t>
            </w:r>
            <w:r>
              <w:rPr>
                <w:rFonts w:hint="eastAsia"/>
                <w:color w:val="auto"/>
                <w:sz w:val="24"/>
                <w:lang w:val="en-US" w:eastAsia="zh-CN"/>
              </w:rPr>
              <w:t>安装中</w:t>
            </w:r>
            <w:r>
              <w:rPr>
                <w:rFonts w:hint="eastAsia"/>
                <w:color w:val="auto"/>
                <w:sz w:val="24"/>
              </w:rPr>
              <w:t>，尚未生产，待湖州市生态环境局南浔分局出具《责令整改通知书》，要求该项目在规定时限内尽快完成环境影响评价审批工作。</w:t>
            </w:r>
          </w:p>
        </w:tc>
        <w:tc>
          <w:tcPr>
            <w:tcW w:w="1051" w:type="pct"/>
            <w:tcMar>
              <w:top w:w="16" w:type="dxa"/>
              <w:left w:w="16" w:type="dxa"/>
              <w:right w:w="16" w:type="dxa"/>
            </w:tcMar>
            <w:vAlign w:val="center"/>
          </w:tcPr>
          <w:p w14:paraId="3CD5889A">
            <w:pPr>
              <w:adjustRightInd w:val="0"/>
              <w:snapToGrid w:val="0"/>
              <w:jc w:val="center"/>
              <w:rPr>
                <w:color w:val="auto"/>
                <w:spacing w:val="-6"/>
                <w:sz w:val="24"/>
              </w:rPr>
            </w:pPr>
            <w:r>
              <w:rPr>
                <w:color w:val="auto"/>
                <w:spacing w:val="-6"/>
                <w:sz w:val="24"/>
              </w:rPr>
              <w:t>用地（用海）</w:t>
            </w:r>
          </w:p>
          <w:p w14:paraId="66E64839">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1648" w:type="pct"/>
            <w:vAlign w:val="center"/>
          </w:tcPr>
          <w:p w14:paraId="2B6DA01B">
            <w:pPr>
              <w:adjustRightInd w:val="0"/>
              <w:snapToGrid w:val="0"/>
              <w:jc w:val="center"/>
              <w:rPr>
                <w:color w:val="auto"/>
                <w:sz w:val="24"/>
              </w:rPr>
            </w:pPr>
            <w:r>
              <w:rPr>
                <w:rFonts w:hint="eastAsia"/>
                <w:color w:val="auto"/>
                <w:sz w:val="24"/>
              </w:rPr>
              <w:t>2500平方米</w:t>
            </w:r>
          </w:p>
        </w:tc>
      </w:tr>
      <w:tr w14:paraId="68865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26" w:type="pct"/>
            <w:gridSpan w:val="2"/>
            <w:vAlign w:val="center"/>
          </w:tcPr>
          <w:p w14:paraId="55D93842">
            <w:pPr>
              <w:autoSpaceDE w:val="0"/>
              <w:autoSpaceDN w:val="0"/>
              <w:adjustRightInd w:val="0"/>
              <w:snapToGrid w:val="0"/>
              <w:jc w:val="center"/>
              <w:rPr>
                <w:color w:val="auto"/>
                <w:kern w:val="0"/>
                <w:szCs w:val="21"/>
              </w:rPr>
            </w:pPr>
            <w:r>
              <w:rPr>
                <w:color w:val="auto"/>
                <w:kern w:val="0"/>
                <w:sz w:val="24"/>
              </w:rPr>
              <w:t>专项评价设置情况</w:t>
            </w:r>
          </w:p>
        </w:tc>
        <w:tc>
          <w:tcPr>
            <w:tcW w:w="3773" w:type="pct"/>
            <w:gridSpan w:val="3"/>
            <w:vAlign w:val="center"/>
          </w:tcPr>
          <w:p w14:paraId="09501F43">
            <w:pPr>
              <w:autoSpaceDE w:val="0"/>
              <w:autoSpaceDN w:val="0"/>
              <w:adjustRightInd w:val="0"/>
              <w:snapToGrid w:val="0"/>
              <w:spacing w:line="360" w:lineRule="auto"/>
              <w:ind w:firstLine="480" w:firstLineChars="200"/>
              <w:rPr>
                <w:color w:val="auto"/>
                <w:szCs w:val="21"/>
              </w:rPr>
            </w:pPr>
            <w:r>
              <w:rPr>
                <w:color w:val="auto"/>
                <w:sz w:val="24"/>
              </w:rPr>
              <w:t>本项目不设置专项评价，专项评价设置判定情况见下表。</w:t>
            </w:r>
          </w:p>
          <w:p w14:paraId="61CBF44D">
            <w:pPr>
              <w:numPr>
                <w:ilvl w:val="0"/>
                <w:numId w:val="13"/>
              </w:numPr>
              <w:autoSpaceDE w:val="0"/>
              <w:autoSpaceDN w:val="0"/>
              <w:adjustRightInd w:val="0"/>
              <w:snapToGrid w:val="0"/>
              <w:spacing w:before="48" w:beforeLines="20" w:after="48" w:afterLines="20"/>
              <w:jc w:val="center"/>
              <w:rPr>
                <w:bCs/>
                <w:color w:val="auto"/>
                <w:szCs w:val="21"/>
              </w:rPr>
            </w:pPr>
            <w:r>
              <w:rPr>
                <w:b/>
                <w:color w:val="auto"/>
                <w:sz w:val="24"/>
              </w:rPr>
              <w:t>专项评价设置判定情况</w:t>
            </w:r>
          </w:p>
          <w:tbl>
            <w:tblPr>
              <w:tblStyle w:val="8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273"/>
              <w:gridCol w:w="2323"/>
              <w:gridCol w:w="889"/>
            </w:tblGrid>
            <w:tr w14:paraId="1C2D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68681931">
                  <w:pPr>
                    <w:autoSpaceDE w:val="0"/>
                    <w:autoSpaceDN w:val="0"/>
                    <w:adjustRightInd w:val="0"/>
                    <w:snapToGrid w:val="0"/>
                    <w:jc w:val="center"/>
                    <w:rPr>
                      <w:color w:val="auto"/>
                      <w:szCs w:val="21"/>
                    </w:rPr>
                  </w:pPr>
                  <w:r>
                    <w:rPr>
                      <w:color w:val="auto"/>
                      <w:szCs w:val="21"/>
                    </w:rPr>
                    <w:t>专项评价的类别</w:t>
                  </w:r>
                </w:p>
              </w:tc>
              <w:tc>
                <w:tcPr>
                  <w:tcW w:w="1768" w:type="pct"/>
                  <w:vAlign w:val="center"/>
                </w:tcPr>
                <w:p w14:paraId="7C9B6A3A">
                  <w:pPr>
                    <w:autoSpaceDE w:val="0"/>
                    <w:autoSpaceDN w:val="0"/>
                    <w:adjustRightInd w:val="0"/>
                    <w:snapToGrid w:val="0"/>
                    <w:jc w:val="center"/>
                    <w:rPr>
                      <w:color w:val="auto"/>
                      <w:szCs w:val="21"/>
                    </w:rPr>
                  </w:pPr>
                  <w:r>
                    <w:rPr>
                      <w:color w:val="auto"/>
                      <w:szCs w:val="21"/>
                    </w:rPr>
                    <w:t>设置原则</w:t>
                  </w:r>
                </w:p>
              </w:tc>
              <w:tc>
                <w:tcPr>
                  <w:tcW w:w="1807" w:type="pct"/>
                  <w:vAlign w:val="center"/>
                </w:tcPr>
                <w:p w14:paraId="714735D1">
                  <w:pPr>
                    <w:widowControl/>
                    <w:jc w:val="center"/>
                    <w:rPr>
                      <w:color w:val="auto"/>
                      <w:szCs w:val="21"/>
                    </w:rPr>
                  </w:pPr>
                  <w:r>
                    <w:rPr>
                      <w:color w:val="auto"/>
                      <w:szCs w:val="21"/>
                      <w:lang w:bidi="ar"/>
                    </w:rPr>
                    <w:t>本项目情况</w:t>
                  </w:r>
                </w:p>
              </w:tc>
              <w:tc>
                <w:tcPr>
                  <w:tcW w:w="692" w:type="pct"/>
                  <w:vAlign w:val="center"/>
                </w:tcPr>
                <w:p w14:paraId="53E891C7">
                  <w:pPr>
                    <w:widowControl/>
                    <w:jc w:val="center"/>
                    <w:rPr>
                      <w:color w:val="auto"/>
                      <w:szCs w:val="21"/>
                    </w:rPr>
                  </w:pPr>
                  <w:r>
                    <w:rPr>
                      <w:color w:val="auto"/>
                      <w:szCs w:val="21"/>
                      <w:lang w:bidi="ar"/>
                    </w:rPr>
                    <w:t>是否设置专项评价</w:t>
                  </w:r>
                </w:p>
              </w:tc>
            </w:tr>
            <w:tr w14:paraId="3229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15BDDCA0">
                  <w:pPr>
                    <w:widowControl/>
                    <w:jc w:val="center"/>
                    <w:rPr>
                      <w:color w:val="auto"/>
                      <w:szCs w:val="21"/>
                    </w:rPr>
                  </w:pPr>
                  <w:r>
                    <w:rPr>
                      <w:color w:val="auto"/>
                      <w:szCs w:val="21"/>
                      <w:lang w:bidi="ar"/>
                    </w:rPr>
                    <w:t>大气</w:t>
                  </w:r>
                </w:p>
              </w:tc>
              <w:tc>
                <w:tcPr>
                  <w:tcW w:w="1768" w:type="pct"/>
                  <w:vAlign w:val="center"/>
                </w:tcPr>
                <w:p w14:paraId="2FC5A97D">
                  <w:pPr>
                    <w:widowControl/>
                    <w:rPr>
                      <w:color w:val="auto"/>
                      <w:szCs w:val="21"/>
                    </w:rPr>
                  </w:pPr>
                  <w:r>
                    <w:rPr>
                      <w:color w:val="auto"/>
                      <w:szCs w:val="21"/>
                      <w:lang w:bidi="ar"/>
                    </w:rPr>
                    <w:t>排放废气含有毒有害污染物</w:t>
                  </w:r>
                  <w:r>
                    <w:rPr>
                      <w:color w:val="auto"/>
                      <w:szCs w:val="21"/>
                      <w:vertAlign w:val="superscript"/>
                      <w:lang w:bidi="ar"/>
                    </w:rPr>
                    <w:t>1</w:t>
                  </w:r>
                  <w:r>
                    <w:rPr>
                      <w:color w:val="auto"/>
                      <w:szCs w:val="21"/>
                      <w:lang w:bidi="ar"/>
                    </w:rPr>
                    <w:t>、二噁英、苯并[</w:t>
                  </w:r>
                  <w:r>
                    <w:rPr>
                      <w:i/>
                      <w:iCs/>
                      <w:color w:val="auto"/>
                      <w:szCs w:val="21"/>
                      <w:lang w:bidi="ar"/>
                    </w:rPr>
                    <w:t>a</w:t>
                  </w:r>
                  <w:r>
                    <w:rPr>
                      <w:color w:val="auto"/>
                      <w:szCs w:val="21"/>
                      <w:lang w:bidi="ar"/>
                    </w:rPr>
                    <w:t>]芘、氰化物、氯气且厂界外500米范围内有环境空气保护目标</w:t>
                  </w:r>
                  <w:r>
                    <w:rPr>
                      <w:color w:val="auto"/>
                      <w:szCs w:val="21"/>
                      <w:vertAlign w:val="superscript"/>
                      <w:lang w:bidi="ar"/>
                    </w:rPr>
                    <w:t>2</w:t>
                  </w:r>
                  <w:r>
                    <w:rPr>
                      <w:color w:val="auto"/>
                      <w:szCs w:val="21"/>
                      <w:lang w:bidi="ar"/>
                    </w:rPr>
                    <w:t>的建设项目</w:t>
                  </w:r>
                </w:p>
              </w:tc>
              <w:tc>
                <w:tcPr>
                  <w:tcW w:w="1807" w:type="pct"/>
                  <w:vAlign w:val="center"/>
                </w:tcPr>
                <w:p w14:paraId="4D03DF33">
                  <w:pPr>
                    <w:widowControl/>
                    <w:rPr>
                      <w:color w:val="auto"/>
                      <w:szCs w:val="21"/>
                    </w:rPr>
                  </w:pPr>
                  <w:r>
                    <w:rPr>
                      <w:color w:val="auto"/>
                      <w:szCs w:val="21"/>
                      <w:lang w:bidi="ar"/>
                    </w:rPr>
                    <w:t>本项目不涉及《有毒有害大气污染物名录（2018年）》的污染物、二噁英、苯并[a]芘、氰化物及氯气</w:t>
                  </w:r>
                </w:p>
              </w:tc>
              <w:tc>
                <w:tcPr>
                  <w:tcW w:w="692" w:type="pct"/>
                  <w:vAlign w:val="center"/>
                </w:tcPr>
                <w:p w14:paraId="2896899C">
                  <w:pPr>
                    <w:widowControl/>
                    <w:jc w:val="center"/>
                    <w:rPr>
                      <w:color w:val="auto"/>
                      <w:szCs w:val="21"/>
                    </w:rPr>
                  </w:pPr>
                  <w:r>
                    <w:rPr>
                      <w:color w:val="auto"/>
                      <w:szCs w:val="21"/>
                      <w:lang w:bidi="ar"/>
                    </w:rPr>
                    <w:t>否</w:t>
                  </w:r>
                </w:p>
              </w:tc>
            </w:tr>
            <w:tr w14:paraId="6C62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0EE605A8">
                  <w:pPr>
                    <w:autoSpaceDE w:val="0"/>
                    <w:autoSpaceDN w:val="0"/>
                    <w:adjustRightInd w:val="0"/>
                    <w:snapToGrid w:val="0"/>
                    <w:jc w:val="center"/>
                    <w:rPr>
                      <w:color w:val="auto"/>
                      <w:szCs w:val="21"/>
                    </w:rPr>
                  </w:pPr>
                  <w:r>
                    <w:rPr>
                      <w:color w:val="auto"/>
                      <w:szCs w:val="21"/>
                    </w:rPr>
                    <w:t>地表水</w:t>
                  </w:r>
                </w:p>
              </w:tc>
              <w:tc>
                <w:tcPr>
                  <w:tcW w:w="1768" w:type="pct"/>
                  <w:vAlign w:val="center"/>
                </w:tcPr>
                <w:p w14:paraId="2973A8BE">
                  <w:pPr>
                    <w:widowControl/>
                    <w:rPr>
                      <w:color w:val="auto"/>
                      <w:szCs w:val="21"/>
                    </w:rPr>
                  </w:pPr>
                  <w:r>
                    <w:rPr>
                      <w:color w:val="auto"/>
                      <w:szCs w:val="21"/>
                      <w:lang w:bidi="ar"/>
                    </w:rPr>
                    <w:t>新增工业废水直排建设项目（槽罐车外送污水处理厂的除外）；新增废水直排的污水集中处理厂</w:t>
                  </w:r>
                </w:p>
              </w:tc>
              <w:tc>
                <w:tcPr>
                  <w:tcW w:w="1807" w:type="pct"/>
                  <w:vAlign w:val="center"/>
                </w:tcPr>
                <w:p w14:paraId="551D4907">
                  <w:pPr>
                    <w:widowControl/>
                    <w:rPr>
                      <w:color w:val="auto"/>
                      <w:szCs w:val="21"/>
                    </w:rPr>
                  </w:pPr>
                  <w:r>
                    <w:rPr>
                      <w:color w:val="auto"/>
                      <w:szCs w:val="21"/>
                      <w:lang w:bidi="ar"/>
                    </w:rPr>
                    <w:t>本项目各类废水均由市政污水管网接入当地城镇污水厂处理，不直排</w:t>
                  </w:r>
                </w:p>
              </w:tc>
              <w:tc>
                <w:tcPr>
                  <w:tcW w:w="692" w:type="pct"/>
                  <w:vAlign w:val="center"/>
                </w:tcPr>
                <w:p w14:paraId="5F8780BC">
                  <w:pPr>
                    <w:widowControl/>
                    <w:jc w:val="center"/>
                    <w:rPr>
                      <w:color w:val="auto"/>
                      <w:szCs w:val="21"/>
                    </w:rPr>
                  </w:pPr>
                  <w:r>
                    <w:rPr>
                      <w:color w:val="auto"/>
                      <w:szCs w:val="21"/>
                      <w:lang w:bidi="ar"/>
                    </w:rPr>
                    <w:t>否</w:t>
                  </w:r>
                </w:p>
              </w:tc>
            </w:tr>
            <w:tr w14:paraId="75E8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1DF119A9">
                  <w:pPr>
                    <w:widowControl/>
                    <w:jc w:val="center"/>
                    <w:rPr>
                      <w:color w:val="auto"/>
                      <w:szCs w:val="21"/>
                    </w:rPr>
                  </w:pPr>
                  <w:r>
                    <w:rPr>
                      <w:color w:val="auto"/>
                      <w:szCs w:val="21"/>
                      <w:lang w:bidi="ar"/>
                    </w:rPr>
                    <w:t>环境风险</w:t>
                  </w:r>
                </w:p>
              </w:tc>
              <w:tc>
                <w:tcPr>
                  <w:tcW w:w="1768" w:type="pct"/>
                  <w:vAlign w:val="center"/>
                </w:tcPr>
                <w:p w14:paraId="45722E74">
                  <w:pPr>
                    <w:widowControl/>
                    <w:rPr>
                      <w:color w:val="auto"/>
                      <w:szCs w:val="21"/>
                    </w:rPr>
                  </w:pPr>
                  <w:r>
                    <w:rPr>
                      <w:color w:val="auto"/>
                      <w:szCs w:val="21"/>
                      <w:lang w:bidi="ar"/>
                    </w:rPr>
                    <w:t>有毒有害和易燃易爆危险物质存储量超过临界量</w:t>
                  </w:r>
                  <w:r>
                    <w:rPr>
                      <w:color w:val="auto"/>
                      <w:szCs w:val="21"/>
                      <w:vertAlign w:val="superscript"/>
                      <w:lang w:bidi="ar"/>
                    </w:rPr>
                    <w:t>3</w:t>
                  </w:r>
                  <w:r>
                    <w:rPr>
                      <w:color w:val="auto"/>
                      <w:szCs w:val="21"/>
                      <w:lang w:bidi="ar"/>
                    </w:rPr>
                    <w:t>的建设项目</w:t>
                  </w:r>
                </w:p>
              </w:tc>
              <w:tc>
                <w:tcPr>
                  <w:tcW w:w="1807" w:type="pct"/>
                  <w:vAlign w:val="center"/>
                </w:tcPr>
                <w:p w14:paraId="486CEB9C">
                  <w:pPr>
                    <w:widowControl/>
                    <w:rPr>
                      <w:color w:val="auto"/>
                      <w:szCs w:val="21"/>
                    </w:rPr>
                  </w:pPr>
                  <w:r>
                    <w:rPr>
                      <w:color w:val="auto"/>
                      <w:szCs w:val="21"/>
                      <w:lang w:bidi="ar"/>
                    </w:rPr>
                    <w:t>本项目危险物质存储量不超过《建设项目环境风险评价技术导则》（HJ169）附录B、附录C中的临界量</w:t>
                  </w:r>
                </w:p>
              </w:tc>
              <w:tc>
                <w:tcPr>
                  <w:tcW w:w="692" w:type="pct"/>
                  <w:vAlign w:val="center"/>
                </w:tcPr>
                <w:p w14:paraId="1597A6DA">
                  <w:pPr>
                    <w:widowControl/>
                    <w:jc w:val="center"/>
                    <w:rPr>
                      <w:color w:val="auto"/>
                      <w:szCs w:val="21"/>
                    </w:rPr>
                  </w:pPr>
                  <w:r>
                    <w:rPr>
                      <w:color w:val="auto"/>
                      <w:szCs w:val="21"/>
                      <w:lang w:bidi="ar"/>
                    </w:rPr>
                    <w:t>否</w:t>
                  </w:r>
                </w:p>
              </w:tc>
            </w:tr>
            <w:tr w14:paraId="1F6A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7AE46C44">
                  <w:pPr>
                    <w:autoSpaceDE w:val="0"/>
                    <w:autoSpaceDN w:val="0"/>
                    <w:adjustRightInd w:val="0"/>
                    <w:snapToGrid w:val="0"/>
                    <w:jc w:val="center"/>
                    <w:rPr>
                      <w:color w:val="auto"/>
                      <w:szCs w:val="21"/>
                    </w:rPr>
                  </w:pPr>
                  <w:r>
                    <w:rPr>
                      <w:color w:val="auto"/>
                      <w:szCs w:val="21"/>
                    </w:rPr>
                    <w:t>生态</w:t>
                  </w:r>
                </w:p>
              </w:tc>
              <w:tc>
                <w:tcPr>
                  <w:tcW w:w="1768" w:type="pct"/>
                  <w:vAlign w:val="center"/>
                </w:tcPr>
                <w:p w14:paraId="281A5754">
                  <w:pPr>
                    <w:widowControl/>
                    <w:rPr>
                      <w:color w:val="auto"/>
                      <w:szCs w:val="21"/>
                    </w:rPr>
                  </w:pPr>
                  <w:r>
                    <w:rPr>
                      <w:color w:val="auto"/>
                      <w:szCs w:val="21"/>
                      <w:lang w:bidi="ar"/>
                    </w:rPr>
                    <w:t>取水口下游500米范围内有重要水生生物的自然产卵场、索饵场、越冬场和洄游通道的新增河道取水的污染类建设项目</w:t>
                  </w:r>
                </w:p>
              </w:tc>
              <w:tc>
                <w:tcPr>
                  <w:tcW w:w="1807" w:type="pct"/>
                  <w:vAlign w:val="center"/>
                </w:tcPr>
                <w:p w14:paraId="1594F747">
                  <w:pPr>
                    <w:widowControl/>
                    <w:jc w:val="center"/>
                    <w:rPr>
                      <w:color w:val="auto"/>
                      <w:szCs w:val="21"/>
                    </w:rPr>
                  </w:pPr>
                  <w:r>
                    <w:rPr>
                      <w:rFonts w:hint="eastAsia"/>
                      <w:color w:val="auto"/>
                      <w:szCs w:val="21"/>
                    </w:rPr>
                    <w:t>本项目不涉及</w:t>
                  </w:r>
                </w:p>
              </w:tc>
              <w:tc>
                <w:tcPr>
                  <w:tcW w:w="692" w:type="pct"/>
                  <w:vAlign w:val="center"/>
                </w:tcPr>
                <w:p w14:paraId="0EDF1665">
                  <w:pPr>
                    <w:widowControl/>
                    <w:jc w:val="center"/>
                    <w:rPr>
                      <w:color w:val="auto"/>
                      <w:szCs w:val="21"/>
                    </w:rPr>
                  </w:pPr>
                  <w:r>
                    <w:rPr>
                      <w:color w:val="auto"/>
                      <w:szCs w:val="21"/>
                      <w:lang w:bidi="ar"/>
                    </w:rPr>
                    <w:t>否</w:t>
                  </w:r>
                </w:p>
              </w:tc>
            </w:tr>
            <w:tr w14:paraId="49C22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pct"/>
                  <w:vAlign w:val="center"/>
                </w:tcPr>
                <w:p w14:paraId="5F129609">
                  <w:pPr>
                    <w:autoSpaceDE w:val="0"/>
                    <w:autoSpaceDN w:val="0"/>
                    <w:adjustRightInd w:val="0"/>
                    <w:snapToGrid w:val="0"/>
                    <w:jc w:val="center"/>
                    <w:rPr>
                      <w:color w:val="auto"/>
                      <w:szCs w:val="21"/>
                    </w:rPr>
                  </w:pPr>
                  <w:r>
                    <w:rPr>
                      <w:color w:val="auto"/>
                      <w:szCs w:val="21"/>
                    </w:rPr>
                    <w:t>海洋</w:t>
                  </w:r>
                </w:p>
              </w:tc>
              <w:tc>
                <w:tcPr>
                  <w:tcW w:w="1768" w:type="pct"/>
                  <w:vAlign w:val="center"/>
                </w:tcPr>
                <w:p w14:paraId="6712BA19">
                  <w:pPr>
                    <w:widowControl/>
                    <w:rPr>
                      <w:color w:val="auto"/>
                      <w:szCs w:val="21"/>
                    </w:rPr>
                  </w:pPr>
                  <w:r>
                    <w:rPr>
                      <w:color w:val="auto"/>
                      <w:szCs w:val="21"/>
                      <w:lang w:bidi="ar"/>
                    </w:rPr>
                    <w:t>直接向海排放污染物的海洋工程建设项目</w:t>
                  </w:r>
                </w:p>
              </w:tc>
              <w:tc>
                <w:tcPr>
                  <w:tcW w:w="1807" w:type="pct"/>
                  <w:vAlign w:val="center"/>
                </w:tcPr>
                <w:p w14:paraId="547A4153">
                  <w:pPr>
                    <w:widowControl/>
                    <w:jc w:val="center"/>
                    <w:rPr>
                      <w:color w:val="auto"/>
                      <w:szCs w:val="21"/>
                    </w:rPr>
                  </w:pPr>
                  <w:r>
                    <w:rPr>
                      <w:rFonts w:hint="eastAsia"/>
                      <w:color w:val="auto"/>
                      <w:szCs w:val="21"/>
                      <w:lang w:bidi="ar"/>
                    </w:rPr>
                    <w:t>本项目不涉及</w:t>
                  </w:r>
                </w:p>
              </w:tc>
              <w:tc>
                <w:tcPr>
                  <w:tcW w:w="692" w:type="pct"/>
                  <w:vAlign w:val="center"/>
                </w:tcPr>
                <w:p w14:paraId="7128EABC">
                  <w:pPr>
                    <w:widowControl/>
                    <w:jc w:val="center"/>
                    <w:rPr>
                      <w:color w:val="auto"/>
                      <w:szCs w:val="21"/>
                    </w:rPr>
                  </w:pPr>
                  <w:r>
                    <w:rPr>
                      <w:color w:val="auto"/>
                      <w:szCs w:val="21"/>
                      <w:lang w:bidi="ar"/>
                    </w:rPr>
                    <w:t>否</w:t>
                  </w:r>
                </w:p>
              </w:tc>
            </w:tr>
          </w:tbl>
          <w:p w14:paraId="38BE1ED6">
            <w:pPr>
              <w:widowControl/>
              <w:jc w:val="left"/>
              <w:rPr>
                <w:color w:val="auto"/>
                <w:sz w:val="18"/>
                <w:szCs w:val="18"/>
              </w:rPr>
            </w:pPr>
            <w:r>
              <w:rPr>
                <w:color w:val="auto"/>
                <w:kern w:val="0"/>
                <w:sz w:val="18"/>
                <w:szCs w:val="18"/>
                <w:lang w:bidi="ar"/>
              </w:rPr>
              <w:t>注：1.废气中有毒有害污染物指纳入《有毒有害大气污染物名录》的污染物（不包括无排放标准的污染物）。</w:t>
            </w:r>
          </w:p>
          <w:p w14:paraId="70B1D8B2">
            <w:pPr>
              <w:widowControl/>
              <w:jc w:val="left"/>
              <w:rPr>
                <w:color w:val="auto"/>
                <w:sz w:val="18"/>
                <w:szCs w:val="18"/>
              </w:rPr>
            </w:pPr>
            <w:r>
              <w:rPr>
                <w:color w:val="auto"/>
                <w:kern w:val="0"/>
                <w:sz w:val="18"/>
                <w:szCs w:val="18"/>
                <w:lang w:bidi="ar"/>
              </w:rPr>
              <w:t>2.环境空气保护目标指自然保护区、风景名胜区、居住区、文化区和农村地区中人群较集中的区域。</w:t>
            </w:r>
          </w:p>
          <w:p w14:paraId="71D32683">
            <w:pPr>
              <w:widowControl/>
              <w:jc w:val="left"/>
              <w:rPr>
                <w:color w:val="auto"/>
              </w:rPr>
            </w:pPr>
            <w:r>
              <w:rPr>
                <w:color w:val="auto"/>
                <w:kern w:val="0"/>
                <w:sz w:val="18"/>
                <w:szCs w:val="18"/>
                <w:lang w:bidi="ar"/>
              </w:rPr>
              <w:t>3.临界量及其计算方法可参考《建设项目环境风险评价技术导则》（HJ169）附录B、附录C。</w:t>
            </w:r>
          </w:p>
          <w:p w14:paraId="4C79678D">
            <w:pPr>
              <w:autoSpaceDE w:val="0"/>
              <w:autoSpaceDN w:val="0"/>
              <w:adjustRightInd w:val="0"/>
              <w:snapToGrid w:val="0"/>
              <w:jc w:val="center"/>
              <w:rPr>
                <w:color w:val="auto"/>
                <w:kern w:val="0"/>
                <w:szCs w:val="21"/>
              </w:rPr>
            </w:pPr>
          </w:p>
        </w:tc>
      </w:tr>
      <w:tr w14:paraId="498B9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226" w:type="pct"/>
            <w:gridSpan w:val="2"/>
            <w:vAlign w:val="center"/>
          </w:tcPr>
          <w:p w14:paraId="05EC922A">
            <w:pPr>
              <w:autoSpaceDE w:val="0"/>
              <w:autoSpaceDN w:val="0"/>
              <w:adjustRightInd w:val="0"/>
              <w:snapToGrid w:val="0"/>
              <w:jc w:val="center"/>
              <w:rPr>
                <w:color w:val="auto"/>
                <w:kern w:val="0"/>
                <w:sz w:val="24"/>
              </w:rPr>
            </w:pPr>
            <w:r>
              <w:rPr>
                <w:color w:val="auto"/>
                <w:sz w:val="24"/>
              </w:rPr>
              <w:t>规划情况</w:t>
            </w:r>
          </w:p>
        </w:tc>
        <w:tc>
          <w:tcPr>
            <w:tcW w:w="3773" w:type="pct"/>
            <w:gridSpan w:val="3"/>
            <w:vAlign w:val="center"/>
          </w:tcPr>
          <w:p w14:paraId="5FAFF626">
            <w:pPr>
              <w:widowControl/>
              <w:spacing w:line="360" w:lineRule="auto"/>
              <w:ind w:firstLine="480" w:firstLineChars="200"/>
              <w:rPr>
                <w:color w:val="auto"/>
                <w:kern w:val="0"/>
                <w:sz w:val="24"/>
              </w:rPr>
            </w:pPr>
            <w:r>
              <w:rPr>
                <w:rFonts w:hint="eastAsia"/>
                <w:color w:val="auto"/>
                <w:kern w:val="0"/>
                <w:sz w:val="24"/>
              </w:rPr>
              <w:t>规划名称：湖州市南浔区练市镇国土空间总体规划（2021—2035年）</w:t>
            </w:r>
          </w:p>
          <w:p w14:paraId="7C83060A">
            <w:pPr>
              <w:widowControl/>
              <w:spacing w:line="360" w:lineRule="auto"/>
              <w:ind w:firstLine="480" w:firstLineChars="200"/>
              <w:rPr>
                <w:color w:val="auto"/>
                <w:kern w:val="0"/>
                <w:sz w:val="24"/>
              </w:rPr>
            </w:pPr>
            <w:r>
              <w:rPr>
                <w:rFonts w:hint="eastAsia"/>
                <w:color w:val="auto"/>
                <w:kern w:val="0"/>
                <w:sz w:val="24"/>
              </w:rPr>
              <w:t>审批部门：湖州市人民政府</w:t>
            </w:r>
          </w:p>
        </w:tc>
      </w:tr>
      <w:tr w14:paraId="2BFAC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26" w:type="pct"/>
            <w:gridSpan w:val="2"/>
            <w:vAlign w:val="center"/>
          </w:tcPr>
          <w:p w14:paraId="0C769510">
            <w:pPr>
              <w:adjustRightInd w:val="0"/>
              <w:snapToGrid w:val="0"/>
              <w:jc w:val="center"/>
              <w:rPr>
                <w:color w:val="auto"/>
                <w:sz w:val="24"/>
              </w:rPr>
            </w:pPr>
            <w:r>
              <w:rPr>
                <w:color w:val="auto"/>
                <w:sz w:val="24"/>
              </w:rPr>
              <w:t>规划环境影响</w:t>
            </w:r>
          </w:p>
          <w:p w14:paraId="3C41508B">
            <w:pPr>
              <w:autoSpaceDE w:val="0"/>
              <w:autoSpaceDN w:val="0"/>
              <w:adjustRightInd w:val="0"/>
              <w:snapToGrid w:val="0"/>
              <w:jc w:val="center"/>
              <w:rPr>
                <w:color w:val="auto"/>
                <w:sz w:val="24"/>
              </w:rPr>
            </w:pPr>
            <w:r>
              <w:rPr>
                <w:color w:val="auto"/>
                <w:sz w:val="24"/>
              </w:rPr>
              <w:t>评价情况</w:t>
            </w:r>
          </w:p>
        </w:tc>
        <w:tc>
          <w:tcPr>
            <w:tcW w:w="3773" w:type="pct"/>
            <w:gridSpan w:val="3"/>
            <w:vAlign w:val="center"/>
          </w:tcPr>
          <w:p w14:paraId="30BBB425">
            <w:pPr>
              <w:autoSpaceDE w:val="0"/>
              <w:autoSpaceDN w:val="0"/>
              <w:adjustRightInd w:val="0"/>
              <w:snapToGrid w:val="0"/>
              <w:spacing w:line="360" w:lineRule="auto"/>
              <w:ind w:firstLine="480" w:firstLineChars="200"/>
              <w:jc w:val="center"/>
              <w:rPr>
                <w:color w:val="auto"/>
                <w:kern w:val="0"/>
                <w:szCs w:val="21"/>
              </w:rPr>
            </w:pPr>
            <w:r>
              <w:rPr>
                <w:rFonts w:hint="eastAsia"/>
                <w:color w:val="auto"/>
                <w:kern w:val="0"/>
                <w:sz w:val="24"/>
              </w:rPr>
              <w:t>无</w:t>
            </w:r>
          </w:p>
        </w:tc>
      </w:tr>
      <w:tr w14:paraId="57D30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1226" w:type="pct"/>
            <w:gridSpan w:val="2"/>
            <w:vAlign w:val="center"/>
          </w:tcPr>
          <w:p w14:paraId="4F843B44">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3773" w:type="pct"/>
            <w:gridSpan w:val="3"/>
            <w:vAlign w:val="center"/>
          </w:tcPr>
          <w:p w14:paraId="1EE287B5">
            <w:pPr>
              <w:widowControl/>
              <w:spacing w:line="360" w:lineRule="auto"/>
              <w:ind w:firstLine="482" w:firstLineChars="200"/>
              <w:rPr>
                <w:b/>
                <w:color w:val="auto"/>
                <w:kern w:val="0"/>
                <w:sz w:val="24"/>
              </w:rPr>
            </w:pPr>
            <w:r>
              <w:rPr>
                <w:rFonts w:hint="eastAsia"/>
                <w:b/>
                <w:color w:val="auto"/>
                <w:kern w:val="0"/>
                <w:sz w:val="24"/>
              </w:rPr>
              <w:t>1、湖州市南浔区练市镇国土空间总体规划符合性分析</w:t>
            </w:r>
          </w:p>
          <w:p w14:paraId="737CE2B9">
            <w:pPr>
              <w:widowControl/>
              <w:spacing w:line="360" w:lineRule="auto"/>
              <w:ind w:firstLine="482" w:firstLineChars="200"/>
              <w:rPr>
                <w:b/>
                <w:color w:val="auto"/>
                <w:kern w:val="0"/>
                <w:sz w:val="24"/>
              </w:rPr>
            </w:pPr>
            <w:r>
              <w:rPr>
                <w:rFonts w:hint="eastAsia"/>
                <w:b/>
                <w:color w:val="auto"/>
                <w:kern w:val="0"/>
                <w:sz w:val="24"/>
              </w:rPr>
              <w:t>（1）规划期限</w:t>
            </w:r>
          </w:p>
          <w:p w14:paraId="1912C759">
            <w:pPr>
              <w:widowControl/>
              <w:spacing w:line="360" w:lineRule="auto"/>
              <w:ind w:firstLine="480" w:firstLineChars="200"/>
              <w:rPr>
                <w:color w:val="auto"/>
                <w:kern w:val="0"/>
                <w:sz w:val="24"/>
              </w:rPr>
            </w:pPr>
            <w:r>
              <w:rPr>
                <w:rFonts w:hint="eastAsia"/>
                <w:color w:val="auto"/>
                <w:kern w:val="0"/>
                <w:sz w:val="24"/>
              </w:rPr>
              <w:t>规划基期2020年，规划期为2021年至2035年，近期至2025年，远期至2035年。</w:t>
            </w:r>
          </w:p>
          <w:p w14:paraId="007669CB">
            <w:pPr>
              <w:widowControl/>
              <w:spacing w:line="360" w:lineRule="auto"/>
              <w:ind w:firstLine="482" w:firstLineChars="200"/>
              <w:rPr>
                <w:b/>
                <w:color w:val="auto"/>
                <w:kern w:val="0"/>
                <w:sz w:val="24"/>
              </w:rPr>
            </w:pPr>
            <w:r>
              <w:rPr>
                <w:rFonts w:hint="eastAsia"/>
                <w:b/>
                <w:color w:val="auto"/>
                <w:kern w:val="0"/>
                <w:sz w:val="24"/>
              </w:rPr>
              <w:t>（2）规划范围</w:t>
            </w:r>
          </w:p>
          <w:p w14:paraId="59C536A9">
            <w:pPr>
              <w:widowControl/>
              <w:spacing w:line="360" w:lineRule="auto"/>
              <w:ind w:firstLine="480" w:firstLineChars="200"/>
              <w:rPr>
                <w:color w:val="auto"/>
                <w:kern w:val="0"/>
                <w:sz w:val="24"/>
              </w:rPr>
            </w:pPr>
            <w:r>
              <w:rPr>
                <w:rFonts w:hint="eastAsia"/>
                <w:color w:val="auto"/>
                <w:kern w:val="0"/>
                <w:sz w:val="24"/>
              </w:rPr>
              <w:t>练市镇行政管辖范围，辖38个行政村和3个社区，总国土面积12256.73公顷。</w:t>
            </w:r>
          </w:p>
          <w:p w14:paraId="7DCEC7C9">
            <w:pPr>
              <w:widowControl/>
              <w:spacing w:line="360" w:lineRule="auto"/>
              <w:ind w:firstLine="482" w:firstLineChars="200"/>
              <w:rPr>
                <w:color w:val="auto"/>
                <w:kern w:val="0"/>
                <w:sz w:val="24"/>
              </w:rPr>
            </w:pPr>
            <w:r>
              <w:rPr>
                <w:rFonts w:hint="eastAsia"/>
                <w:b/>
                <w:color w:val="auto"/>
                <w:kern w:val="0"/>
                <w:sz w:val="24"/>
              </w:rPr>
              <w:t>（3）目标定位</w:t>
            </w:r>
          </w:p>
          <w:p w14:paraId="00D35FE3">
            <w:pPr>
              <w:widowControl/>
              <w:spacing w:line="360" w:lineRule="auto"/>
              <w:ind w:firstLine="480" w:firstLineChars="200"/>
              <w:rPr>
                <w:color w:val="auto"/>
                <w:kern w:val="0"/>
                <w:sz w:val="24"/>
              </w:rPr>
            </w:pPr>
            <w:r>
              <w:rPr>
                <w:rFonts w:hint="eastAsia"/>
                <w:color w:val="auto"/>
                <w:kern w:val="0"/>
                <w:sz w:val="24"/>
              </w:rPr>
              <w:t>积极抢抓嘉湖一体化历史机遇，不断放大省级小城市特色，以勇争一流的小城市担当，谱写美丽繁华新江南、美好生活新家园的练市篇章，建设“更具实力、更富活力、更有魅力的省级现代化小城市”，将练市镇建设成为大运河畔现代化小城市、嘉湖一体化先行区。</w:t>
            </w:r>
          </w:p>
          <w:p w14:paraId="4812304D">
            <w:pPr>
              <w:widowControl/>
              <w:spacing w:line="360" w:lineRule="auto"/>
              <w:ind w:firstLine="482" w:firstLineChars="200"/>
              <w:rPr>
                <w:b/>
                <w:color w:val="auto"/>
                <w:kern w:val="0"/>
                <w:sz w:val="24"/>
              </w:rPr>
            </w:pPr>
            <w:r>
              <w:rPr>
                <w:rFonts w:hint="eastAsia"/>
                <w:b/>
                <w:color w:val="auto"/>
                <w:kern w:val="0"/>
                <w:sz w:val="24"/>
              </w:rPr>
              <w:t>（4）国土空间总体格局</w:t>
            </w:r>
          </w:p>
          <w:p w14:paraId="7CD3D396">
            <w:pPr>
              <w:widowControl/>
              <w:spacing w:line="360" w:lineRule="auto"/>
              <w:ind w:firstLine="480" w:firstLineChars="200"/>
              <w:rPr>
                <w:color w:val="auto"/>
                <w:kern w:val="0"/>
                <w:sz w:val="24"/>
              </w:rPr>
            </w:pPr>
            <w:r>
              <w:rPr>
                <w:rFonts w:hint="eastAsia"/>
                <w:color w:val="auto"/>
                <w:kern w:val="0"/>
                <w:sz w:val="24"/>
              </w:rPr>
              <w:t>落实空间底线。严格落实耕地和永久基本农田保护任务，夯实粮食生产基础。到2035年，练市镇耕地保有量不低于5.56万亩，其中永久基本农田保护面积不低于5.3万亩；城镇开发边界面积不超过12.47平方千米。</w:t>
            </w:r>
          </w:p>
          <w:p w14:paraId="65691016">
            <w:pPr>
              <w:widowControl/>
              <w:spacing w:line="360" w:lineRule="auto"/>
              <w:ind w:firstLine="480" w:firstLineChars="200"/>
              <w:rPr>
                <w:color w:val="auto"/>
                <w:kern w:val="0"/>
                <w:sz w:val="24"/>
              </w:rPr>
            </w:pPr>
            <w:r>
              <w:rPr>
                <w:rFonts w:hint="eastAsia"/>
                <w:color w:val="auto"/>
                <w:kern w:val="0"/>
                <w:sz w:val="24"/>
              </w:rPr>
              <w:t>构建总体格局。构建“一主两副、三轴三区”的总体空间格局。“一主”指练市镇区；“两副”分别指花林集镇和洪塘集镇；“三轴”分别为大运河发展轴、南北向城镇发展轴、东西向特色农业发展轴；“三区”分别指城镇发展建设区、东部休闲观光农业区、西部粮油蚕桑农业区。</w:t>
            </w:r>
          </w:p>
          <w:p w14:paraId="0A9AF9BB">
            <w:pPr>
              <w:widowControl/>
              <w:spacing w:line="360" w:lineRule="auto"/>
              <w:ind w:firstLine="482" w:firstLineChars="200"/>
              <w:rPr>
                <w:b/>
                <w:color w:val="auto"/>
                <w:kern w:val="0"/>
                <w:sz w:val="24"/>
              </w:rPr>
            </w:pPr>
            <w:r>
              <w:rPr>
                <w:rFonts w:hint="eastAsia"/>
                <w:b/>
                <w:color w:val="auto"/>
                <w:kern w:val="0"/>
                <w:sz w:val="24"/>
              </w:rPr>
              <w:t>（5）基础支撑与国土空间安全保障</w:t>
            </w:r>
          </w:p>
          <w:p w14:paraId="766B3753">
            <w:pPr>
              <w:widowControl/>
              <w:spacing w:line="360" w:lineRule="auto"/>
              <w:ind w:firstLine="480" w:firstLineChars="200"/>
              <w:rPr>
                <w:color w:val="auto"/>
                <w:kern w:val="0"/>
                <w:sz w:val="24"/>
              </w:rPr>
            </w:pPr>
            <w:r>
              <w:rPr>
                <w:rFonts w:hint="eastAsia"/>
                <w:color w:val="auto"/>
                <w:kern w:val="0"/>
                <w:sz w:val="24"/>
              </w:rPr>
              <w:t>完善综合交通体系。优化交通网络，增强对外联系，落实湖州市区相关要求，构建高品质综合立体交通网络，打造“高效便捷、外联内畅”的对外交通。完善练市镇道路体系，充分发挥交通系统对空间发展的支撑和引领作用，构建“内密外联”的道路系统，形成“两横两纵”的镇区结构性路网框架。</w:t>
            </w:r>
          </w:p>
          <w:p w14:paraId="0A36546E">
            <w:pPr>
              <w:widowControl/>
              <w:spacing w:line="360" w:lineRule="auto"/>
              <w:ind w:firstLine="480" w:firstLineChars="200"/>
              <w:rPr>
                <w:color w:val="auto"/>
                <w:kern w:val="0"/>
                <w:sz w:val="24"/>
              </w:rPr>
            </w:pPr>
            <w:r>
              <w:rPr>
                <w:rFonts w:hint="eastAsia"/>
                <w:color w:val="auto"/>
                <w:kern w:val="0"/>
                <w:sz w:val="24"/>
              </w:rPr>
              <w:t>健全公共服务体系。规划形成“乡镇级-村（社区）级”两级公共服务设施体系，实现练市镇公共设施分层次梯度化全覆盖。落实乡镇级以上服务设施，重点以15分钟生活圈为配置标准，完善乡镇级公共服务设施。健全公共安全和综合防灾体系，优化防灾减灾救灾设施布局，提高国土空间安全韧性。</w:t>
            </w:r>
          </w:p>
          <w:p w14:paraId="6151BB61">
            <w:pPr>
              <w:widowControl/>
              <w:spacing w:line="360" w:lineRule="auto"/>
              <w:ind w:firstLine="482" w:firstLineChars="200"/>
              <w:rPr>
                <w:b/>
                <w:color w:val="auto"/>
                <w:kern w:val="0"/>
                <w:sz w:val="24"/>
              </w:rPr>
            </w:pPr>
            <w:r>
              <w:rPr>
                <w:rFonts w:hint="eastAsia"/>
                <w:b/>
                <w:color w:val="auto"/>
                <w:kern w:val="0"/>
                <w:sz w:val="24"/>
              </w:rPr>
              <w:t>（6）规划实施保障</w:t>
            </w:r>
          </w:p>
          <w:p w14:paraId="178E53A7">
            <w:pPr>
              <w:widowControl/>
              <w:spacing w:line="360" w:lineRule="auto"/>
              <w:ind w:firstLine="480" w:firstLineChars="200"/>
              <w:rPr>
                <w:color w:val="auto"/>
                <w:kern w:val="0"/>
                <w:sz w:val="24"/>
              </w:rPr>
            </w:pPr>
            <w:r>
              <w:rPr>
                <w:rFonts w:hint="eastAsia"/>
                <w:color w:val="auto"/>
                <w:kern w:val="0"/>
                <w:sz w:val="24"/>
              </w:rPr>
              <w:t>建立规划实施评估机制。依据国土空间体验评估体系，开展“一年一体检、五年一评估”，评估结果作为国土空间规划动态调整完善、规划修编和政策供给的重要依据。发挥国土空间规划“一张图”系统和国土空间基础信息平台功能，健全规划实施监测网络，实施规划全生命周期管理。</w:t>
            </w:r>
          </w:p>
          <w:p w14:paraId="4A2BF839">
            <w:pPr>
              <w:widowControl/>
              <w:spacing w:line="360" w:lineRule="auto"/>
              <w:ind w:firstLine="482" w:firstLineChars="200"/>
              <w:rPr>
                <w:color w:val="auto"/>
                <w:kern w:val="0"/>
                <w:sz w:val="24"/>
              </w:rPr>
            </w:pPr>
            <w:r>
              <w:rPr>
                <w:rFonts w:hint="eastAsia"/>
                <w:b/>
                <w:bCs/>
                <w:color w:val="auto"/>
                <w:kern w:val="0"/>
                <w:sz w:val="24"/>
              </w:rPr>
              <w:t>符合性分析：</w:t>
            </w:r>
            <w:r>
              <w:rPr>
                <w:rFonts w:hint="eastAsia"/>
                <w:color w:val="auto"/>
                <w:kern w:val="0"/>
                <w:sz w:val="24"/>
              </w:rPr>
              <w:t>本项目位于湖州市南浔区练市镇水口村东堡工业区，根据企业提供的土地证明和湖州市南浔区练市镇国土空间土地规划图可知，用地性质为工业用地，企业位于工业集聚点。本项目主要从事木塑门，木塑线条的生产，属于塑料</w:t>
            </w:r>
            <w:r>
              <w:rPr>
                <w:rFonts w:hint="eastAsia"/>
                <w:color w:val="auto"/>
                <w:kern w:val="0"/>
                <w:sz w:val="24"/>
                <w:lang w:val="en-US" w:eastAsia="zh-CN"/>
              </w:rPr>
              <w:t>家具制造</w:t>
            </w:r>
            <w:r>
              <w:rPr>
                <w:rFonts w:hint="eastAsia"/>
                <w:color w:val="auto"/>
                <w:kern w:val="0"/>
                <w:sz w:val="24"/>
              </w:rPr>
              <w:t>，为二类工业项目，项目已通过南浔区经济和信息化局项目备案，故本项目的建设符合湖州市南浔区练市镇国土空间总体规划。</w:t>
            </w:r>
          </w:p>
          <w:p w14:paraId="13DE7249">
            <w:pPr>
              <w:widowControl/>
              <w:spacing w:line="360" w:lineRule="auto"/>
              <w:ind w:firstLine="420" w:firstLineChars="200"/>
              <w:rPr>
                <w:color w:val="auto"/>
                <w:kern w:val="0"/>
                <w:szCs w:val="21"/>
              </w:rPr>
            </w:pPr>
          </w:p>
        </w:tc>
      </w:tr>
      <w:tr w14:paraId="4ED86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Align w:val="center"/>
          </w:tcPr>
          <w:p w14:paraId="563D07C6">
            <w:pPr>
              <w:autoSpaceDE w:val="0"/>
              <w:autoSpaceDN w:val="0"/>
              <w:adjustRightInd w:val="0"/>
              <w:snapToGrid w:val="0"/>
              <w:jc w:val="center"/>
              <w:rPr>
                <w:color w:val="auto"/>
                <w:kern w:val="0"/>
                <w:sz w:val="24"/>
              </w:rPr>
            </w:pPr>
            <w:r>
              <w:rPr>
                <w:color w:val="auto"/>
                <w:kern w:val="0"/>
                <w:sz w:val="24"/>
              </w:rPr>
              <w:t>其他符合性分析</w:t>
            </w:r>
          </w:p>
        </w:tc>
        <w:tc>
          <w:tcPr>
            <w:tcW w:w="4752" w:type="pct"/>
            <w:gridSpan w:val="4"/>
            <w:vAlign w:val="center"/>
          </w:tcPr>
          <w:p w14:paraId="7E601E8D">
            <w:pPr>
              <w:numPr>
                <w:ilvl w:val="1"/>
                <w:numId w:val="14"/>
              </w:numPr>
              <w:adjustRightInd w:val="0"/>
              <w:snapToGrid w:val="0"/>
              <w:spacing w:line="360" w:lineRule="auto"/>
              <w:ind w:left="0" w:firstLine="0"/>
              <w:jc w:val="left"/>
              <w:rPr>
                <w:b/>
                <w:color w:val="auto"/>
                <w:kern w:val="0"/>
                <w:sz w:val="24"/>
              </w:rPr>
            </w:pPr>
            <w:r>
              <w:rPr>
                <w:b/>
                <w:color w:val="auto"/>
                <w:kern w:val="0"/>
                <w:sz w:val="24"/>
              </w:rPr>
              <w:t>其他符合性分析</w:t>
            </w:r>
          </w:p>
          <w:p w14:paraId="48810F71">
            <w:pPr>
              <w:numPr>
                <w:ilvl w:val="2"/>
                <w:numId w:val="14"/>
              </w:numPr>
              <w:adjustRightInd w:val="0"/>
              <w:snapToGrid w:val="0"/>
              <w:spacing w:line="360" w:lineRule="auto"/>
              <w:ind w:firstLine="0"/>
              <w:jc w:val="left"/>
              <w:rPr>
                <w:b/>
                <w:color w:val="auto"/>
                <w:kern w:val="0"/>
                <w:sz w:val="24"/>
              </w:rPr>
            </w:pPr>
            <w:r>
              <w:rPr>
                <w:b/>
                <w:color w:val="auto"/>
                <w:kern w:val="0"/>
                <w:sz w:val="24"/>
              </w:rPr>
              <w:t>生态环境分区管控方案符合性分析</w:t>
            </w:r>
          </w:p>
          <w:p w14:paraId="1A3A4496">
            <w:pPr>
              <w:widowControl/>
              <w:spacing w:line="360" w:lineRule="auto"/>
              <w:ind w:firstLine="480" w:firstLineChars="200"/>
              <w:jc w:val="left"/>
              <w:rPr>
                <w:color w:val="auto"/>
                <w:sz w:val="24"/>
              </w:rPr>
            </w:pPr>
            <w:r>
              <w:rPr>
                <w:color w:val="auto"/>
                <w:sz w:val="24"/>
              </w:rPr>
              <w:t>（1）生态保护红线</w:t>
            </w:r>
          </w:p>
          <w:p w14:paraId="4865DC7F">
            <w:pPr>
              <w:widowControl/>
              <w:spacing w:line="360" w:lineRule="auto"/>
              <w:ind w:firstLine="480" w:firstLineChars="200"/>
              <w:jc w:val="left"/>
              <w:rPr>
                <w:color w:val="auto"/>
                <w:sz w:val="24"/>
              </w:rPr>
            </w:pPr>
            <w:r>
              <w:rPr>
                <w:color w:val="auto"/>
                <w:sz w:val="24"/>
              </w:rPr>
              <w:t>本项目选址于浙江省湖州市南浔区</w:t>
            </w:r>
            <w:r>
              <w:rPr>
                <w:rFonts w:hint="eastAsia"/>
                <w:color w:val="auto"/>
                <w:kern w:val="0"/>
                <w:sz w:val="24"/>
              </w:rPr>
              <w:t>练市镇水口村东堡工业区</w:t>
            </w:r>
            <w:r>
              <w:rPr>
                <w:color w:val="auto"/>
                <w:sz w:val="24"/>
              </w:rPr>
              <w:t>，根据《湖州市区生态保护红线分布图》，本项目不触及生态保护红线。根据《南浔区生态环境管控单元分类图动态更新方案》，本项目位于湖州市南浔区</w:t>
            </w:r>
            <w:r>
              <w:rPr>
                <w:rFonts w:hint="eastAsia"/>
                <w:color w:val="auto"/>
                <w:sz w:val="24"/>
              </w:rPr>
              <w:t>一般</w:t>
            </w:r>
            <w:r>
              <w:rPr>
                <w:color w:val="auto"/>
                <w:sz w:val="24"/>
              </w:rPr>
              <w:t>管控单元范围内，不触及优先保护单元。根据《湖州市南浔区</w:t>
            </w:r>
            <w:r>
              <w:rPr>
                <w:rFonts w:hint="eastAsia"/>
                <w:color w:val="auto"/>
                <w:sz w:val="24"/>
              </w:rPr>
              <w:t>练市</w:t>
            </w:r>
            <w:r>
              <w:rPr>
                <w:color w:val="auto"/>
                <w:sz w:val="24"/>
              </w:rPr>
              <w:t>镇国土空间总体规划（2021-2035年）》，本项目拟建址不涉及永久基本农田。因此，本项目符合生态保护红线要求。</w:t>
            </w:r>
          </w:p>
          <w:p w14:paraId="06C8E236">
            <w:pPr>
              <w:widowControl/>
              <w:spacing w:line="360" w:lineRule="auto"/>
              <w:ind w:firstLine="480" w:firstLineChars="200"/>
              <w:jc w:val="left"/>
              <w:rPr>
                <w:color w:val="auto"/>
                <w:sz w:val="24"/>
              </w:rPr>
            </w:pPr>
            <w:r>
              <w:rPr>
                <w:color w:val="auto"/>
                <w:sz w:val="24"/>
              </w:rPr>
              <w:t>（2）环境质量底线</w:t>
            </w:r>
          </w:p>
          <w:p w14:paraId="639ADE93">
            <w:pPr>
              <w:widowControl/>
              <w:spacing w:line="360" w:lineRule="auto"/>
              <w:ind w:firstLine="480" w:firstLineChars="200"/>
              <w:jc w:val="left"/>
              <w:rPr>
                <w:color w:val="auto"/>
                <w:sz w:val="24"/>
              </w:rPr>
            </w:pPr>
            <w:r>
              <w:rPr>
                <w:color w:val="auto"/>
                <w:sz w:val="24"/>
              </w:rPr>
              <w:t>根据《202</w:t>
            </w:r>
            <w:r>
              <w:rPr>
                <w:rFonts w:hint="eastAsia"/>
                <w:color w:val="auto"/>
                <w:sz w:val="24"/>
                <w:lang w:val="en-US" w:eastAsia="zh-CN"/>
              </w:rPr>
              <w:t>4</w:t>
            </w:r>
            <w:r>
              <w:rPr>
                <w:color w:val="auto"/>
                <w:sz w:val="24"/>
              </w:rPr>
              <w:t>年湖州市生态环境状况公报》，202</w:t>
            </w:r>
            <w:r>
              <w:rPr>
                <w:rFonts w:hint="eastAsia"/>
                <w:color w:val="auto"/>
                <w:sz w:val="24"/>
                <w:lang w:val="en-US" w:eastAsia="zh-CN"/>
              </w:rPr>
              <w:t>4</w:t>
            </w:r>
            <w:r>
              <w:rPr>
                <w:color w:val="auto"/>
                <w:sz w:val="24"/>
              </w:rPr>
              <w:t>年度湖州市区和南浔区环境空气质量均属于不达标区，主要的超标因子为O</w:t>
            </w:r>
            <w:r>
              <w:rPr>
                <w:color w:val="auto"/>
                <w:sz w:val="24"/>
                <w:vertAlign w:val="subscript"/>
              </w:rPr>
              <w:t>3</w:t>
            </w:r>
            <w:r>
              <w:rPr>
                <w:color w:val="auto"/>
                <w:sz w:val="24"/>
              </w:rPr>
              <w:t>；202</w:t>
            </w:r>
            <w:r>
              <w:rPr>
                <w:rFonts w:hint="eastAsia"/>
                <w:color w:val="auto"/>
                <w:sz w:val="24"/>
                <w:lang w:val="en-US" w:eastAsia="zh-CN"/>
              </w:rPr>
              <w:t>4</w:t>
            </w:r>
            <w:r>
              <w:rPr>
                <w:color w:val="auto"/>
                <w:sz w:val="24"/>
              </w:rPr>
              <w:t>年全市地表水总体水质为优，满足功能要求监测断面比例为100%。本项目废气经收集处理后达标排放；外排废水仅生活污水，经预处理后纳管排放，对地表水环境影响较小。因此，本项目符合环境质量底线要求。</w:t>
            </w:r>
          </w:p>
          <w:p w14:paraId="475986A4">
            <w:pPr>
              <w:widowControl/>
              <w:spacing w:line="360" w:lineRule="auto"/>
              <w:ind w:firstLine="480" w:firstLineChars="200"/>
              <w:jc w:val="left"/>
              <w:rPr>
                <w:color w:val="auto"/>
                <w:sz w:val="24"/>
              </w:rPr>
            </w:pPr>
            <w:r>
              <w:rPr>
                <w:color w:val="auto"/>
                <w:sz w:val="24"/>
              </w:rPr>
              <w:t>（3）资源利用上线</w:t>
            </w:r>
          </w:p>
          <w:p w14:paraId="508F283B">
            <w:pPr>
              <w:widowControl/>
              <w:spacing w:line="360" w:lineRule="auto"/>
              <w:ind w:firstLine="480" w:firstLineChars="200"/>
              <w:jc w:val="left"/>
              <w:rPr>
                <w:color w:val="auto"/>
                <w:sz w:val="24"/>
              </w:rPr>
            </w:pPr>
            <w:r>
              <w:rPr>
                <w:color w:val="auto"/>
                <w:sz w:val="24"/>
              </w:rPr>
              <w:t>资源利用上线是促进资源能源节约，保障能源、水、土地等资源高效利用，不应突破的最高限值。</w:t>
            </w:r>
          </w:p>
          <w:p w14:paraId="1F07336E">
            <w:pPr>
              <w:widowControl/>
              <w:spacing w:line="360" w:lineRule="auto"/>
              <w:ind w:firstLine="480" w:firstLineChars="200"/>
              <w:jc w:val="left"/>
              <w:rPr>
                <w:color w:val="auto"/>
                <w:sz w:val="24"/>
              </w:rPr>
            </w:pPr>
            <w:r>
              <w:rPr>
                <w:color w:val="auto"/>
                <w:sz w:val="24"/>
              </w:rPr>
              <w:t>本项目营运过程中用水来自区内供水管网；用电来自区内电网。本项目建成运行后通过内部管理、设备选择、原辅材料的选用和管理、废物回收利用、污染治理等多方面采取合理可行的防治措施，达到“节能、降耗、减污”的目标。项目采用先进的工艺技术和装备，达到国内同行业先进水平；保护水资源。</w:t>
            </w:r>
          </w:p>
          <w:p w14:paraId="724CCE30">
            <w:pPr>
              <w:widowControl/>
              <w:spacing w:line="360" w:lineRule="auto"/>
              <w:ind w:firstLine="480" w:firstLineChars="200"/>
              <w:jc w:val="left"/>
              <w:rPr>
                <w:color w:val="auto"/>
                <w:sz w:val="24"/>
              </w:rPr>
            </w:pPr>
            <w:r>
              <w:rPr>
                <w:color w:val="auto"/>
                <w:sz w:val="24"/>
              </w:rPr>
              <w:t>本项目资源利用不会突破区域的资源利用上线。</w:t>
            </w:r>
          </w:p>
          <w:p w14:paraId="078EEF5E">
            <w:pPr>
              <w:widowControl/>
              <w:spacing w:line="360" w:lineRule="auto"/>
              <w:ind w:firstLine="480" w:firstLineChars="200"/>
              <w:jc w:val="left"/>
              <w:rPr>
                <w:color w:val="auto"/>
                <w:sz w:val="24"/>
              </w:rPr>
            </w:pPr>
            <w:r>
              <w:rPr>
                <w:color w:val="auto"/>
                <w:sz w:val="24"/>
              </w:rPr>
              <w:t>（4）环境管控单元准入清单</w:t>
            </w:r>
          </w:p>
          <w:p w14:paraId="11819A3B">
            <w:pPr>
              <w:widowControl/>
              <w:spacing w:line="360" w:lineRule="auto"/>
              <w:ind w:firstLine="480" w:firstLineChars="200"/>
              <w:jc w:val="left"/>
              <w:rPr>
                <w:color w:val="auto"/>
                <w:sz w:val="24"/>
              </w:rPr>
            </w:pPr>
            <w:r>
              <w:rPr>
                <w:color w:val="auto"/>
                <w:sz w:val="24"/>
              </w:rPr>
              <w:t>本项目位于浙江省湖州市南浔区</w:t>
            </w:r>
            <w:r>
              <w:rPr>
                <w:rFonts w:hint="eastAsia"/>
                <w:color w:val="auto"/>
                <w:kern w:val="0"/>
                <w:sz w:val="24"/>
              </w:rPr>
              <w:t>练市镇水口村东堡工业区</w:t>
            </w:r>
            <w:r>
              <w:rPr>
                <w:color w:val="auto"/>
                <w:sz w:val="24"/>
              </w:rPr>
              <w:t>，根据《南浔区生态环境分区管控动态更新方案》（浔政办发[2024]18号），项目位于“湖州市南浔区</w:t>
            </w:r>
            <w:r>
              <w:rPr>
                <w:rFonts w:hint="eastAsia"/>
                <w:color w:val="auto"/>
                <w:sz w:val="24"/>
              </w:rPr>
              <w:t>一般</w:t>
            </w:r>
            <w:r>
              <w:rPr>
                <w:color w:val="auto"/>
                <w:sz w:val="24"/>
              </w:rPr>
              <w:t>管控单元（ZH330503</w:t>
            </w:r>
            <w:r>
              <w:rPr>
                <w:rFonts w:hint="eastAsia"/>
                <w:color w:val="auto"/>
                <w:sz w:val="24"/>
              </w:rPr>
              <w:t>30001</w:t>
            </w:r>
            <w:r>
              <w:rPr>
                <w:color w:val="auto"/>
                <w:sz w:val="24"/>
              </w:rPr>
              <w:t>）”内。根据分析，本项目总体符合该管控单元的管控要求，具体详见</w:t>
            </w:r>
            <w:r>
              <w:rPr>
                <w:rFonts w:hint="eastAsia"/>
                <w:color w:val="auto"/>
                <w:sz w:val="24"/>
              </w:rPr>
              <w:t>下表</w:t>
            </w:r>
            <w:r>
              <w:rPr>
                <w:color w:val="auto"/>
                <w:sz w:val="24"/>
              </w:rPr>
              <w:t>。</w:t>
            </w:r>
          </w:p>
          <w:p w14:paraId="34067BF0">
            <w:pPr>
              <w:numPr>
                <w:ilvl w:val="0"/>
                <w:numId w:val="13"/>
              </w:numPr>
              <w:autoSpaceDE w:val="0"/>
              <w:autoSpaceDN w:val="0"/>
              <w:adjustRightInd w:val="0"/>
              <w:snapToGrid w:val="0"/>
              <w:spacing w:before="48" w:beforeLines="20" w:after="48" w:afterLines="20"/>
              <w:jc w:val="center"/>
              <w:rPr>
                <w:color w:val="auto"/>
                <w:sz w:val="24"/>
              </w:rPr>
            </w:pPr>
            <w:r>
              <w:rPr>
                <w:rFonts w:hint="eastAsia"/>
                <w:b/>
                <w:color w:val="auto"/>
                <w:sz w:val="24"/>
              </w:rPr>
              <w:t>项目所在区域生态环境管控单元及生态环境准入清单</w:t>
            </w:r>
          </w:p>
          <w:tbl>
            <w:tblPr>
              <w:tblStyle w:val="88"/>
              <w:tblW w:w="4999"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0"/>
              <w:gridCol w:w="1098"/>
              <w:gridCol w:w="2319"/>
              <w:gridCol w:w="671"/>
              <w:gridCol w:w="193"/>
              <w:gridCol w:w="597"/>
              <w:gridCol w:w="769"/>
              <w:gridCol w:w="711"/>
              <w:gridCol w:w="292"/>
              <w:gridCol w:w="836"/>
            </w:tblGrid>
            <w:tr w14:paraId="1E6844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jc w:val="center"/>
              </w:trPr>
              <w:tc>
                <w:tcPr>
                  <w:tcW w:w="5000" w:type="pct"/>
                  <w:gridSpan w:val="10"/>
                  <w:tcBorders>
                    <w:tl2br w:val="nil"/>
                    <w:tr2bl w:val="nil"/>
                  </w:tcBorders>
                  <w:vAlign w:val="center"/>
                </w:tcPr>
                <w:p w14:paraId="77CD69FF">
                  <w:pPr>
                    <w:jc w:val="center"/>
                    <w:rPr>
                      <w:color w:val="auto"/>
                      <w:szCs w:val="21"/>
                    </w:rPr>
                  </w:pPr>
                  <w:r>
                    <w:rPr>
                      <w:color w:val="auto"/>
                      <w:szCs w:val="21"/>
                    </w:rPr>
                    <w:t>生态环境管控单元－单元管控空间属性</w:t>
                  </w:r>
                </w:p>
              </w:tc>
            </w:tr>
            <w:tr w14:paraId="06CD3F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jc w:val="center"/>
              </w:trPr>
              <w:tc>
                <w:tcPr>
                  <w:tcW w:w="1083" w:type="pct"/>
                  <w:gridSpan w:val="2"/>
                  <w:vMerge w:val="restart"/>
                  <w:tcBorders>
                    <w:tl2br w:val="nil"/>
                    <w:tr2bl w:val="nil"/>
                  </w:tcBorders>
                  <w:vAlign w:val="center"/>
                </w:tcPr>
                <w:p w14:paraId="210EA184">
                  <w:pPr>
                    <w:jc w:val="center"/>
                    <w:rPr>
                      <w:color w:val="auto"/>
                      <w:szCs w:val="21"/>
                    </w:rPr>
                  </w:pPr>
                  <w:r>
                    <w:rPr>
                      <w:color w:val="auto"/>
                      <w:szCs w:val="21"/>
                    </w:rPr>
                    <w:t>环境管控单元</w:t>
                  </w:r>
                </w:p>
                <w:p w14:paraId="49571820">
                  <w:pPr>
                    <w:jc w:val="center"/>
                    <w:rPr>
                      <w:color w:val="auto"/>
                      <w:szCs w:val="21"/>
                    </w:rPr>
                  </w:pPr>
                  <w:r>
                    <w:rPr>
                      <w:color w:val="auto"/>
                      <w:szCs w:val="21"/>
                    </w:rPr>
                    <w:t>编码</w:t>
                  </w:r>
                </w:p>
              </w:tc>
              <w:tc>
                <w:tcPr>
                  <w:tcW w:w="1422" w:type="pct"/>
                  <w:vMerge w:val="restart"/>
                  <w:tcBorders>
                    <w:tl2br w:val="nil"/>
                    <w:tr2bl w:val="nil"/>
                  </w:tcBorders>
                  <w:vAlign w:val="center"/>
                </w:tcPr>
                <w:p w14:paraId="2D454EEE">
                  <w:pPr>
                    <w:jc w:val="center"/>
                    <w:rPr>
                      <w:color w:val="auto"/>
                      <w:szCs w:val="21"/>
                    </w:rPr>
                  </w:pPr>
                  <w:r>
                    <w:rPr>
                      <w:color w:val="auto"/>
                      <w:szCs w:val="21"/>
                    </w:rPr>
                    <w:t>环境管控单元名称</w:t>
                  </w:r>
                </w:p>
              </w:tc>
              <w:tc>
                <w:tcPr>
                  <w:tcW w:w="1803" w:type="pct"/>
                  <w:gridSpan w:val="5"/>
                  <w:tcBorders>
                    <w:tl2br w:val="nil"/>
                    <w:tr2bl w:val="nil"/>
                  </w:tcBorders>
                  <w:vAlign w:val="center"/>
                </w:tcPr>
                <w:p w14:paraId="56F1C8FE">
                  <w:pPr>
                    <w:jc w:val="center"/>
                    <w:rPr>
                      <w:color w:val="auto"/>
                      <w:szCs w:val="21"/>
                    </w:rPr>
                  </w:pPr>
                  <w:r>
                    <w:rPr>
                      <w:color w:val="auto"/>
                      <w:szCs w:val="21"/>
                    </w:rPr>
                    <w:t>行政区划</w:t>
                  </w:r>
                </w:p>
              </w:tc>
              <w:tc>
                <w:tcPr>
                  <w:tcW w:w="690" w:type="pct"/>
                  <w:gridSpan w:val="2"/>
                  <w:vMerge w:val="restart"/>
                  <w:tcBorders>
                    <w:tl2br w:val="nil"/>
                    <w:tr2bl w:val="nil"/>
                  </w:tcBorders>
                  <w:vAlign w:val="center"/>
                </w:tcPr>
                <w:p w14:paraId="14B88B86">
                  <w:pPr>
                    <w:jc w:val="center"/>
                    <w:rPr>
                      <w:color w:val="auto"/>
                      <w:szCs w:val="21"/>
                    </w:rPr>
                  </w:pPr>
                  <w:r>
                    <w:rPr>
                      <w:color w:val="auto"/>
                      <w:szCs w:val="21"/>
                    </w:rPr>
                    <w:t>管控单元分类</w:t>
                  </w:r>
                </w:p>
              </w:tc>
            </w:tr>
            <w:tr w14:paraId="616F9B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jc w:val="center"/>
              </w:trPr>
              <w:tc>
                <w:tcPr>
                  <w:tcW w:w="1083" w:type="pct"/>
                  <w:gridSpan w:val="2"/>
                  <w:vMerge w:val="continue"/>
                  <w:tcBorders>
                    <w:tl2br w:val="nil"/>
                    <w:tr2bl w:val="nil"/>
                  </w:tcBorders>
                  <w:vAlign w:val="center"/>
                </w:tcPr>
                <w:p w14:paraId="0B0D4845">
                  <w:pPr>
                    <w:jc w:val="center"/>
                    <w:rPr>
                      <w:color w:val="auto"/>
                      <w:szCs w:val="21"/>
                    </w:rPr>
                  </w:pPr>
                </w:p>
              </w:tc>
              <w:tc>
                <w:tcPr>
                  <w:tcW w:w="1422" w:type="pct"/>
                  <w:vMerge w:val="continue"/>
                  <w:tcBorders>
                    <w:tl2br w:val="nil"/>
                    <w:tr2bl w:val="nil"/>
                  </w:tcBorders>
                  <w:vAlign w:val="center"/>
                </w:tcPr>
                <w:p w14:paraId="179A2C53">
                  <w:pPr>
                    <w:jc w:val="center"/>
                    <w:rPr>
                      <w:color w:val="auto"/>
                      <w:szCs w:val="21"/>
                    </w:rPr>
                  </w:pPr>
                </w:p>
              </w:tc>
              <w:tc>
                <w:tcPr>
                  <w:tcW w:w="529" w:type="pct"/>
                  <w:gridSpan w:val="2"/>
                  <w:tcBorders>
                    <w:tl2br w:val="nil"/>
                    <w:tr2bl w:val="nil"/>
                  </w:tcBorders>
                  <w:vAlign w:val="center"/>
                </w:tcPr>
                <w:p w14:paraId="10A33AE8">
                  <w:pPr>
                    <w:jc w:val="center"/>
                    <w:rPr>
                      <w:color w:val="auto"/>
                      <w:szCs w:val="21"/>
                    </w:rPr>
                  </w:pPr>
                  <w:r>
                    <w:rPr>
                      <w:color w:val="auto"/>
                      <w:szCs w:val="21"/>
                    </w:rPr>
                    <w:t>省</w:t>
                  </w:r>
                </w:p>
              </w:tc>
              <w:tc>
                <w:tcPr>
                  <w:tcW w:w="366" w:type="pct"/>
                  <w:tcBorders>
                    <w:tl2br w:val="nil"/>
                    <w:tr2bl w:val="nil"/>
                  </w:tcBorders>
                  <w:vAlign w:val="center"/>
                </w:tcPr>
                <w:p w14:paraId="61178615">
                  <w:pPr>
                    <w:jc w:val="center"/>
                    <w:rPr>
                      <w:color w:val="auto"/>
                      <w:szCs w:val="21"/>
                    </w:rPr>
                  </w:pPr>
                  <w:r>
                    <w:rPr>
                      <w:color w:val="auto"/>
                      <w:szCs w:val="21"/>
                    </w:rPr>
                    <w:t>市</w:t>
                  </w:r>
                </w:p>
              </w:tc>
              <w:tc>
                <w:tcPr>
                  <w:tcW w:w="472" w:type="pct"/>
                  <w:tcBorders>
                    <w:right w:val="single" w:color="auto" w:sz="4" w:space="0"/>
                    <w:tl2br w:val="nil"/>
                    <w:tr2bl w:val="nil"/>
                  </w:tcBorders>
                  <w:vAlign w:val="center"/>
                </w:tcPr>
                <w:p w14:paraId="5E7FCF7C">
                  <w:pPr>
                    <w:jc w:val="center"/>
                    <w:rPr>
                      <w:color w:val="auto"/>
                      <w:szCs w:val="21"/>
                    </w:rPr>
                  </w:pPr>
                  <w:r>
                    <w:rPr>
                      <w:color w:val="auto"/>
                      <w:szCs w:val="21"/>
                    </w:rPr>
                    <w:t>县</w:t>
                  </w:r>
                </w:p>
              </w:tc>
              <w:tc>
                <w:tcPr>
                  <w:tcW w:w="434" w:type="pct"/>
                  <w:tcBorders>
                    <w:left w:val="single" w:color="auto" w:sz="4" w:space="0"/>
                    <w:tl2br w:val="nil"/>
                    <w:tr2bl w:val="nil"/>
                  </w:tcBorders>
                  <w:vAlign w:val="center"/>
                </w:tcPr>
                <w:p w14:paraId="6847AB8D">
                  <w:pPr>
                    <w:jc w:val="center"/>
                    <w:rPr>
                      <w:color w:val="auto"/>
                      <w:szCs w:val="21"/>
                    </w:rPr>
                  </w:pPr>
                  <w:r>
                    <w:rPr>
                      <w:rFonts w:hint="eastAsia"/>
                      <w:color w:val="auto"/>
                      <w:szCs w:val="21"/>
                    </w:rPr>
                    <w:t>乡镇</w:t>
                  </w:r>
                </w:p>
              </w:tc>
              <w:tc>
                <w:tcPr>
                  <w:tcW w:w="690" w:type="pct"/>
                  <w:gridSpan w:val="2"/>
                  <w:vMerge w:val="continue"/>
                  <w:tcBorders>
                    <w:tl2br w:val="nil"/>
                    <w:tr2bl w:val="nil"/>
                  </w:tcBorders>
                  <w:vAlign w:val="center"/>
                </w:tcPr>
                <w:p w14:paraId="208D2275">
                  <w:pPr>
                    <w:jc w:val="center"/>
                    <w:rPr>
                      <w:color w:val="auto"/>
                      <w:szCs w:val="21"/>
                    </w:rPr>
                  </w:pPr>
                </w:p>
              </w:tc>
            </w:tr>
            <w:tr w14:paraId="3639FB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83" w:type="pct"/>
                  <w:gridSpan w:val="2"/>
                  <w:tcBorders>
                    <w:tl2br w:val="nil"/>
                    <w:tr2bl w:val="nil"/>
                  </w:tcBorders>
                  <w:vAlign w:val="center"/>
                </w:tcPr>
                <w:p w14:paraId="119A2732">
                  <w:pPr>
                    <w:jc w:val="center"/>
                    <w:rPr>
                      <w:color w:val="auto"/>
                      <w:szCs w:val="21"/>
                    </w:rPr>
                  </w:pPr>
                  <w:r>
                    <w:rPr>
                      <w:color w:val="auto"/>
                      <w:szCs w:val="21"/>
                    </w:rPr>
                    <w:t>ZH33050330001</w:t>
                  </w:r>
                </w:p>
              </w:tc>
              <w:tc>
                <w:tcPr>
                  <w:tcW w:w="1422" w:type="pct"/>
                  <w:tcBorders>
                    <w:tl2br w:val="nil"/>
                    <w:tr2bl w:val="nil"/>
                  </w:tcBorders>
                  <w:vAlign w:val="center"/>
                </w:tcPr>
                <w:p w14:paraId="61DE549F">
                  <w:pPr>
                    <w:jc w:val="center"/>
                    <w:rPr>
                      <w:color w:val="auto"/>
                      <w:szCs w:val="21"/>
                    </w:rPr>
                  </w:pPr>
                  <w:r>
                    <w:rPr>
                      <w:color w:val="auto"/>
                      <w:szCs w:val="21"/>
                    </w:rPr>
                    <w:t>湖州市南浔区一般管控单元</w:t>
                  </w:r>
                </w:p>
              </w:tc>
              <w:tc>
                <w:tcPr>
                  <w:tcW w:w="529" w:type="pct"/>
                  <w:gridSpan w:val="2"/>
                  <w:tcBorders>
                    <w:tl2br w:val="nil"/>
                    <w:tr2bl w:val="nil"/>
                  </w:tcBorders>
                  <w:vAlign w:val="center"/>
                </w:tcPr>
                <w:p w14:paraId="29613F17">
                  <w:pPr>
                    <w:jc w:val="center"/>
                    <w:rPr>
                      <w:color w:val="auto"/>
                      <w:szCs w:val="21"/>
                    </w:rPr>
                  </w:pPr>
                  <w:r>
                    <w:rPr>
                      <w:color w:val="auto"/>
                      <w:szCs w:val="21"/>
                    </w:rPr>
                    <w:t>浙江省</w:t>
                  </w:r>
                </w:p>
              </w:tc>
              <w:tc>
                <w:tcPr>
                  <w:tcW w:w="366" w:type="pct"/>
                  <w:tcBorders>
                    <w:tl2br w:val="nil"/>
                    <w:tr2bl w:val="nil"/>
                  </w:tcBorders>
                  <w:vAlign w:val="center"/>
                </w:tcPr>
                <w:p w14:paraId="12BE1B57">
                  <w:pPr>
                    <w:jc w:val="center"/>
                    <w:rPr>
                      <w:color w:val="auto"/>
                      <w:szCs w:val="21"/>
                    </w:rPr>
                  </w:pPr>
                  <w:r>
                    <w:rPr>
                      <w:color w:val="auto"/>
                      <w:szCs w:val="21"/>
                    </w:rPr>
                    <w:t>湖州市</w:t>
                  </w:r>
                </w:p>
              </w:tc>
              <w:tc>
                <w:tcPr>
                  <w:tcW w:w="472" w:type="pct"/>
                  <w:tcBorders>
                    <w:right w:val="single" w:color="auto" w:sz="4" w:space="0"/>
                    <w:tl2br w:val="nil"/>
                    <w:tr2bl w:val="nil"/>
                  </w:tcBorders>
                  <w:vAlign w:val="center"/>
                </w:tcPr>
                <w:p w14:paraId="222BA51C">
                  <w:pPr>
                    <w:jc w:val="center"/>
                    <w:rPr>
                      <w:color w:val="auto"/>
                      <w:szCs w:val="21"/>
                    </w:rPr>
                  </w:pPr>
                  <w:r>
                    <w:rPr>
                      <w:color w:val="auto"/>
                      <w:szCs w:val="21"/>
                    </w:rPr>
                    <w:t>南浔区</w:t>
                  </w:r>
                </w:p>
              </w:tc>
              <w:tc>
                <w:tcPr>
                  <w:tcW w:w="434" w:type="pct"/>
                  <w:tcBorders>
                    <w:left w:val="single" w:color="auto" w:sz="4" w:space="0"/>
                    <w:tl2br w:val="nil"/>
                    <w:tr2bl w:val="nil"/>
                  </w:tcBorders>
                  <w:vAlign w:val="center"/>
                </w:tcPr>
                <w:p w14:paraId="7F69E81A">
                  <w:pPr>
                    <w:jc w:val="center"/>
                    <w:rPr>
                      <w:color w:val="auto"/>
                      <w:szCs w:val="21"/>
                    </w:rPr>
                  </w:pPr>
                  <w:r>
                    <w:rPr>
                      <w:color w:val="auto"/>
                      <w:szCs w:val="21"/>
                    </w:rPr>
                    <w:t>南浔区全</w:t>
                  </w:r>
                </w:p>
                <w:p w14:paraId="1CFA31D9">
                  <w:pPr>
                    <w:jc w:val="center"/>
                    <w:rPr>
                      <w:color w:val="auto"/>
                      <w:szCs w:val="21"/>
                    </w:rPr>
                  </w:pPr>
                  <w:r>
                    <w:rPr>
                      <w:color w:val="auto"/>
                      <w:szCs w:val="21"/>
                    </w:rPr>
                    <w:t>域</w:t>
                  </w:r>
                </w:p>
              </w:tc>
              <w:tc>
                <w:tcPr>
                  <w:tcW w:w="690" w:type="pct"/>
                  <w:gridSpan w:val="2"/>
                  <w:tcBorders>
                    <w:tl2br w:val="nil"/>
                    <w:tr2bl w:val="nil"/>
                  </w:tcBorders>
                  <w:vAlign w:val="center"/>
                </w:tcPr>
                <w:p w14:paraId="455703CF">
                  <w:pPr>
                    <w:jc w:val="center"/>
                    <w:rPr>
                      <w:color w:val="auto"/>
                      <w:szCs w:val="21"/>
                    </w:rPr>
                  </w:pPr>
                  <w:r>
                    <w:rPr>
                      <w:color w:val="auto"/>
                      <w:szCs w:val="21"/>
                    </w:rPr>
                    <w:t>一般管控单元</w:t>
                  </w:r>
                </w:p>
              </w:tc>
            </w:tr>
            <w:tr w14:paraId="7F2CCA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000" w:type="pct"/>
                  <w:gridSpan w:val="10"/>
                  <w:tcBorders>
                    <w:tl2br w:val="nil"/>
                    <w:tr2bl w:val="nil"/>
                  </w:tcBorders>
                  <w:vAlign w:val="center"/>
                </w:tcPr>
                <w:p w14:paraId="6983C516">
                  <w:pPr>
                    <w:jc w:val="center"/>
                    <w:rPr>
                      <w:color w:val="auto"/>
                      <w:szCs w:val="21"/>
                    </w:rPr>
                  </w:pPr>
                  <w:r>
                    <w:rPr>
                      <w:color w:val="auto"/>
                      <w:szCs w:val="21"/>
                    </w:rPr>
                    <w:t>生态环境准入清单</w:t>
                  </w:r>
                  <w:r>
                    <w:rPr>
                      <w:rFonts w:hint="eastAsia"/>
                      <w:color w:val="auto"/>
                      <w:szCs w:val="21"/>
                    </w:rPr>
                    <w:t>具体</w:t>
                  </w:r>
                  <w:r>
                    <w:rPr>
                      <w:color w:val="auto"/>
                      <w:szCs w:val="21"/>
                    </w:rPr>
                    <w:t>要求</w:t>
                  </w:r>
                </w:p>
              </w:tc>
            </w:tr>
            <w:tr w14:paraId="6A0A69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16" w:type="pct"/>
                  <w:gridSpan w:val="4"/>
                  <w:tcBorders>
                    <w:tl2br w:val="nil"/>
                    <w:tr2bl w:val="nil"/>
                  </w:tcBorders>
                  <w:vAlign w:val="center"/>
                </w:tcPr>
                <w:p w14:paraId="745199D0">
                  <w:pPr>
                    <w:jc w:val="center"/>
                    <w:rPr>
                      <w:color w:val="auto"/>
                      <w:szCs w:val="21"/>
                    </w:rPr>
                  </w:pPr>
                  <w:r>
                    <w:rPr>
                      <w:color w:val="auto"/>
                      <w:szCs w:val="21"/>
                    </w:rPr>
                    <w:t>具体要求</w:t>
                  </w:r>
                </w:p>
              </w:tc>
              <w:tc>
                <w:tcPr>
                  <w:tcW w:w="1571" w:type="pct"/>
                  <w:gridSpan w:val="5"/>
                  <w:tcBorders>
                    <w:tl2br w:val="nil"/>
                    <w:tr2bl w:val="nil"/>
                  </w:tcBorders>
                  <w:vAlign w:val="center"/>
                </w:tcPr>
                <w:p w14:paraId="7986A916">
                  <w:pPr>
                    <w:jc w:val="center"/>
                    <w:rPr>
                      <w:color w:val="auto"/>
                      <w:szCs w:val="21"/>
                    </w:rPr>
                  </w:pPr>
                  <w:r>
                    <w:rPr>
                      <w:color w:val="auto"/>
                      <w:szCs w:val="21"/>
                    </w:rPr>
                    <w:t>本项目情况</w:t>
                  </w:r>
                </w:p>
              </w:tc>
              <w:tc>
                <w:tcPr>
                  <w:tcW w:w="511" w:type="pct"/>
                  <w:tcBorders>
                    <w:tl2br w:val="nil"/>
                    <w:tr2bl w:val="nil"/>
                  </w:tcBorders>
                  <w:vAlign w:val="center"/>
                </w:tcPr>
                <w:p w14:paraId="3E1199D1">
                  <w:pPr>
                    <w:jc w:val="center"/>
                    <w:rPr>
                      <w:color w:val="auto"/>
                      <w:szCs w:val="21"/>
                    </w:rPr>
                  </w:pPr>
                  <w:r>
                    <w:rPr>
                      <w:color w:val="auto"/>
                      <w:szCs w:val="21"/>
                    </w:rPr>
                    <w:t>符合性</w:t>
                  </w:r>
                </w:p>
                <w:p w14:paraId="4446C543">
                  <w:pPr>
                    <w:jc w:val="center"/>
                    <w:rPr>
                      <w:color w:val="auto"/>
                      <w:szCs w:val="21"/>
                    </w:rPr>
                  </w:pPr>
                  <w:r>
                    <w:rPr>
                      <w:color w:val="auto"/>
                      <w:szCs w:val="21"/>
                    </w:rPr>
                    <w:t>分析</w:t>
                  </w:r>
                </w:p>
              </w:tc>
            </w:tr>
            <w:tr w14:paraId="26E700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10" w:type="pct"/>
                  <w:tcBorders>
                    <w:tl2br w:val="nil"/>
                    <w:tr2bl w:val="nil"/>
                  </w:tcBorders>
                  <w:vAlign w:val="center"/>
                </w:tcPr>
                <w:p w14:paraId="2C6F6C35">
                  <w:pPr>
                    <w:jc w:val="center"/>
                    <w:rPr>
                      <w:color w:val="auto"/>
                      <w:szCs w:val="21"/>
                    </w:rPr>
                  </w:pPr>
                  <w:r>
                    <w:rPr>
                      <w:color w:val="auto"/>
                      <w:szCs w:val="21"/>
                    </w:rPr>
                    <w:t>空间布局约束</w:t>
                  </w:r>
                </w:p>
              </w:tc>
              <w:tc>
                <w:tcPr>
                  <w:tcW w:w="2506" w:type="pct"/>
                  <w:gridSpan w:val="3"/>
                  <w:tcBorders>
                    <w:tl2br w:val="nil"/>
                    <w:tr2bl w:val="nil"/>
                  </w:tcBorders>
                  <w:vAlign w:val="center"/>
                </w:tcPr>
                <w:p w14:paraId="4996EB98">
                  <w:pPr>
                    <w:pStyle w:val="178"/>
                    <w:wordWrap w:val="0"/>
                    <w:ind w:firstLine="420" w:firstLineChars="200"/>
                    <w:rPr>
                      <w:rFonts w:ascii="Arial" w:hAnsi="Arial" w:cs="Arial"/>
                      <w:color w:val="auto"/>
                      <w:szCs w:val="21"/>
                    </w:rPr>
                  </w:pPr>
                  <w:r>
                    <w:rPr>
                      <w:rFonts w:ascii="Arial" w:hAnsi="Arial" w:cs="Arial"/>
                      <w:color w:val="auto"/>
                      <w:szCs w:val="21"/>
                    </w:rPr>
                    <w:t>禁止新建三类工业项目，现有三类工业项目扩建、改建要削减污染物排放总量并严格控制环境风险。</w:t>
                  </w:r>
                </w:p>
                <w:p w14:paraId="3DD904DB">
                  <w:pPr>
                    <w:pStyle w:val="178"/>
                    <w:wordWrap w:val="0"/>
                    <w:ind w:firstLine="420" w:firstLineChars="200"/>
                    <w:rPr>
                      <w:rFonts w:ascii="Times New Roman" w:hAnsi="Times New Roman" w:cs="Times New Roman"/>
                      <w:color w:val="auto"/>
                      <w:szCs w:val="21"/>
                    </w:rPr>
                  </w:pPr>
                  <w:r>
                    <w:rPr>
                      <w:rFonts w:ascii="Arial" w:hAnsi="Arial" w:cs="Arial"/>
                      <w:color w:val="auto"/>
                      <w:szCs w:val="21"/>
                    </w:rPr>
                    <w:t>禁止新建涉及一类重金属、持久性有机污染物排放的二类工业项目；禁止在工业功能区（包括小微园区、工业集聚点等）外新建其他二类工业项目，一二产业融合的加工类项目、利用当地资源的加工项目、工程项目配套的临时性项目等确实难以集聚的二类工业项目除外；工业功能区（包括小微园区、工业集聚点等）外现有其他二类工业项目改建、扩建，不得增加污染物排放总量。严格实施畜禽养殖禁养区、限养区规定，严格控制畜禽养殖规模。推进土壤污染重点行业企业向工业园区集聚发展。</w:t>
                  </w:r>
                </w:p>
              </w:tc>
              <w:tc>
                <w:tcPr>
                  <w:tcW w:w="1571" w:type="pct"/>
                  <w:gridSpan w:val="5"/>
                  <w:tcBorders>
                    <w:tl2br w:val="nil"/>
                    <w:tr2bl w:val="nil"/>
                  </w:tcBorders>
                  <w:vAlign w:val="center"/>
                </w:tcPr>
                <w:p w14:paraId="499C08D8">
                  <w:pPr>
                    <w:pStyle w:val="178"/>
                    <w:wordWrap w:val="0"/>
                    <w:ind w:firstLine="420" w:firstLineChars="200"/>
                    <w:rPr>
                      <w:rFonts w:ascii="Times New Roman" w:hAnsi="Times New Roman" w:cs="Times New Roman"/>
                      <w:color w:val="auto"/>
                      <w:szCs w:val="21"/>
                    </w:rPr>
                  </w:pPr>
                  <w:r>
                    <w:rPr>
                      <w:rFonts w:hint="eastAsia" w:ascii="Arial" w:hAnsi="Arial" w:cs="Arial"/>
                      <w:color w:val="auto"/>
                      <w:szCs w:val="21"/>
                      <w:lang w:val="en-US"/>
                    </w:rPr>
                    <w:t>项目产品主要为木塑门、木塑线条，属于二类工业项目，</w:t>
                  </w:r>
                  <w:r>
                    <w:rPr>
                      <w:rFonts w:ascii="Arial" w:hAnsi="Arial" w:cs="Arial"/>
                      <w:color w:val="auto"/>
                      <w:szCs w:val="21"/>
                      <w:lang w:val="en-US"/>
                    </w:rPr>
                    <w:t>不属于三类工业项目</w:t>
                  </w:r>
                  <w:r>
                    <w:rPr>
                      <w:rFonts w:hint="eastAsia" w:ascii="Arial" w:hAnsi="Arial" w:cs="Arial"/>
                      <w:color w:val="auto"/>
                      <w:szCs w:val="21"/>
                      <w:lang w:val="en-US"/>
                    </w:rPr>
                    <w:t>，本项目不涉及一类重金属、持久性有机污染物的排放。本项目位于浙江省湖州市南浔区练市镇水口村东堡工业区，位于工业集聚点。本项目为工业项目，不涉及畜禽养殖；不属于土壤污染重点监管单位。</w:t>
                  </w:r>
                </w:p>
              </w:tc>
              <w:tc>
                <w:tcPr>
                  <w:tcW w:w="511" w:type="pct"/>
                  <w:tcBorders>
                    <w:tl2br w:val="nil"/>
                    <w:tr2bl w:val="nil"/>
                  </w:tcBorders>
                  <w:vAlign w:val="center"/>
                </w:tcPr>
                <w:p w14:paraId="020C24A8">
                  <w:pPr>
                    <w:jc w:val="center"/>
                    <w:rPr>
                      <w:color w:val="auto"/>
                      <w:szCs w:val="21"/>
                    </w:rPr>
                  </w:pPr>
                  <w:r>
                    <w:rPr>
                      <w:color w:val="auto"/>
                      <w:szCs w:val="21"/>
                    </w:rPr>
                    <w:t>符合</w:t>
                  </w:r>
                </w:p>
              </w:tc>
            </w:tr>
            <w:tr w14:paraId="4D8517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10" w:type="pct"/>
                  <w:tcBorders>
                    <w:tl2br w:val="nil"/>
                    <w:tr2bl w:val="nil"/>
                  </w:tcBorders>
                  <w:vAlign w:val="center"/>
                </w:tcPr>
                <w:p w14:paraId="07193B91">
                  <w:pPr>
                    <w:jc w:val="center"/>
                    <w:rPr>
                      <w:color w:val="auto"/>
                      <w:szCs w:val="21"/>
                    </w:rPr>
                  </w:pPr>
                  <w:r>
                    <w:rPr>
                      <w:color w:val="auto"/>
                      <w:szCs w:val="21"/>
                    </w:rPr>
                    <w:t>污染物排放管控</w:t>
                  </w:r>
                </w:p>
              </w:tc>
              <w:tc>
                <w:tcPr>
                  <w:tcW w:w="2506" w:type="pct"/>
                  <w:gridSpan w:val="3"/>
                  <w:tcBorders>
                    <w:tl2br w:val="nil"/>
                    <w:tr2bl w:val="nil"/>
                  </w:tcBorders>
                  <w:vAlign w:val="center"/>
                </w:tcPr>
                <w:p w14:paraId="6E0ED7E7">
                  <w:pPr>
                    <w:pStyle w:val="178"/>
                    <w:wordWrap w:val="0"/>
                    <w:ind w:firstLine="420" w:firstLineChars="200"/>
                    <w:rPr>
                      <w:rFonts w:ascii="Times New Roman" w:hAnsi="Times New Roman" w:cs="Times New Roman"/>
                      <w:color w:val="auto"/>
                      <w:szCs w:val="21"/>
                    </w:rPr>
                  </w:pPr>
                  <w:r>
                    <w:rPr>
                      <w:rFonts w:ascii="Arial" w:hAnsi="Arial" w:cs="Arial"/>
                      <w:color w:val="auto"/>
                      <w:szCs w:val="21"/>
                    </w:rPr>
                    <w:t>加快污水处理厂建设及提升改造，推进工业园区（工业企业）“污水零直排区”建设，所有企业实现雨污分流，工业企业废水经处理后纳管或达标排放。加强农村生活和农业面源污染治理。严格控制化肥农药施用量。</w:t>
                  </w:r>
                </w:p>
              </w:tc>
              <w:tc>
                <w:tcPr>
                  <w:tcW w:w="1571" w:type="pct"/>
                  <w:gridSpan w:val="5"/>
                  <w:tcBorders>
                    <w:tl2br w:val="nil"/>
                    <w:tr2bl w:val="nil"/>
                  </w:tcBorders>
                  <w:vAlign w:val="center"/>
                </w:tcPr>
                <w:p w14:paraId="4A7DBBE4">
                  <w:pPr>
                    <w:pStyle w:val="178"/>
                    <w:wordWrap w:val="0"/>
                    <w:ind w:firstLine="420" w:firstLineChars="200"/>
                    <w:rPr>
                      <w:rFonts w:ascii="Times New Roman" w:hAnsi="Times New Roman" w:cs="Times New Roman"/>
                      <w:color w:val="auto"/>
                      <w:szCs w:val="21"/>
                    </w:rPr>
                  </w:pPr>
                  <w:r>
                    <w:rPr>
                      <w:rFonts w:hint="eastAsia" w:ascii="Arial" w:hAnsi="Arial" w:cs="Arial"/>
                      <w:color w:val="auto"/>
                      <w:szCs w:val="21"/>
                      <w:lang w:val="en-US"/>
                    </w:rPr>
                    <w:t>本项目厂区内实行雨污分流，生活污水经化粪池预处理后纳管排放，冷却水循环使用，定期补充，不外排</w:t>
                  </w:r>
                  <w:r>
                    <w:rPr>
                      <w:rFonts w:ascii="Times New Roman" w:hAnsi="Times New Roman" w:cs="Times New Roman"/>
                      <w:color w:val="auto"/>
                      <w:szCs w:val="21"/>
                      <w:lang w:val="en-US"/>
                    </w:rPr>
                    <w:t>。</w:t>
                  </w:r>
                </w:p>
              </w:tc>
              <w:tc>
                <w:tcPr>
                  <w:tcW w:w="511" w:type="pct"/>
                  <w:tcBorders>
                    <w:tl2br w:val="nil"/>
                    <w:tr2bl w:val="nil"/>
                  </w:tcBorders>
                  <w:vAlign w:val="center"/>
                </w:tcPr>
                <w:p w14:paraId="549E0726">
                  <w:pPr>
                    <w:jc w:val="center"/>
                    <w:rPr>
                      <w:color w:val="auto"/>
                      <w:szCs w:val="21"/>
                    </w:rPr>
                  </w:pPr>
                  <w:r>
                    <w:rPr>
                      <w:color w:val="auto"/>
                      <w:szCs w:val="21"/>
                    </w:rPr>
                    <w:t>符合</w:t>
                  </w:r>
                </w:p>
              </w:tc>
            </w:tr>
            <w:tr w14:paraId="2224EC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10" w:type="pct"/>
                  <w:tcBorders>
                    <w:tl2br w:val="nil"/>
                    <w:tr2bl w:val="nil"/>
                  </w:tcBorders>
                  <w:vAlign w:val="center"/>
                </w:tcPr>
                <w:p w14:paraId="05D6A8B6">
                  <w:pPr>
                    <w:jc w:val="center"/>
                    <w:rPr>
                      <w:color w:val="auto"/>
                      <w:szCs w:val="21"/>
                    </w:rPr>
                  </w:pPr>
                  <w:r>
                    <w:rPr>
                      <w:color w:val="auto"/>
                      <w:szCs w:val="21"/>
                    </w:rPr>
                    <w:t>环境风险防控</w:t>
                  </w:r>
                </w:p>
              </w:tc>
              <w:tc>
                <w:tcPr>
                  <w:tcW w:w="2506" w:type="pct"/>
                  <w:gridSpan w:val="3"/>
                  <w:tcBorders>
                    <w:tl2br w:val="nil"/>
                    <w:tr2bl w:val="nil"/>
                  </w:tcBorders>
                  <w:vAlign w:val="center"/>
                </w:tcPr>
                <w:p w14:paraId="17130AA9">
                  <w:pPr>
                    <w:pStyle w:val="178"/>
                    <w:wordWrap w:val="0"/>
                    <w:ind w:firstLine="420" w:firstLineChars="200"/>
                    <w:rPr>
                      <w:rFonts w:ascii="Times New Roman" w:hAnsi="Times New Roman" w:cs="Times New Roman"/>
                      <w:color w:val="auto"/>
                      <w:szCs w:val="21"/>
                    </w:rPr>
                  </w:pPr>
                  <w:r>
                    <w:rPr>
                      <w:rFonts w:ascii="Arial" w:hAnsi="Arial" w:cs="Arial"/>
                      <w:color w:val="auto"/>
                      <w:szCs w:val="21"/>
                    </w:rPr>
                    <w:t>严格限制非生态型河湖岸工程建设。严格污染地块开发利用和流转审批，按照《污染地块土壤环境管理办法》有关规定开展调查、评估、治理与修复等活动。</w:t>
                  </w:r>
                </w:p>
              </w:tc>
              <w:tc>
                <w:tcPr>
                  <w:tcW w:w="1571" w:type="pct"/>
                  <w:gridSpan w:val="5"/>
                  <w:tcBorders>
                    <w:tl2br w:val="nil"/>
                    <w:tr2bl w:val="nil"/>
                  </w:tcBorders>
                  <w:vAlign w:val="center"/>
                </w:tcPr>
                <w:p w14:paraId="508CC63E">
                  <w:pPr>
                    <w:pStyle w:val="178"/>
                    <w:wordWrap w:val="0"/>
                    <w:ind w:firstLine="420" w:firstLineChars="200"/>
                    <w:rPr>
                      <w:rFonts w:ascii="Times New Roman" w:hAnsi="Times New Roman" w:cs="Times New Roman"/>
                      <w:color w:val="auto"/>
                      <w:szCs w:val="21"/>
                    </w:rPr>
                  </w:pPr>
                  <w:r>
                    <w:rPr>
                      <w:rFonts w:ascii="Arial" w:hAnsi="Arial" w:cs="Arial"/>
                      <w:color w:val="auto"/>
                      <w:szCs w:val="21"/>
                      <w:lang w:val="en-US"/>
                    </w:rPr>
                    <w:t>本项目不属于湖岸工程，总体符合环境风险防控要求</w:t>
                  </w:r>
                </w:p>
              </w:tc>
              <w:tc>
                <w:tcPr>
                  <w:tcW w:w="511" w:type="pct"/>
                  <w:tcBorders>
                    <w:tl2br w:val="nil"/>
                    <w:tr2bl w:val="nil"/>
                  </w:tcBorders>
                  <w:vAlign w:val="center"/>
                </w:tcPr>
                <w:p w14:paraId="439E11FD">
                  <w:pPr>
                    <w:jc w:val="center"/>
                    <w:rPr>
                      <w:color w:val="auto"/>
                      <w:szCs w:val="21"/>
                    </w:rPr>
                  </w:pPr>
                  <w:r>
                    <w:rPr>
                      <w:color w:val="auto"/>
                      <w:szCs w:val="21"/>
                    </w:rPr>
                    <w:t>符合</w:t>
                  </w:r>
                </w:p>
              </w:tc>
            </w:tr>
            <w:tr w14:paraId="625E0C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410" w:type="pct"/>
                  <w:tcBorders>
                    <w:tl2br w:val="nil"/>
                    <w:tr2bl w:val="nil"/>
                  </w:tcBorders>
                  <w:vAlign w:val="center"/>
                </w:tcPr>
                <w:p w14:paraId="7D828F70">
                  <w:pPr>
                    <w:jc w:val="center"/>
                    <w:rPr>
                      <w:color w:val="auto"/>
                      <w:szCs w:val="21"/>
                    </w:rPr>
                  </w:pPr>
                  <w:r>
                    <w:rPr>
                      <w:color w:val="auto"/>
                      <w:szCs w:val="21"/>
                    </w:rPr>
                    <w:t>资源开发效率要求</w:t>
                  </w:r>
                </w:p>
              </w:tc>
              <w:tc>
                <w:tcPr>
                  <w:tcW w:w="2506" w:type="pct"/>
                  <w:gridSpan w:val="3"/>
                  <w:tcBorders>
                    <w:tl2br w:val="nil"/>
                    <w:tr2bl w:val="nil"/>
                  </w:tcBorders>
                  <w:vAlign w:val="center"/>
                </w:tcPr>
                <w:p w14:paraId="14C5AE68">
                  <w:pPr>
                    <w:pStyle w:val="178"/>
                    <w:wordWrap w:val="0"/>
                    <w:ind w:firstLine="420" w:firstLineChars="200"/>
                    <w:rPr>
                      <w:rFonts w:ascii="Times New Roman" w:hAnsi="Times New Roman" w:cs="Times New Roman"/>
                      <w:color w:val="auto"/>
                      <w:szCs w:val="21"/>
                    </w:rPr>
                  </w:pPr>
                  <w:r>
                    <w:rPr>
                      <w:rFonts w:ascii="Arial" w:hAnsi="Arial" w:cs="Arial"/>
                      <w:color w:val="auto"/>
                      <w:szCs w:val="21"/>
                    </w:rPr>
                    <w:t>加快村镇供水管网改造，加强农业节水，提高水资源使用效率。</w:t>
                  </w:r>
                </w:p>
              </w:tc>
              <w:tc>
                <w:tcPr>
                  <w:tcW w:w="1571" w:type="pct"/>
                  <w:gridSpan w:val="5"/>
                  <w:tcBorders>
                    <w:tl2br w:val="nil"/>
                    <w:tr2bl w:val="nil"/>
                  </w:tcBorders>
                  <w:vAlign w:val="center"/>
                </w:tcPr>
                <w:p w14:paraId="7EC082DA">
                  <w:pPr>
                    <w:pStyle w:val="178"/>
                    <w:wordWrap w:val="0"/>
                    <w:ind w:firstLine="420" w:firstLineChars="200"/>
                    <w:rPr>
                      <w:rFonts w:ascii="Times New Roman" w:hAnsi="Times New Roman" w:cs="Times New Roman"/>
                      <w:color w:val="auto"/>
                      <w:szCs w:val="21"/>
                    </w:rPr>
                  </w:pPr>
                  <w:r>
                    <w:rPr>
                      <w:rFonts w:ascii="Arial" w:hAnsi="Arial" w:cs="Arial"/>
                      <w:color w:val="auto"/>
                      <w:szCs w:val="21"/>
                      <w:lang w:val="en-US"/>
                    </w:rPr>
                    <w:t>项目由市政管网供水，不涉及农业节水。</w:t>
                  </w:r>
                </w:p>
              </w:tc>
              <w:tc>
                <w:tcPr>
                  <w:tcW w:w="511" w:type="pct"/>
                  <w:tcBorders>
                    <w:tl2br w:val="nil"/>
                    <w:tr2bl w:val="nil"/>
                  </w:tcBorders>
                  <w:vAlign w:val="center"/>
                </w:tcPr>
                <w:p w14:paraId="3A68D271">
                  <w:pPr>
                    <w:jc w:val="center"/>
                    <w:rPr>
                      <w:color w:val="auto"/>
                      <w:szCs w:val="21"/>
                    </w:rPr>
                  </w:pPr>
                  <w:r>
                    <w:rPr>
                      <w:color w:val="auto"/>
                      <w:szCs w:val="21"/>
                    </w:rPr>
                    <w:t>符合</w:t>
                  </w:r>
                </w:p>
              </w:tc>
            </w:tr>
          </w:tbl>
          <w:p w14:paraId="73F53375">
            <w:pPr>
              <w:widowControl/>
              <w:spacing w:line="360" w:lineRule="auto"/>
              <w:ind w:firstLine="480" w:firstLineChars="200"/>
              <w:jc w:val="left"/>
              <w:rPr>
                <w:color w:val="auto"/>
                <w:sz w:val="24"/>
              </w:rPr>
            </w:pPr>
            <w:r>
              <w:rPr>
                <w:color w:val="auto"/>
                <w:sz w:val="24"/>
              </w:rPr>
              <w:t>综上分析，项目的建设符合《南浔区生态环境分区管控动态更新方案》（浔政办发〔2024〕18号）的要求。</w:t>
            </w:r>
          </w:p>
          <w:p w14:paraId="75A1C1F4">
            <w:pPr>
              <w:numPr>
                <w:ilvl w:val="2"/>
                <w:numId w:val="14"/>
              </w:numPr>
              <w:adjustRightInd w:val="0"/>
              <w:snapToGrid w:val="0"/>
              <w:spacing w:line="360" w:lineRule="auto"/>
              <w:ind w:firstLine="0"/>
              <w:jc w:val="left"/>
              <w:rPr>
                <w:b/>
                <w:color w:val="auto"/>
                <w:kern w:val="0"/>
                <w:sz w:val="24"/>
              </w:rPr>
            </w:pPr>
            <w:r>
              <w:rPr>
                <w:rFonts w:hint="eastAsia"/>
                <w:b/>
                <w:color w:val="auto"/>
                <w:kern w:val="0"/>
                <w:sz w:val="24"/>
              </w:rPr>
              <w:t>“</w:t>
            </w:r>
            <w:r>
              <w:rPr>
                <w:rFonts w:hint="eastAsia"/>
                <w:b/>
                <w:color w:val="auto"/>
                <w:kern w:val="0"/>
                <w:sz w:val="24"/>
                <w:lang w:val="en-US" w:eastAsia="zh-CN"/>
              </w:rPr>
              <w:t>四性五不批</w:t>
            </w:r>
            <w:r>
              <w:rPr>
                <w:rFonts w:hint="eastAsia"/>
                <w:b/>
                <w:color w:val="auto"/>
                <w:kern w:val="0"/>
                <w:sz w:val="24"/>
              </w:rPr>
              <w:t>”符合性分析</w:t>
            </w:r>
          </w:p>
          <w:p w14:paraId="72471A2A">
            <w:pPr>
              <w:widowControl/>
              <w:spacing w:line="360" w:lineRule="auto"/>
              <w:ind w:firstLine="480" w:firstLineChars="200"/>
              <w:jc w:val="left"/>
              <w:rPr>
                <w:color w:val="auto"/>
                <w:sz w:val="24"/>
              </w:rPr>
            </w:pPr>
            <w:r>
              <w:rPr>
                <w:rFonts w:hint="eastAsia"/>
                <w:color w:val="auto"/>
                <w:sz w:val="24"/>
              </w:rPr>
              <w:t>对照《建设项目环境保护管理条例》（国务院令第682号）中的第九条“环境保护行政主管部门审批环境影响报告书、环境影响报告表，应当重点审查建设项目的环境可行性、环境影响分析预测评估的可靠性、环境保护措施的有效性、环境影响评价结论的科学性等”及第十一条“建设项目有下列情形之一的，环境保护行政主管部门应当对环境影响报告书、环境影响报告表作出不予批准的决定”。本项目“四性五不批”符合性分析见下表。</w:t>
            </w:r>
          </w:p>
          <w:p w14:paraId="428B31FA">
            <w:pPr>
              <w:numPr>
                <w:ilvl w:val="0"/>
                <w:numId w:val="13"/>
              </w:numPr>
              <w:autoSpaceDE w:val="0"/>
              <w:autoSpaceDN w:val="0"/>
              <w:adjustRightInd w:val="0"/>
              <w:snapToGrid w:val="0"/>
              <w:spacing w:before="48" w:beforeLines="20" w:after="48" w:afterLines="20"/>
              <w:jc w:val="center"/>
              <w:rPr>
                <w:color w:val="auto"/>
                <w:sz w:val="24"/>
              </w:rPr>
            </w:pPr>
            <w:r>
              <w:rPr>
                <w:rFonts w:hint="eastAsia"/>
                <w:b/>
                <w:color w:val="auto"/>
                <w:sz w:val="24"/>
                <w:lang w:val="en-US" w:eastAsia="zh-CN"/>
              </w:rPr>
              <w:t>建设项目环境保护管理条例重点要求（</w:t>
            </w:r>
            <w:r>
              <w:rPr>
                <w:rFonts w:hint="eastAsia"/>
                <w:b/>
                <w:bCs/>
                <w:color w:val="auto"/>
                <w:sz w:val="24"/>
              </w:rPr>
              <w:t>“四性五不批”</w:t>
            </w:r>
            <w:r>
              <w:rPr>
                <w:rFonts w:hint="eastAsia"/>
                <w:b/>
                <w:color w:val="auto"/>
                <w:sz w:val="24"/>
                <w:lang w:val="en-US" w:eastAsia="zh-CN"/>
              </w:rPr>
              <w:t>）符合性分析</w:t>
            </w:r>
          </w:p>
          <w:tbl>
            <w:tblPr>
              <w:tblStyle w:val="89"/>
              <w:tblW w:w="8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2716"/>
              <w:gridCol w:w="4320"/>
              <w:gridCol w:w="689"/>
            </w:tblGrid>
            <w:tr w14:paraId="2E20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5" w:type="dxa"/>
                  <w:gridSpan w:val="2"/>
                  <w:vAlign w:val="center"/>
                </w:tcPr>
                <w:p w14:paraId="426B202A">
                  <w:pPr>
                    <w:jc w:val="center"/>
                    <w:rPr>
                      <w:color w:val="auto"/>
                      <w:szCs w:val="21"/>
                    </w:rPr>
                  </w:pPr>
                  <w:r>
                    <w:rPr>
                      <w:color w:val="auto"/>
                      <w:szCs w:val="21"/>
                      <w:lang w:val="zh-CN" w:bidi="zh-CN"/>
                    </w:rPr>
                    <w:t>建设项目环境保护管理条例</w:t>
                  </w:r>
                </w:p>
              </w:tc>
              <w:tc>
                <w:tcPr>
                  <w:tcW w:w="4320" w:type="dxa"/>
                  <w:vAlign w:val="center"/>
                </w:tcPr>
                <w:p w14:paraId="22BDCC38">
                  <w:pPr>
                    <w:jc w:val="center"/>
                    <w:rPr>
                      <w:color w:val="auto"/>
                      <w:szCs w:val="21"/>
                    </w:rPr>
                  </w:pPr>
                  <w:r>
                    <w:rPr>
                      <w:color w:val="auto"/>
                      <w:szCs w:val="21"/>
                      <w:lang w:val="zh-CN" w:bidi="zh-CN"/>
                    </w:rPr>
                    <w:t>符合性分析</w:t>
                  </w:r>
                </w:p>
              </w:tc>
              <w:tc>
                <w:tcPr>
                  <w:tcW w:w="689" w:type="dxa"/>
                  <w:vAlign w:val="center"/>
                </w:tcPr>
                <w:p w14:paraId="66503577">
                  <w:pPr>
                    <w:jc w:val="center"/>
                    <w:rPr>
                      <w:color w:val="auto"/>
                      <w:szCs w:val="21"/>
                    </w:rPr>
                  </w:pPr>
                  <w:r>
                    <w:rPr>
                      <w:color w:val="auto"/>
                      <w:szCs w:val="21"/>
                      <w:lang w:val="zh-CN" w:bidi="zh-CN"/>
                    </w:rPr>
                    <w:t>是否符合</w:t>
                  </w:r>
                </w:p>
              </w:tc>
            </w:tr>
            <w:tr w14:paraId="2BA5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restart"/>
                  <w:vAlign w:val="center"/>
                </w:tcPr>
                <w:p w14:paraId="1ECA605B">
                  <w:pPr>
                    <w:jc w:val="center"/>
                    <w:rPr>
                      <w:color w:val="auto"/>
                      <w:szCs w:val="21"/>
                    </w:rPr>
                  </w:pPr>
                  <w:r>
                    <w:rPr>
                      <w:color w:val="auto"/>
                      <w:szCs w:val="21"/>
                      <w:lang w:val="zh-CN" w:bidi="zh-CN"/>
                    </w:rPr>
                    <w:t>四性</w:t>
                  </w:r>
                </w:p>
              </w:tc>
              <w:tc>
                <w:tcPr>
                  <w:tcW w:w="2716" w:type="dxa"/>
                  <w:vAlign w:val="center"/>
                </w:tcPr>
                <w:p w14:paraId="54DF3329">
                  <w:pPr>
                    <w:rPr>
                      <w:color w:val="auto"/>
                      <w:szCs w:val="21"/>
                    </w:rPr>
                  </w:pPr>
                  <w:r>
                    <w:rPr>
                      <w:color w:val="auto"/>
                      <w:szCs w:val="21"/>
                      <w:lang w:val="zh-CN" w:bidi="zh-CN"/>
                    </w:rPr>
                    <w:t>建设项目的环境可行性</w:t>
                  </w:r>
                </w:p>
              </w:tc>
              <w:tc>
                <w:tcPr>
                  <w:tcW w:w="4320" w:type="dxa"/>
                  <w:vAlign w:val="center"/>
                </w:tcPr>
                <w:p w14:paraId="11BA9D44">
                  <w:pPr>
                    <w:jc w:val="left"/>
                    <w:rPr>
                      <w:color w:val="auto"/>
                      <w:szCs w:val="21"/>
                    </w:rPr>
                  </w:pPr>
                  <w:r>
                    <w:rPr>
                      <w:color w:val="auto"/>
                    </w:rPr>
                    <w:t>本项目位于</w:t>
                  </w:r>
                  <w:r>
                    <w:rPr>
                      <w:rFonts w:hint="eastAsia"/>
                      <w:color w:val="auto"/>
                    </w:rPr>
                    <w:t>浙江省湖州市南浔区练市镇水口村东堡工业区</w:t>
                  </w:r>
                  <w:r>
                    <w:rPr>
                      <w:color w:val="auto"/>
                    </w:rPr>
                    <w:t>，项目所在地块为工业用地，选址可行；项目符合《南浔区生态环境分区管控动态更新方案》要求，产业政策、达标排放、环境规划、总量控制等原则，具备环境可行性。</w:t>
                  </w:r>
                </w:p>
              </w:tc>
              <w:tc>
                <w:tcPr>
                  <w:tcW w:w="689" w:type="dxa"/>
                  <w:vAlign w:val="center"/>
                </w:tcPr>
                <w:p w14:paraId="3F2FE65C">
                  <w:pPr>
                    <w:jc w:val="center"/>
                    <w:rPr>
                      <w:color w:val="auto"/>
                      <w:szCs w:val="21"/>
                    </w:rPr>
                  </w:pPr>
                  <w:r>
                    <w:rPr>
                      <w:rFonts w:hint="eastAsia"/>
                      <w:color w:val="auto"/>
                      <w:szCs w:val="21"/>
                    </w:rPr>
                    <w:t>符合</w:t>
                  </w:r>
                </w:p>
              </w:tc>
            </w:tr>
            <w:tr w14:paraId="5705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7CDB17F0">
                  <w:pPr>
                    <w:jc w:val="center"/>
                    <w:rPr>
                      <w:color w:val="auto"/>
                      <w:szCs w:val="21"/>
                    </w:rPr>
                  </w:pPr>
                </w:p>
              </w:tc>
              <w:tc>
                <w:tcPr>
                  <w:tcW w:w="2716" w:type="dxa"/>
                  <w:vAlign w:val="center"/>
                </w:tcPr>
                <w:p w14:paraId="7C324B0B">
                  <w:pPr>
                    <w:rPr>
                      <w:color w:val="auto"/>
                      <w:szCs w:val="21"/>
                    </w:rPr>
                  </w:pPr>
                  <w:r>
                    <w:rPr>
                      <w:color w:val="auto"/>
                      <w:szCs w:val="21"/>
                      <w:lang w:val="zh-CN" w:bidi="zh-CN"/>
                    </w:rPr>
                    <w:t>环境影响分析预测评估的可靠性</w:t>
                  </w:r>
                </w:p>
              </w:tc>
              <w:tc>
                <w:tcPr>
                  <w:tcW w:w="4320" w:type="dxa"/>
                  <w:vAlign w:val="center"/>
                </w:tcPr>
                <w:p w14:paraId="3075E4C0">
                  <w:pPr>
                    <w:jc w:val="left"/>
                    <w:rPr>
                      <w:color w:val="auto"/>
                      <w:szCs w:val="21"/>
                    </w:rPr>
                  </w:pPr>
                  <w:r>
                    <w:rPr>
                      <w:color w:val="auto"/>
                    </w:rPr>
                    <w:t>本项目环境影响分析根据《建设项目环境影响报告表编制技术指南》的技术要求进行，预测评估是可靠的。</w:t>
                  </w:r>
                </w:p>
              </w:tc>
              <w:tc>
                <w:tcPr>
                  <w:tcW w:w="689" w:type="dxa"/>
                  <w:vAlign w:val="center"/>
                </w:tcPr>
                <w:p w14:paraId="35D5680D">
                  <w:pPr>
                    <w:jc w:val="center"/>
                    <w:rPr>
                      <w:color w:val="auto"/>
                      <w:szCs w:val="21"/>
                    </w:rPr>
                  </w:pPr>
                  <w:r>
                    <w:rPr>
                      <w:rFonts w:hint="eastAsia"/>
                      <w:color w:val="auto"/>
                      <w:szCs w:val="21"/>
                    </w:rPr>
                    <w:t>符合</w:t>
                  </w:r>
                </w:p>
              </w:tc>
            </w:tr>
            <w:tr w14:paraId="328D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0B101646">
                  <w:pPr>
                    <w:jc w:val="center"/>
                    <w:rPr>
                      <w:color w:val="auto"/>
                      <w:szCs w:val="21"/>
                    </w:rPr>
                  </w:pPr>
                </w:p>
              </w:tc>
              <w:tc>
                <w:tcPr>
                  <w:tcW w:w="2716" w:type="dxa"/>
                  <w:vAlign w:val="center"/>
                </w:tcPr>
                <w:p w14:paraId="03333654">
                  <w:pPr>
                    <w:rPr>
                      <w:color w:val="auto"/>
                      <w:szCs w:val="21"/>
                    </w:rPr>
                  </w:pPr>
                  <w:r>
                    <w:rPr>
                      <w:color w:val="auto"/>
                      <w:szCs w:val="21"/>
                      <w:lang w:val="zh-CN" w:bidi="zh-CN"/>
                    </w:rPr>
                    <w:t>环境保护措施的有效性</w:t>
                  </w:r>
                </w:p>
              </w:tc>
              <w:tc>
                <w:tcPr>
                  <w:tcW w:w="4320" w:type="dxa"/>
                  <w:vAlign w:val="center"/>
                </w:tcPr>
                <w:p w14:paraId="5EB7DF26">
                  <w:pPr>
                    <w:jc w:val="left"/>
                    <w:rPr>
                      <w:color w:val="auto"/>
                      <w:szCs w:val="21"/>
                    </w:rPr>
                  </w:pPr>
                  <w:r>
                    <w:rPr>
                      <w:color w:val="auto"/>
                    </w:rPr>
                    <w:t>项目营运产生的各类污染物成份不复杂，属常规污染物，对于这些污染物的治理技术目前已比较成熟，因此从技术上分析，主要切实落实环评报告提出的各项污染防治措施，各污染物均可得到有效控制，并能做到达标排放或不对外直接排放，其环境保护措施是可靠合理的。</w:t>
                  </w:r>
                </w:p>
              </w:tc>
              <w:tc>
                <w:tcPr>
                  <w:tcW w:w="689" w:type="dxa"/>
                  <w:vAlign w:val="center"/>
                </w:tcPr>
                <w:p w14:paraId="4EF89C35">
                  <w:pPr>
                    <w:jc w:val="center"/>
                    <w:rPr>
                      <w:color w:val="auto"/>
                      <w:szCs w:val="21"/>
                    </w:rPr>
                  </w:pPr>
                  <w:r>
                    <w:rPr>
                      <w:rFonts w:hint="eastAsia"/>
                      <w:color w:val="auto"/>
                      <w:szCs w:val="21"/>
                    </w:rPr>
                    <w:t>符合</w:t>
                  </w:r>
                </w:p>
              </w:tc>
            </w:tr>
            <w:tr w14:paraId="460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79A2B3EE">
                  <w:pPr>
                    <w:jc w:val="center"/>
                    <w:rPr>
                      <w:color w:val="auto"/>
                      <w:szCs w:val="21"/>
                    </w:rPr>
                  </w:pPr>
                </w:p>
              </w:tc>
              <w:tc>
                <w:tcPr>
                  <w:tcW w:w="2716" w:type="dxa"/>
                  <w:vAlign w:val="center"/>
                </w:tcPr>
                <w:p w14:paraId="71DD9DF4">
                  <w:pPr>
                    <w:rPr>
                      <w:color w:val="auto"/>
                      <w:szCs w:val="21"/>
                    </w:rPr>
                  </w:pPr>
                  <w:r>
                    <w:rPr>
                      <w:color w:val="auto"/>
                      <w:szCs w:val="21"/>
                      <w:lang w:val="zh-CN" w:bidi="zh-CN"/>
                    </w:rPr>
                    <w:t>环境影响评价结论的科学性</w:t>
                  </w:r>
                </w:p>
              </w:tc>
              <w:tc>
                <w:tcPr>
                  <w:tcW w:w="4320" w:type="dxa"/>
                  <w:vAlign w:val="center"/>
                </w:tcPr>
                <w:p w14:paraId="5E019A71">
                  <w:pPr>
                    <w:adjustRightInd w:val="0"/>
                    <w:snapToGrid w:val="0"/>
                    <w:jc w:val="left"/>
                    <w:rPr>
                      <w:color w:val="auto"/>
                      <w:szCs w:val="21"/>
                    </w:rPr>
                  </w:pPr>
                  <w:r>
                    <w:rPr>
                      <w:color w:val="auto"/>
                    </w:rPr>
                    <w:t>本环评结论客观、过程公开、评价公正，并综合考虑建设项目实施后对各种环境因素可能造成的影响，环评结论是科学的。</w:t>
                  </w:r>
                </w:p>
              </w:tc>
              <w:tc>
                <w:tcPr>
                  <w:tcW w:w="689" w:type="dxa"/>
                  <w:vAlign w:val="center"/>
                </w:tcPr>
                <w:p w14:paraId="7E8EC42D">
                  <w:pPr>
                    <w:jc w:val="center"/>
                    <w:rPr>
                      <w:color w:val="auto"/>
                      <w:szCs w:val="21"/>
                    </w:rPr>
                  </w:pPr>
                  <w:r>
                    <w:rPr>
                      <w:rFonts w:hint="eastAsia"/>
                      <w:color w:val="auto"/>
                      <w:szCs w:val="21"/>
                    </w:rPr>
                    <w:t>符合</w:t>
                  </w:r>
                </w:p>
              </w:tc>
            </w:tr>
            <w:tr w14:paraId="735F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restart"/>
                  <w:vAlign w:val="center"/>
                </w:tcPr>
                <w:p w14:paraId="6216E87B">
                  <w:pPr>
                    <w:jc w:val="center"/>
                    <w:rPr>
                      <w:color w:val="auto"/>
                      <w:szCs w:val="21"/>
                    </w:rPr>
                  </w:pPr>
                  <w:r>
                    <w:rPr>
                      <w:color w:val="auto"/>
                      <w:szCs w:val="21"/>
                      <w:lang w:val="zh-CN" w:bidi="zh-CN"/>
                    </w:rPr>
                    <w:t>五不批</w:t>
                  </w:r>
                </w:p>
              </w:tc>
              <w:tc>
                <w:tcPr>
                  <w:tcW w:w="2716" w:type="dxa"/>
                  <w:vAlign w:val="center"/>
                </w:tcPr>
                <w:p w14:paraId="23E19AF1">
                  <w:pPr>
                    <w:rPr>
                      <w:color w:val="auto"/>
                      <w:szCs w:val="21"/>
                    </w:rPr>
                  </w:pPr>
                  <w:r>
                    <w:rPr>
                      <w:color w:val="auto"/>
                      <w:szCs w:val="21"/>
                      <w:lang w:val="zh-CN" w:bidi="zh-CN"/>
                    </w:rPr>
                    <w:t>（一）建设项目类型及其选址、布局、规模等不符合环境保护法律法规和相关法定规划</w:t>
                  </w:r>
                </w:p>
              </w:tc>
              <w:tc>
                <w:tcPr>
                  <w:tcW w:w="4320" w:type="dxa"/>
                  <w:vAlign w:val="center"/>
                </w:tcPr>
                <w:p w14:paraId="2101C461">
                  <w:pPr>
                    <w:adjustRightInd w:val="0"/>
                    <w:snapToGrid w:val="0"/>
                    <w:jc w:val="left"/>
                    <w:rPr>
                      <w:color w:val="auto"/>
                      <w:szCs w:val="21"/>
                    </w:rPr>
                  </w:pPr>
                  <w:r>
                    <w:rPr>
                      <w:bCs/>
                      <w:color w:val="auto"/>
                    </w:rPr>
                    <w:t>本项目符合当地总体规划，符合国家、地方产业政策，项目营运过程中各类污染源均可得到有效控制并能做到达标排放，基本符合清洁生产、总量控制和达标排放的原则，对环境影响不大，环境风险很小，项目实施不会改变所在地的环境质量水平和环境功能，可实现经济效益、社会效益、环境效益的统一，符合环境保护法律法规和相关法定规划。</w:t>
                  </w:r>
                </w:p>
              </w:tc>
              <w:tc>
                <w:tcPr>
                  <w:tcW w:w="689" w:type="dxa"/>
                  <w:vAlign w:val="center"/>
                </w:tcPr>
                <w:p w14:paraId="5BD772E3">
                  <w:pPr>
                    <w:jc w:val="center"/>
                    <w:rPr>
                      <w:color w:val="auto"/>
                      <w:szCs w:val="21"/>
                    </w:rPr>
                  </w:pPr>
                  <w:r>
                    <w:rPr>
                      <w:rFonts w:hint="eastAsia"/>
                      <w:color w:val="auto"/>
                      <w:szCs w:val="21"/>
                    </w:rPr>
                    <w:t>符合</w:t>
                  </w:r>
                </w:p>
              </w:tc>
            </w:tr>
            <w:tr w14:paraId="0A77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29B62663">
                  <w:pPr>
                    <w:jc w:val="center"/>
                    <w:rPr>
                      <w:color w:val="auto"/>
                      <w:szCs w:val="21"/>
                    </w:rPr>
                  </w:pPr>
                </w:p>
              </w:tc>
              <w:tc>
                <w:tcPr>
                  <w:tcW w:w="2716" w:type="dxa"/>
                  <w:vAlign w:val="center"/>
                </w:tcPr>
                <w:p w14:paraId="4BEB7D34">
                  <w:pPr>
                    <w:rPr>
                      <w:color w:val="auto"/>
                      <w:szCs w:val="21"/>
                    </w:rPr>
                  </w:pPr>
                  <w:r>
                    <w:rPr>
                      <w:color w:val="auto"/>
                      <w:szCs w:val="21"/>
                      <w:lang w:val="zh-CN" w:bidi="zh-CN"/>
                    </w:rPr>
                    <w:t>（二）所在区域环境质量未达到国家或者地方环境质量标准，且建设项目拟采取的措施不能满足区域环境质量改善目标管理要求</w:t>
                  </w:r>
                </w:p>
              </w:tc>
              <w:tc>
                <w:tcPr>
                  <w:tcW w:w="4320" w:type="dxa"/>
                  <w:vAlign w:val="center"/>
                </w:tcPr>
                <w:p w14:paraId="242F1A8B">
                  <w:pPr>
                    <w:adjustRightInd w:val="0"/>
                    <w:snapToGrid w:val="0"/>
                    <w:jc w:val="left"/>
                    <w:rPr>
                      <w:color w:val="auto"/>
                      <w:szCs w:val="21"/>
                    </w:rPr>
                  </w:pPr>
                  <w:r>
                    <w:rPr>
                      <w:rFonts w:hint="eastAsia"/>
                      <w:color w:val="auto"/>
                    </w:rPr>
                    <w:t>项目所在区域地表水满足环境质量标准，南浔区环境空气质量2024年度属于不达标区（不达标因子为臭氧）。项目营运过程中各类污染源均可得到有效控制并能做到达标排放，基本符合清洁生产、总量控制和达标排放原则，对环境影响不大，环境风险很小，项目实施不会改变所在地的环境质量水平和环境功能。</w:t>
                  </w:r>
                </w:p>
              </w:tc>
              <w:tc>
                <w:tcPr>
                  <w:tcW w:w="689" w:type="dxa"/>
                  <w:vAlign w:val="center"/>
                </w:tcPr>
                <w:p w14:paraId="3E1A1A7E">
                  <w:pPr>
                    <w:jc w:val="center"/>
                    <w:rPr>
                      <w:color w:val="auto"/>
                      <w:szCs w:val="21"/>
                    </w:rPr>
                  </w:pPr>
                  <w:r>
                    <w:rPr>
                      <w:rFonts w:hint="eastAsia"/>
                      <w:color w:val="auto"/>
                      <w:szCs w:val="21"/>
                    </w:rPr>
                    <w:t>符合</w:t>
                  </w:r>
                </w:p>
              </w:tc>
            </w:tr>
            <w:tr w14:paraId="4B01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16ED2AEE">
                  <w:pPr>
                    <w:jc w:val="center"/>
                    <w:rPr>
                      <w:color w:val="auto"/>
                      <w:szCs w:val="21"/>
                    </w:rPr>
                  </w:pPr>
                </w:p>
              </w:tc>
              <w:tc>
                <w:tcPr>
                  <w:tcW w:w="2716" w:type="dxa"/>
                  <w:vAlign w:val="center"/>
                </w:tcPr>
                <w:p w14:paraId="23949D77">
                  <w:pPr>
                    <w:rPr>
                      <w:color w:val="auto"/>
                      <w:szCs w:val="21"/>
                    </w:rPr>
                  </w:pPr>
                  <w:r>
                    <w:rPr>
                      <w:color w:val="auto"/>
                      <w:szCs w:val="21"/>
                      <w:lang w:val="zh-CN" w:bidi="zh-CN"/>
                    </w:rPr>
                    <w:t>（三）建设项目采取的污染防治措施无法确保污染物排放达到国家和地方排放标准，或者未采取必要措施预防和控制生态破坏</w:t>
                  </w:r>
                </w:p>
              </w:tc>
              <w:tc>
                <w:tcPr>
                  <w:tcW w:w="4320" w:type="dxa"/>
                  <w:vAlign w:val="center"/>
                </w:tcPr>
                <w:p w14:paraId="1769B021">
                  <w:pPr>
                    <w:adjustRightInd w:val="0"/>
                    <w:snapToGrid w:val="0"/>
                    <w:jc w:val="left"/>
                    <w:rPr>
                      <w:color w:val="auto"/>
                      <w:szCs w:val="21"/>
                    </w:rPr>
                  </w:pPr>
                  <w:r>
                    <w:rPr>
                      <w:bCs/>
                      <w:color w:val="auto"/>
                    </w:rPr>
                    <w:t>项目营运过程中各类污染源均可得到有效控制并能做到达标排放。</w:t>
                  </w:r>
                </w:p>
              </w:tc>
              <w:tc>
                <w:tcPr>
                  <w:tcW w:w="689" w:type="dxa"/>
                  <w:vAlign w:val="center"/>
                </w:tcPr>
                <w:p w14:paraId="4C96A9EB">
                  <w:pPr>
                    <w:jc w:val="center"/>
                    <w:rPr>
                      <w:color w:val="auto"/>
                      <w:szCs w:val="21"/>
                    </w:rPr>
                  </w:pPr>
                  <w:r>
                    <w:rPr>
                      <w:rFonts w:hint="eastAsia"/>
                      <w:color w:val="auto"/>
                      <w:szCs w:val="21"/>
                    </w:rPr>
                    <w:t>符合</w:t>
                  </w:r>
                </w:p>
              </w:tc>
            </w:tr>
            <w:tr w14:paraId="3BEC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1448AE76">
                  <w:pPr>
                    <w:jc w:val="center"/>
                    <w:rPr>
                      <w:color w:val="auto"/>
                      <w:szCs w:val="21"/>
                    </w:rPr>
                  </w:pPr>
                </w:p>
              </w:tc>
              <w:tc>
                <w:tcPr>
                  <w:tcW w:w="2716" w:type="dxa"/>
                  <w:vAlign w:val="center"/>
                </w:tcPr>
                <w:p w14:paraId="4359A648">
                  <w:pPr>
                    <w:rPr>
                      <w:color w:val="auto"/>
                      <w:szCs w:val="21"/>
                    </w:rPr>
                  </w:pPr>
                  <w:r>
                    <w:rPr>
                      <w:color w:val="auto"/>
                      <w:szCs w:val="21"/>
                      <w:lang w:val="zh-CN" w:bidi="zh-CN"/>
                    </w:rPr>
                    <w:t>（四）改建、扩建和技术改造项目，未针对项目原有环境污染和生态破坏提出有效防治措施</w:t>
                  </w:r>
                </w:p>
              </w:tc>
              <w:tc>
                <w:tcPr>
                  <w:tcW w:w="4320" w:type="dxa"/>
                  <w:vAlign w:val="center"/>
                </w:tcPr>
                <w:p w14:paraId="614CE196">
                  <w:pPr>
                    <w:adjustRightInd w:val="0"/>
                    <w:snapToGrid w:val="0"/>
                    <w:jc w:val="left"/>
                    <w:rPr>
                      <w:color w:val="auto"/>
                      <w:szCs w:val="21"/>
                    </w:rPr>
                  </w:pPr>
                  <w:r>
                    <w:rPr>
                      <w:color w:val="auto"/>
                    </w:rPr>
                    <w:t>本项目为新建项目。</w:t>
                  </w:r>
                </w:p>
              </w:tc>
              <w:tc>
                <w:tcPr>
                  <w:tcW w:w="689" w:type="dxa"/>
                  <w:vAlign w:val="center"/>
                </w:tcPr>
                <w:p w14:paraId="5D7711A1">
                  <w:pPr>
                    <w:jc w:val="center"/>
                    <w:rPr>
                      <w:color w:val="auto"/>
                      <w:szCs w:val="21"/>
                    </w:rPr>
                  </w:pPr>
                  <w:r>
                    <w:rPr>
                      <w:rFonts w:hint="eastAsia"/>
                      <w:color w:val="auto"/>
                      <w:szCs w:val="21"/>
                    </w:rPr>
                    <w:t>符合</w:t>
                  </w:r>
                </w:p>
              </w:tc>
            </w:tr>
            <w:tr w14:paraId="3404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9" w:type="dxa"/>
                  <w:vMerge w:val="continue"/>
                  <w:vAlign w:val="center"/>
                </w:tcPr>
                <w:p w14:paraId="70A1912C">
                  <w:pPr>
                    <w:jc w:val="center"/>
                    <w:rPr>
                      <w:color w:val="auto"/>
                      <w:szCs w:val="21"/>
                    </w:rPr>
                  </w:pPr>
                </w:p>
              </w:tc>
              <w:tc>
                <w:tcPr>
                  <w:tcW w:w="2716" w:type="dxa"/>
                  <w:vAlign w:val="center"/>
                </w:tcPr>
                <w:p w14:paraId="014B3B13">
                  <w:pPr>
                    <w:rPr>
                      <w:color w:val="auto"/>
                      <w:szCs w:val="21"/>
                    </w:rPr>
                  </w:pPr>
                  <w:r>
                    <w:rPr>
                      <w:color w:val="auto"/>
                      <w:szCs w:val="21"/>
                      <w:lang w:val="zh-CN" w:bidi="zh-CN"/>
                    </w:rPr>
                    <w:t>（五）建设项目的环境影响报告书、环境影响报告表的基础资料数据明显不实，内容存在重大缺陷、遗漏，或者环境影响评价结论不明确、不合理。</w:t>
                  </w:r>
                </w:p>
              </w:tc>
              <w:tc>
                <w:tcPr>
                  <w:tcW w:w="4320" w:type="dxa"/>
                  <w:vAlign w:val="center"/>
                </w:tcPr>
                <w:p w14:paraId="3E260592">
                  <w:pPr>
                    <w:adjustRightInd w:val="0"/>
                    <w:snapToGrid w:val="0"/>
                    <w:jc w:val="left"/>
                    <w:rPr>
                      <w:color w:val="auto"/>
                      <w:szCs w:val="21"/>
                    </w:rPr>
                  </w:pPr>
                  <w:r>
                    <w:rPr>
                      <w:color w:val="auto"/>
                      <w:shd w:val="clear" w:color="auto" w:fill="FFFFFF"/>
                    </w:rPr>
                    <w:t>建设项目环境影响报告的基础资料数据真实可靠，内容不存在缺陷、遗漏，环境影响评价结论明确、合理。</w:t>
                  </w:r>
                </w:p>
              </w:tc>
              <w:tc>
                <w:tcPr>
                  <w:tcW w:w="689" w:type="dxa"/>
                  <w:vAlign w:val="center"/>
                </w:tcPr>
                <w:p w14:paraId="53B07852">
                  <w:pPr>
                    <w:jc w:val="center"/>
                    <w:rPr>
                      <w:color w:val="auto"/>
                      <w:szCs w:val="21"/>
                    </w:rPr>
                  </w:pPr>
                  <w:r>
                    <w:rPr>
                      <w:rFonts w:hint="eastAsia"/>
                      <w:color w:val="auto"/>
                      <w:szCs w:val="21"/>
                    </w:rPr>
                    <w:t>符合</w:t>
                  </w:r>
                </w:p>
              </w:tc>
            </w:tr>
          </w:tbl>
          <w:p w14:paraId="4D7F2E38">
            <w:pPr>
              <w:widowControl/>
              <w:spacing w:line="360" w:lineRule="auto"/>
              <w:ind w:firstLine="480" w:firstLineChars="200"/>
              <w:jc w:val="left"/>
              <w:rPr>
                <w:rFonts w:hint="eastAsia" w:eastAsia="宋体"/>
                <w:color w:val="auto"/>
                <w:lang w:val="en-US" w:eastAsia="zh-CN"/>
              </w:rPr>
            </w:pPr>
            <w:r>
              <w:rPr>
                <w:rFonts w:hint="eastAsia"/>
                <w:color w:val="auto"/>
                <w:sz w:val="24"/>
              </w:rPr>
              <w:t>综上，本项目符合“四性五不批要求”</w:t>
            </w:r>
          </w:p>
          <w:p w14:paraId="62A4F712">
            <w:pPr>
              <w:numPr>
                <w:ilvl w:val="2"/>
                <w:numId w:val="14"/>
              </w:numPr>
              <w:adjustRightInd w:val="0"/>
              <w:snapToGrid w:val="0"/>
              <w:spacing w:line="360" w:lineRule="auto"/>
              <w:ind w:firstLine="0"/>
              <w:jc w:val="left"/>
              <w:rPr>
                <w:b/>
                <w:color w:val="auto"/>
                <w:kern w:val="0"/>
                <w:sz w:val="24"/>
              </w:rPr>
            </w:pPr>
            <w:r>
              <w:rPr>
                <w:rFonts w:hint="eastAsia"/>
                <w:b/>
                <w:color w:val="auto"/>
                <w:kern w:val="0"/>
                <w:sz w:val="24"/>
              </w:rPr>
              <w:t>湖州市“三区三线”划定成果符合性分析</w:t>
            </w:r>
          </w:p>
          <w:p w14:paraId="6DA76905">
            <w:pPr>
              <w:widowControl/>
              <w:spacing w:line="360" w:lineRule="auto"/>
              <w:ind w:firstLine="480" w:firstLineChars="200"/>
              <w:jc w:val="left"/>
              <w:rPr>
                <w:rFonts w:ascii="Arial" w:hAnsi="Arial" w:cs="Arial"/>
                <w:color w:val="auto"/>
                <w:sz w:val="24"/>
                <w:szCs w:val="32"/>
              </w:rPr>
            </w:pPr>
            <w:r>
              <w:rPr>
                <w:color w:val="auto"/>
                <w:sz w:val="24"/>
                <w:szCs w:val="32"/>
              </w:rPr>
              <w:t>根据湖州市“三区三线”划定成果，三区是指生态、农业、城镇三类空间，三线分别指根据三类空间划定的生态保护红线、永久基本农田和城镇开发边界三条控制线，湖州市共划定耕地面积119.82万亩，永久基本农田108.88万亩，生态保护红线122.07万亩，城镇开发边界97.59万亩。</w:t>
            </w:r>
          </w:p>
          <w:p w14:paraId="4A74CBD8">
            <w:pPr>
              <w:widowControl/>
              <w:spacing w:line="360" w:lineRule="auto"/>
              <w:ind w:firstLine="482" w:firstLineChars="200"/>
              <w:jc w:val="left"/>
              <w:rPr>
                <w:rFonts w:ascii="Arial" w:hAnsi="Arial" w:cs="Arial"/>
                <w:color w:val="auto"/>
                <w:sz w:val="24"/>
                <w:szCs w:val="32"/>
              </w:rPr>
            </w:pPr>
            <w:r>
              <w:rPr>
                <w:rFonts w:hint="eastAsia" w:ascii="Arial" w:hAnsi="Arial" w:cs="Arial"/>
                <w:b/>
                <w:bCs/>
                <w:color w:val="auto"/>
                <w:sz w:val="24"/>
                <w:szCs w:val="32"/>
              </w:rPr>
              <w:t>符合性分析：</w:t>
            </w:r>
            <w:r>
              <w:rPr>
                <w:rFonts w:hint="eastAsia" w:ascii="Arial" w:hAnsi="Arial" w:cs="Arial"/>
                <w:color w:val="auto"/>
                <w:sz w:val="24"/>
                <w:szCs w:val="32"/>
              </w:rPr>
              <w:t>本项目位于</w:t>
            </w:r>
            <w:r>
              <w:rPr>
                <w:rFonts w:hint="eastAsia"/>
                <w:color w:val="auto"/>
                <w:sz w:val="24"/>
              </w:rPr>
              <w:t>浙江省湖州市南浔区</w:t>
            </w:r>
            <w:r>
              <w:rPr>
                <w:rFonts w:hint="eastAsia"/>
                <w:color w:val="auto"/>
                <w:kern w:val="0"/>
                <w:sz w:val="24"/>
              </w:rPr>
              <w:t>练市镇水口村东堡工业区</w:t>
            </w:r>
            <w:r>
              <w:rPr>
                <w:rFonts w:hint="eastAsia" w:ascii="Arial" w:hAnsi="Arial" w:cs="Arial"/>
                <w:color w:val="auto"/>
                <w:sz w:val="24"/>
              </w:rPr>
              <w:t>，根据企业提供的不动产证，项目所在地为工业用地</w:t>
            </w:r>
            <w:r>
              <w:rPr>
                <w:rFonts w:hint="eastAsia" w:ascii="Arial" w:hAnsi="Arial" w:cs="Arial"/>
                <w:color w:val="auto"/>
                <w:sz w:val="24"/>
                <w:lang w:val="en-US" w:eastAsia="zh-CN"/>
              </w:rPr>
              <w:t xml:space="preserve"> </w:t>
            </w:r>
            <w:r>
              <w:rPr>
                <w:rFonts w:hint="eastAsia" w:ascii="Arial" w:hAnsi="Arial" w:cs="Arial"/>
                <w:color w:val="auto"/>
                <w:sz w:val="24"/>
              </w:rPr>
              <w:t>，未占用</w:t>
            </w:r>
            <w:r>
              <w:rPr>
                <w:rFonts w:hint="eastAsia" w:ascii="Arial" w:hAnsi="Arial" w:cs="Arial"/>
                <w:color w:val="auto"/>
                <w:sz w:val="24"/>
                <w:szCs w:val="32"/>
              </w:rPr>
              <w:t>永久基本农田、生态保护红线，项目的建设符合“三区三线”规划要求。</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0"/>
            </w:tblGrid>
            <w:tr w14:paraId="540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0" w:type="dxa"/>
                  <w:tcBorders>
                    <w:top w:val="single" w:color="auto" w:sz="4" w:space="0"/>
                    <w:bottom w:val="single" w:color="auto" w:sz="4" w:space="0"/>
                    <w:right w:val="single" w:color="auto" w:sz="4" w:space="0"/>
                  </w:tcBorders>
                  <w:vAlign w:val="center"/>
                </w:tcPr>
                <w:p w14:paraId="7DBCEE03">
                  <w:pPr>
                    <w:widowControl/>
                    <w:spacing w:line="360" w:lineRule="auto"/>
                    <w:jc w:val="center"/>
                    <w:rPr>
                      <w:color w:val="auto"/>
                      <w:sz w:val="24"/>
                      <w:szCs w:val="32"/>
                    </w:rPr>
                  </w:pPr>
                  <w:r>
                    <w:rPr>
                      <w:color w:val="auto"/>
                    </w:rPr>
                    <w:drawing>
                      <wp:anchor distT="0" distB="0" distL="114300" distR="114300" simplePos="0" relativeHeight="251666432" behindDoc="0" locked="0" layoutInCell="1" allowOverlap="1">
                        <wp:simplePos x="0" y="0"/>
                        <wp:positionH relativeFrom="column">
                          <wp:posOffset>-15240</wp:posOffset>
                        </wp:positionH>
                        <wp:positionV relativeFrom="paragraph">
                          <wp:posOffset>2377440</wp:posOffset>
                        </wp:positionV>
                        <wp:extent cx="1025525" cy="859155"/>
                        <wp:effectExtent l="0" t="0" r="10795" b="952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1025525" cy="859155"/>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2762250</wp:posOffset>
                            </wp:positionH>
                            <wp:positionV relativeFrom="paragraph">
                              <wp:posOffset>1031875</wp:posOffset>
                            </wp:positionV>
                            <wp:extent cx="996950" cy="436245"/>
                            <wp:effectExtent l="458470" t="6350" r="7620" b="258445"/>
                            <wp:wrapNone/>
                            <wp:docPr id="6" name="圆角矩形标注 6"/>
                            <wp:cNvGraphicFramePr/>
                            <a:graphic xmlns:a="http://schemas.openxmlformats.org/drawingml/2006/main">
                              <a:graphicData uri="http://schemas.microsoft.com/office/word/2010/wordprocessingShape">
                                <wps:wsp>
                                  <wps:cNvSpPr/>
                                  <wps:spPr>
                                    <a:xfrm>
                                      <a:off x="3051175" y="7444105"/>
                                      <a:ext cx="996950" cy="436245"/>
                                    </a:xfrm>
                                    <a:prstGeom prst="wedgeRoundRectCallout">
                                      <a:avLst>
                                        <a:gd name="adj1" fmla="val -91019"/>
                                        <a:gd name="adj2" fmla="val 103129"/>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9BA2A69">
                                        <w:pPr>
                                          <w:rPr>
                                            <w:rFonts w:hint="default" w:eastAsia="宋体"/>
                                            <w:b/>
                                            <w:bCs/>
                                            <w:lang w:val="en-US" w:eastAsia="zh-CN"/>
                                          </w:rPr>
                                        </w:pPr>
                                        <w:r>
                                          <w:rPr>
                                            <w:rFonts w:hint="eastAsia"/>
                                            <w:b/>
                                            <w:bCs/>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7.5pt;margin-top:81.25pt;height:34.35pt;width:78.5pt;z-index:251662336;v-text-anchor:middle;mso-width-relative:page;mso-height-relative:page;" fillcolor="#4472C4 [3204]" filled="t" stroked="t" coordsize="21600,21600" o:gfxdata="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Tzjet9kAAAALAQAADwAAAAAAAAABACAAAAAiAAAAZHJz&#10;L2Rvd25yZXYueG1sUEsBAhQAFAAAAAgAh07iQDDmUKPnAgAAwAUAAA4AAAAAAAAAAQAgAAAAKAEA&#10;AGRycy9lMm9Eb2MueG1sUEsFBgAAAAAGAAYAWQEAAIEGAAAAAA==&#10;" adj="-8860,33076,14400">
                            <v:fill on="t" focussize="0,0"/>
                            <v:stroke weight="1pt" color="#2F5597 [2404]" miterlimit="8" joinstyle="miter"/>
                            <v:imagedata o:title=""/>
                            <o:lock v:ext="edit" aspectratio="f"/>
                            <v:textbox>
                              <w:txbxContent>
                                <w:p w14:paraId="59BA2A69">
                                  <w:pPr>
                                    <w:rPr>
                                      <w:rFonts w:hint="default" w:eastAsia="宋体"/>
                                      <w:b/>
                                      <w:bCs/>
                                      <w:lang w:val="en-US" w:eastAsia="zh-CN"/>
                                    </w:rPr>
                                  </w:pPr>
                                  <w:r>
                                    <w:rPr>
                                      <w:rFonts w:hint="eastAsia"/>
                                      <w:b/>
                                      <w:bCs/>
                                      <w:lang w:val="en-US" w:eastAsia="zh-CN"/>
                                    </w:rPr>
                                    <w:t>项目所在地</w:t>
                                  </w:r>
                                </w:p>
                              </w:txbxContent>
                            </v:textbox>
                          </v:shape>
                        </w:pict>
                      </mc:Fallback>
                    </mc:AlternateContent>
                  </w:r>
                  <w:bookmarkStart w:id="16" w:name="_GoBack"/>
                  <w:r>
                    <w:rPr>
                      <w:color w:val="auto"/>
                    </w:rPr>
                    <w:drawing>
                      <wp:inline distT="0" distB="0" distL="114300" distR="114300">
                        <wp:extent cx="5043170" cy="3239770"/>
                        <wp:effectExtent l="0" t="0" r="1270"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043170" cy="3239770"/>
                                </a:xfrm>
                                <a:prstGeom prst="rect">
                                  <a:avLst/>
                                </a:prstGeom>
                                <a:noFill/>
                                <a:ln>
                                  <a:noFill/>
                                </a:ln>
                              </pic:spPr>
                            </pic:pic>
                          </a:graphicData>
                        </a:graphic>
                      </wp:inline>
                    </w:drawing>
                  </w:r>
                  <w:bookmarkEnd w:id="16"/>
                </w:p>
              </w:tc>
            </w:tr>
          </w:tbl>
          <w:p w14:paraId="369DC29C">
            <w:pPr>
              <w:adjustRightInd w:val="0"/>
              <w:snapToGrid w:val="0"/>
              <w:spacing w:line="360" w:lineRule="auto"/>
              <w:jc w:val="center"/>
              <w:rPr>
                <w:b/>
                <w:color w:val="auto"/>
                <w:kern w:val="0"/>
                <w:sz w:val="24"/>
              </w:rPr>
            </w:pPr>
            <w:r>
              <w:rPr>
                <w:b/>
                <w:bCs/>
                <w:color w:val="auto"/>
                <w:sz w:val="24"/>
                <w:szCs w:val="32"/>
              </w:rPr>
              <w:t>图1-1 项目</w:t>
            </w:r>
            <w:r>
              <w:rPr>
                <w:rFonts w:hint="eastAsia"/>
                <w:b/>
                <w:bCs/>
                <w:color w:val="auto"/>
                <w:sz w:val="24"/>
                <w:szCs w:val="32"/>
              </w:rPr>
              <w:t>“三区三线”</w:t>
            </w:r>
            <w:r>
              <w:rPr>
                <w:b/>
                <w:bCs/>
                <w:color w:val="auto"/>
                <w:sz w:val="24"/>
                <w:szCs w:val="32"/>
              </w:rPr>
              <w:t>对照图</w:t>
            </w:r>
          </w:p>
          <w:p w14:paraId="5D3FAEBD">
            <w:pPr>
              <w:numPr>
                <w:ilvl w:val="2"/>
                <w:numId w:val="14"/>
              </w:numPr>
              <w:adjustRightInd w:val="0"/>
              <w:snapToGrid w:val="0"/>
              <w:spacing w:line="360" w:lineRule="auto"/>
              <w:ind w:firstLine="0"/>
              <w:jc w:val="left"/>
              <w:rPr>
                <w:b/>
                <w:color w:val="auto"/>
                <w:kern w:val="0"/>
                <w:sz w:val="24"/>
              </w:rPr>
            </w:pPr>
            <w:r>
              <w:rPr>
                <w:rFonts w:hint="eastAsia"/>
                <w:b/>
                <w:color w:val="auto"/>
                <w:kern w:val="0"/>
                <w:sz w:val="24"/>
              </w:rPr>
              <w:t>《</w:t>
            </w:r>
            <w:r>
              <w:rPr>
                <w:b/>
                <w:color w:val="auto"/>
                <w:kern w:val="0"/>
                <w:sz w:val="24"/>
              </w:rPr>
              <w:t>浙江省建设项目环境保护管理办法（2021年修正）》（浙江省人民政府令第388号）中规定的审批原则（第三条）要求符合性分析</w:t>
            </w:r>
          </w:p>
          <w:p w14:paraId="6F1F8138">
            <w:pPr>
              <w:adjustRightInd w:val="0"/>
              <w:snapToGrid w:val="0"/>
              <w:spacing w:line="360" w:lineRule="auto"/>
              <w:ind w:firstLine="480" w:firstLineChars="200"/>
              <w:jc w:val="left"/>
              <w:rPr>
                <w:color w:val="auto"/>
                <w:sz w:val="24"/>
                <w:szCs w:val="32"/>
              </w:rPr>
            </w:pPr>
            <w:r>
              <w:rPr>
                <w:color w:val="auto"/>
                <w:sz w:val="24"/>
                <w:szCs w:val="32"/>
              </w:rPr>
              <w:t>项目与</w:t>
            </w:r>
            <w:r>
              <w:rPr>
                <w:rFonts w:hint="eastAsia"/>
                <w:color w:val="auto"/>
                <w:sz w:val="24"/>
                <w:szCs w:val="32"/>
              </w:rPr>
              <w:t>《</w:t>
            </w:r>
            <w:r>
              <w:rPr>
                <w:color w:val="auto"/>
                <w:sz w:val="24"/>
                <w:szCs w:val="32"/>
              </w:rPr>
              <w:t>浙江省建设项目环境保护管理办法（2021年修正）》（浙江省人民政府令第388号）中规定的审批原则（第三条）要求符合性分析见</w:t>
            </w:r>
            <w:r>
              <w:rPr>
                <w:rFonts w:hint="eastAsia"/>
                <w:color w:val="auto"/>
                <w:sz w:val="24"/>
                <w:szCs w:val="32"/>
              </w:rPr>
              <w:t>下表。</w:t>
            </w:r>
          </w:p>
          <w:p w14:paraId="26AD2526">
            <w:pPr>
              <w:numPr>
                <w:ilvl w:val="0"/>
                <w:numId w:val="13"/>
              </w:numPr>
              <w:autoSpaceDE w:val="0"/>
              <w:autoSpaceDN w:val="0"/>
              <w:adjustRightInd w:val="0"/>
              <w:snapToGrid w:val="0"/>
              <w:spacing w:before="48" w:beforeLines="20" w:after="48" w:afterLines="20"/>
              <w:jc w:val="center"/>
              <w:rPr>
                <w:color w:val="auto"/>
                <w:sz w:val="24"/>
                <w:szCs w:val="32"/>
              </w:rPr>
            </w:pPr>
            <w:r>
              <w:rPr>
                <w:rFonts w:hint="eastAsia"/>
                <w:b/>
                <w:color w:val="auto"/>
                <w:sz w:val="24"/>
              </w:rPr>
              <w:t>《浙江省建设项目环境保护管理办法（2021年修正）》（浙江省人民</w:t>
            </w:r>
          </w:p>
          <w:p w14:paraId="5B76FA8B">
            <w:pPr>
              <w:autoSpaceDE w:val="0"/>
              <w:autoSpaceDN w:val="0"/>
              <w:adjustRightInd w:val="0"/>
              <w:snapToGrid w:val="0"/>
              <w:spacing w:before="48" w:beforeLines="20" w:after="48" w:afterLines="20"/>
              <w:jc w:val="center"/>
              <w:rPr>
                <w:color w:val="auto"/>
                <w:sz w:val="24"/>
                <w:szCs w:val="32"/>
              </w:rPr>
            </w:pPr>
            <w:r>
              <w:rPr>
                <w:rFonts w:hint="eastAsia"/>
                <w:b/>
                <w:color w:val="auto"/>
                <w:sz w:val="24"/>
              </w:rPr>
              <w:t>政府令第388号）中规定的审批原则（第三条）符合性分析</w:t>
            </w:r>
          </w:p>
          <w:tbl>
            <w:tblPr>
              <w:tblStyle w:val="184"/>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2216"/>
              <w:gridCol w:w="5003"/>
              <w:gridCol w:w="939"/>
            </w:tblGrid>
            <w:tr w14:paraId="51AA45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1357" w:type="pct"/>
                  <w:tcBorders>
                    <w:tl2br w:val="nil"/>
                    <w:tr2bl w:val="nil"/>
                  </w:tcBorders>
                  <w:vAlign w:val="center"/>
                </w:tcPr>
                <w:p w14:paraId="7E769B3B">
                  <w:pPr>
                    <w:jc w:val="center"/>
                    <w:rPr>
                      <w:color w:val="auto"/>
                      <w:szCs w:val="21"/>
                    </w:rPr>
                  </w:pPr>
                  <w:r>
                    <w:rPr>
                      <w:rFonts w:hint="eastAsia"/>
                      <w:color w:val="auto"/>
                      <w:szCs w:val="21"/>
                    </w:rPr>
                    <w:t>内容</w:t>
                  </w:r>
                </w:p>
              </w:tc>
              <w:tc>
                <w:tcPr>
                  <w:tcW w:w="3065" w:type="pct"/>
                  <w:tcBorders>
                    <w:tl2br w:val="nil"/>
                    <w:tr2bl w:val="nil"/>
                  </w:tcBorders>
                  <w:vAlign w:val="center"/>
                </w:tcPr>
                <w:p w14:paraId="272E267D">
                  <w:pPr>
                    <w:jc w:val="center"/>
                    <w:rPr>
                      <w:color w:val="auto"/>
                      <w:szCs w:val="21"/>
                    </w:rPr>
                  </w:pPr>
                  <w:r>
                    <w:rPr>
                      <w:rFonts w:hint="eastAsia"/>
                      <w:color w:val="auto"/>
                      <w:szCs w:val="21"/>
                    </w:rPr>
                    <w:t>项目情况</w:t>
                  </w:r>
                </w:p>
              </w:tc>
              <w:tc>
                <w:tcPr>
                  <w:tcW w:w="576" w:type="pct"/>
                  <w:tcBorders>
                    <w:tl2br w:val="nil"/>
                    <w:tr2bl w:val="nil"/>
                  </w:tcBorders>
                  <w:vAlign w:val="center"/>
                </w:tcPr>
                <w:p w14:paraId="30874D39">
                  <w:pPr>
                    <w:jc w:val="center"/>
                    <w:rPr>
                      <w:color w:val="auto"/>
                      <w:szCs w:val="21"/>
                    </w:rPr>
                  </w:pPr>
                  <w:r>
                    <w:rPr>
                      <w:rFonts w:hint="eastAsia"/>
                      <w:color w:val="auto"/>
                      <w:szCs w:val="21"/>
                    </w:rPr>
                    <w:t>结论</w:t>
                  </w:r>
                </w:p>
              </w:tc>
            </w:tr>
            <w:tr w14:paraId="47A500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1357" w:type="pct"/>
                  <w:tcBorders>
                    <w:tl2br w:val="nil"/>
                    <w:tr2bl w:val="nil"/>
                  </w:tcBorders>
                  <w:vAlign w:val="center"/>
                </w:tcPr>
                <w:p w14:paraId="0C4A1E46">
                  <w:pPr>
                    <w:jc w:val="center"/>
                    <w:rPr>
                      <w:color w:val="auto"/>
                      <w:szCs w:val="21"/>
                    </w:rPr>
                  </w:pPr>
                  <w:r>
                    <w:rPr>
                      <w:color w:val="auto"/>
                      <w:szCs w:val="21"/>
                    </w:rPr>
                    <w:t>建设项目应当符合生态保护红线、环境质量底线、资源利用上线和生态环境准入清单管控的要求</w:t>
                  </w:r>
                </w:p>
              </w:tc>
              <w:tc>
                <w:tcPr>
                  <w:tcW w:w="3065" w:type="pct"/>
                  <w:tcBorders>
                    <w:tl2br w:val="nil"/>
                    <w:tr2bl w:val="nil"/>
                  </w:tcBorders>
                  <w:vAlign w:val="center"/>
                </w:tcPr>
                <w:p w14:paraId="1278103D">
                  <w:pPr>
                    <w:rPr>
                      <w:color w:val="auto"/>
                      <w:szCs w:val="21"/>
                    </w:rPr>
                  </w:pPr>
                  <w:r>
                    <w:rPr>
                      <w:rFonts w:hint="eastAsia"/>
                      <w:color w:val="auto"/>
                      <w:szCs w:val="21"/>
                    </w:rPr>
                    <w:t>具体内容见“1.1.1.生态环境分区管控方案符合性分析”。</w:t>
                  </w:r>
                </w:p>
              </w:tc>
              <w:tc>
                <w:tcPr>
                  <w:tcW w:w="576" w:type="pct"/>
                  <w:tcBorders>
                    <w:tl2br w:val="nil"/>
                    <w:tr2bl w:val="nil"/>
                  </w:tcBorders>
                  <w:vAlign w:val="center"/>
                </w:tcPr>
                <w:p w14:paraId="2313BF77">
                  <w:pPr>
                    <w:jc w:val="center"/>
                    <w:rPr>
                      <w:color w:val="auto"/>
                      <w:szCs w:val="21"/>
                    </w:rPr>
                  </w:pPr>
                  <w:r>
                    <w:rPr>
                      <w:rFonts w:hint="eastAsia"/>
                      <w:color w:val="auto"/>
                      <w:szCs w:val="21"/>
                    </w:rPr>
                    <w:t>符合</w:t>
                  </w:r>
                </w:p>
              </w:tc>
            </w:tr>
            <w:tr w14:paraId="087AF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1357" w:type="pct"/>
                  <w:tcBorders>
                    <w:tl2br w:val="nil"/>
                    <w:tr2bl w:val="nil"/>
                  </w:tcBorders>
                  <w:vAlign w:val="center"/>
                </w:tcPr>
                <w:p w14:paraId="201B0C16">
                  <w:pPr>
                    <w:jc w:val="center"/>
                    <w:rPr>
                      <w:color w:val="auto"/>
                      <w:szCs w:val="21"/>
                    </w:rPr>
                  </w:pPr>
                  <w:r>
                    <w:rPr>
                      <w:color w:val="auto"/>
                      <w:szCs w:val="21"/>
                    </w:rPr>
                    <w:t>排放污染物应当符合国家、省规定的污染物排放标准和重点污染物排放总量控制要求</w:t>
                  </w:r>
                </w:p>
              </w:tc>
              <w:tc>
                <w:tcPr>
                  <w:tcW w:w="3065" w:type="pct"/>
                  <w:tcBorders>
                    <w:tl2br w:val="nil"/>
                    <w:tr2bl w:val="nil"/>
                  </w:tcBorders>
                  <w:vAlign w:val="center"/>
                </w:tcPr>
                <w:p w14:paraId="48AB7A43">
                  <w:pPr>
                    <w:rPr>
                      <w:color w:val="auto"/>
                      <w:szCs w:val="21"/>
                    </w:rPr>
                  </w:pPr>
                  <w:r>
                    <w:rPr>
                      <w:rFonts w:hint="eastAsia"/>
                      <w:color w:val="auto"/>
                      <w:szCs w:val="21"/>
                    </w:rPr>
                    <w:t>根据工程分析，项目所产生的各类污染物经落实相应的各项污染防治措施后均能做到达标排放。项目符合达标排放要求。本项目新增VOCs、颗粒物由当地政府部门在区域内进行平衡，并由当地政府部门出具总量调剂方案，最终公司需对调剂的总量进行申购，按相关规定完成排污权交易后，项目可实现总量控制要求。综上，建设项目排放污染物合国家、省规定的污染物排放标准，重点污染物排放符合总量控制要求。</w:t>
                  </w:r>
                </w:p>
              </w:tc>
              <w:tc>
                <w:tcPr>
                  <w:tcW w:w="576" w:type="pct"/>
                  <w:tcBorders>
                    <w:tl2br w:val="nil"/>
                    <w:tr2bl w:val="nil"/>
                  </w:tcBorders>
                  <w:vAlign w:val="center"/>
                </w:tcPr>
                <w:p w14:paraId="757E471C">
                  <w:pPr>
                    <w:jc w:val="center"/>
                    <w:rPr>
                      <w:color w:val="auto"/>
                      <w:szCs w:val="21"/>
                    </w:rPr>
                  </w:pPr>
                  <w:r>
                    <w:rPr>
                      <w:rFonts w:hint="eastAsia"/>
                      <w:color w:val="auto"/>
                      <w:szCs w:val="21"/>
                    </w:rPr>
                    <w:t>符合</w:t>
                  </w:r>
                </w:p>
              </w:tc>
            </w:tr>
            <w:tr w14:paraId="3E8EB6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1357" w:type="pct"/>
                  <w:tcBorders>
                    <w:tl2br w:val="nil"/>
                    <w:tr2bl w:val="nil"/>
                  </w:tcBorders>
                  <w:vAlign w:val="center"/>
                </w:tcPr>
                <w:p w14:paraId="70688847">
                  <w:pPr>
                    <w:jc w:val="center"/>
                    <w:rPr>
                      <w:color w:val="auto"/>
                      <w:szCs w:val="21"/>
                    </w:rPr>
                  </w:pPr>
                  <w:r>
                    <w:rPr>
                      <w:color w:val="auto"/>
                      <w:szCs w:val="21"/>
                    </w:rPr>
                    <w:t>建设项目还应当符合国土空间规划、国家和省产业政策等要求</w:t>
                  </w:r>
                </w:p>
              </w:tc>
              <w:tc>
                <w:tcPr>
                  <w:tcW w:w="3065" w:type="pct"/>
                  <w:tcBorders>
                    <w:tl2br w:val="nil"/>
                    <w:tr2bl w:val="nil"/>
                  </w:tcBorders>
                  <w:vAlign w:val="center"/>
                </w:tcPr>
                <w:p w14:paraId="75410852">
                  <w:pPr>
                    <w:rPr>
                      <w:color w:val="auto"/>
                      <w:szCs w:val="21"/>
                    </w:rPr>
                  </w:pPr>
                  <w:r>
                    <w:rPr>
                      <w:rFonts w:hint="eastAsia"/>
                      <w:color w:val="auto"/>
                      <w:szCs w:val="21"/>
                    </w:rPr>
                    <w:t>本项目</w:t>
                  </w:r>
                  <w:r>
                    <w:rPr>
                      <w:color w:val="auto"/>
                      <w:szCs w:val="21"/>
                    </w:rPr>
                    <w:t>位于浙江省湖州市</w:t>
                  </w:r>
                  <w:r>
                    <w:rPr>
                      <w:rFonts w:hint="eastAsia"/>
                      <w:color w:val="auto"/>
                      <w:szCs w:val="21"/>
                    </w:rPr>
                    <w:t>练市</w:t>
                  </w:r>
                  <w:r>
                    <w:rPr>
                      <w:color w:val="auto"/>
                      <w:szCs w:val="21"/>
                    </w:rPr>
                    <w:t>镇工业集聚点内，利用现有工业厂房，符合土地利用规划。项目属于“</w:t>
                  </w:r>
                  <w:r>
                    <w:rPr>
                      <w:rFonts w:hint="eastAsia"/>
                      <w:color w:val="auto"/>
                      <w:szCs w:val="21"/>
                    </w:rPr>
                    <w:t>塑料家具制造（C2140）</w:t>
                  </w:r>
                  <w:r>
                    <w:rPr>
                      <w:color w:val="auto"/>
                      <w:szCs w:val="21"/>
                    </w:rPr>
                    <w:t>”（国民经济行业分类），对照《产业结构调整指导目录（2024年）》等，不属于产业政策中的限制或淘汰类以及落后产品，不属于《市场准入负面清单（2022年版）》（发改体改规〔2022〕397号）中负面清单名录，且符合《〈长江经济带发展负面清单指南（试行，2022年版）〉浙江省实施细则》相关要求，符合国家和地方产业政策。</w:t>
                  </w:r>
                </w:p>
              </w:tc>
              <w:tc>
                <w:tcPr>
                  <w:tcW w:w="576" w:type="pct"/>
                  <w:tcBorders>
                    <w:tl2br w:val="nil"/>
                    <w:tr2bl w:val="nil"/>
                  </w:tcBorders>
                  <w:vAlign w:val="center"/>
                </w:tcPr>
                <w:p w14:paraId="5AE92DCB">
                  <w:pPr>
                    <w:jc w:val="center"/>
                    <w:rPr>
                      <w:color w:val="auto"/>
                      <w:szCs w:val="21"/>
                    </w:rPr>
                  </w:pPr>
                  <w:r>
                    <w:rPr>
                      <w:rFonts w:hint="eastAsia"/>
                      <w:color w:val="auto"/>
                      <w:szCs w:val="21"/>
                    </w:rPr>
                    <w:t>符合</w:t>
                  </w:r>
                </w:p>
              </w:tc>
            </w:tr>
          </w:tbl>
          <w:p w14:paraId="03F3094D">
            <w:pPr>
              <w:adjustRightInd w:val="0"/>
              <w:snapToGrid w:val="0"/>
              <w:spacing w:before="120" w:beforeLines="50" w:line="360" w:lineRule="auto"/>
              <w:ind w:firstLine="480" w:firstLineChars="200"/>
              <w:rPr>
                <w:color w:val="auto"/>
                <w:sz w:val="24"/>
              </w:rPr>
            </w:pPr>
            <w:r>
              <w:rPr>
                <w:rFonts w:hint="eastAsia"/>
                <w:color w:val="auto"/>
                <w:sz w:val="24"/>
                <w:szCs w:val="32"/>
              </w:rPr>
              <w:t>综上所述，本项目符合《浙江省建设项目环境保护管理办法（2021年修正）》（浙江省人民政府令第388号）中规定的审批原则（第三条）要求。</w:t>
            </w:r>
          </w:p>
          <w:p w14:paraId="1DB88419">
            <w:pPr>
              <w:numPr>
                <w:ilvl w:val="2"/>
                <w:numId w:val="14"/>
              </w:numPr>
              <w:adjustRightInd w:val="0"/>
              <w:snapToGrid w:val="0"/>
              <w:spacing w:line="360" w:lineRule="auto"/>
              <w:ind w:firstLine="0"/>
              <w:jc w:val="left"/>
              <w:rPr>
                <w:b/>
                <w:color w:val="auto"/>
                <w:kern w:val="0"/>
                <w:sz w:val="24"/>
              </w:rPr>
            </w:pPr>
            <w:r>
              <w:rPr>
                <w:b/>
                <w:color w:val="auto"/>
                <w:kern w:val="0"/>
                <w:sz w:val="24"/>
              </w:rPr>
              <w:t>《关于落实&lt;水污染防治行动计划实施区域差别化环境准入的指导意见&gt;》符合性分析</w:t>
            </w:r>
          </w:p>
          <w:p w14:paraId="4AB0849B">
            <w:pPr>
              <w:autoSpaceDE w:val="0"/>
              <w:autoSpaceDN w:val="0"/>
              <w:adjustRightInd w:val="0"/>
              <w:snapToGrid w:val="0"/>
              <w:spacing w:line="360" w:lineRule="auto"/>
              <w:ind w:firstLine="480" w:firstLineChars="200"/>
              <w:rPr>
                <w:color w:val="auto"/>
                <w:sz w:val="24"/>
              </w:rPr>
            </w:pPr>
            <w:r>
              <w:rPr>
                <w:color w:val="auto"/>
                <w:sz w:val="24"/>
              </w:rPr>
              <w:t>《关于落实水污染防治行动计划实施区域差别化环境准入的指导意见》（环评[2016]190号）于2016年12月28日由环境保护部、国家发展和改革委员会、住房和城乡建设部和水利部共同印发，相关条文如下所述：</w:t>
            </w:r>
          </w:p>
          <w:p w14:paraId="70DBF9C2">
            <w:pPr>
              <w:autoSpaceDE w:val="0"/>
              <w:autoSpaceDN w:val="0"/>
              <w:adjustRightInd w:val="0"/>
              <w:snapToGrid w:val="0"/>
              <w:spacing w:line="360" w:lineRule="auto"/>
              <w:ind w:firstLine="480" w:firstLineChars="200"/>
              <w:rPr>
                <w:color w:val="auto"/>
                <w:sz w:val="24"/>
              </w:rPr>
            </w:pPr>
            <w:r>
              <w:rPr>
                <w:color w:val="auto"/>
                <w:sz w:val="24"/>
              </w:rPr>
              <w:t>优化开发区。对确有必要的符合区域功能定位的建设项目，在污染治理水平、环境标准等方面执行最严格的准入条件，清洁生产达到国际先进水平。保护河口和海岸湿地，加强城市重点水源地保护。</w:t>
            </w:r>
          </w:p>
          <w:p w14:paraId="4209844F">
            <w:pPr>
              <w:autoSpaceDE w:val="0"/>
              <w:autoSpaceDN w:val="0"/>
              <w:adjustRightInd w:val="0"/>
              <w:snapToGrid w:val="0"/>
              <w:spacing w:line="360" w:lineRule="auto"/>
              <w:ind w:firstLine="480" w:firstLineChars="200"/>
              <w:rPr>
                <w:color w:val="auto"/>
                <w:sz w:val="24"/>
              </w:rPr>
            </w:pPr>
            <w:r>
              <w:rPr>
                <w:color w:val="auto"/>
                <w:sz w:val="24"/>
              </w:rPr>
              <w:t>长江三角洲地区。落实《长江经济带取水口排污口和应急水源布局规划》，沿江地区进一步严格石化、化工、印染、造纸等项目环境准入，对干流两岸一定范围内新建相关重污染项目不予环境准入，推进石化化工企业向尚有一定环境容量的沿海地区集中、绿色发展。对太湖流域新建原料化工、燃料、颜料及排放氮磷污染物的工业项目，不予环境准入；实施江、湖一体的氮、磷污染控制，防范和治理江、湖富营养化。严格沿江港口码头项目环境准入，强化环境风险防范措施。</w:t>
            </w:r>
          </w:p>
          <w:p w14:paraId="022595DB">
            <w:pPr>
              <w:autoSpaceDE w:val="0"/>
              <w:autoSpaceDN w:val="0"/>
              <w:adjustRightInd w:val="0"/>
              <w:snapToGrid w:val="0"/>
              <w:spacing w:line="360" w:lineRule="auto"/>
              <w:ind w:firstLine="482" w:firstLineChars="200"/>
              <w:rPr>
                <w:b/>
                <w:bCs/>
                <w:color w:val="auto"/>
                <w:sz w:val="24"/>
              </w:rPr>
            </w:pPr>
            <w:r>
              <w:rPr>
                <w:rFonts w:hint="eastAsia"/>
                <w:b/>
                <w:bCs/>
                <w:color w:val="auto"/>
                <w:sz w:val="24"/>
              </w:rPr>
              <w:t>符合性分析：</w:t>
            </w:r>
          </w:p>
          <w:p w14:paraId="76F2AD26">
            <w:pPr>
              <w:autoSpaceDE w:val="0"/>
              <w:autoSpaceDN w:val="0"/>
              <w:adjustRightInd w:val="0"/>
              <w:snapToGrid w:val="0"/>
              <w:spacing w:line="360" w:lineRule="auto"/>
              <w:ind w:firstLine="480" w:firstLineChars="200"/>
              <w:rPr>
                <w:color w:val="auto"/>
                <w:sz w:val="24"/>
              </w:rPr>
            </w:pPr>
            <w:r>
              <w:rPr>
                <w:rFonts w:hint="eastAsia"/>
                <w:color w:val="auto"/>
                <w:sz w:val="24"/>
              </w:rPr>
              <w:t>本项目所在地属于长江三角洲地区。</w:t>
            </w:r>
          </w:p>
          <w:p w14:paraId="56E98CA8">
            <w:pPr>
              <w:autoSpaceDE w:val="0"/>
              <w:autoSpaceDN w:val="0"/>
              <w:adjustRightInd w:val="0"/>
              <w:snapToGrid w:val="0"/>
              <w:spacing w:line="360" w:lineRule="auto"/>
              <w:ind w:firstLine="480" w:firstLineChars="200"/>
              <w:rPr>
                <w:color w:val="auto"/>
                <w:sz w:val="24"/>
              </w:rPr>
            </w:pPr>
            <w:r>
              <w:rPr>
                <w:color w:val="auto"/>
                <w:sz w:val="24"/>
              </w:rPr>
              <w:t>本项目符合该区域环境功能区划，污染物均采取规范、有效的防治措施。本项目涉及的类别为</w:t>
            </w:r>
            <w:r>
              <w:rPr>
                <w:rFonts w:hint="eastAsia"/>
                <w:color w:val="auto"/>
                <w:sz w:val="24"/>
              </w:rPr>
              <w:t>塑料家具制造（C2140）</w:t>
            </w:r>
            <w:r>
              <w:rPr>
                <w:color w:val="auto"/>
                <w:sz w:val="24"/>
              </w:rPr>
              <w:t>，不属于新建原料化工、燃料、颜料行业，不属于沿江港口码头项目。</w:t>
            </w:r>
            <w:r>
              <w:rPr>
                <w:rFonts w:hint="eastAsia"/>
                <w:color w:val="auto"/>
                <w:sz w:val="24"/>
              </w:rPr>
              <w:t>生活污水经预处理后纳管达标排放，外排废水仅生活污水，经化粪池预处理后纳管排入污水处理厂，废水不涉及氮磷污染物的外排，不涉及沿江港口码头等内容，不属于不予以环境准入项目范围内。</w:t>
            </w:r>
          </w:p>
          <w:p w14:paraId="58C5F18E">
            <w:pPr>
              <w:autoSpaceDE w:val="0"/>
              <w:autoSpaceDN w:val="0"/>
              <w:adjustRightInd w:val="0"/>
              <w:snapToGrid w:val="0"/>
              <w:spacing w:line="360" w:lineRule="auto"/>
              <w:ind w:firstLine="480" w:firstLineChars="200"/>
              <w:rPr>
                <w:color w:val="auto"/>
                <w:sz w:val="24"/>
              </w:rPr>
            </w:pPr>
            <w:r>
              <w:rPr>
                <w:color w:val="auto"/>
                <w:sz w:val="24"/>
              </w:rPr>
              <w:t>因此本项目能够符合重点污染物排放总量控制要求。</w:t>
            </w:r>
          </w:p>
          <w:p w14:paraId="3CD0BD56">
            <w:pPr>
              <w:autoSpaceDE w:val="0"/>
              <w:autoSpaceDN w:val="0"/>
              <w:adjustRightInd w:val="0"/>
              <w:snapToGrid w:val="0"/>
              <w:spacing w:line="360" w:lineRule="auto"/>
              <w:ind w:firstLine="480" w:firstLineChars="200"/>
              <w:rPr>
                <w:color w:val="auto"/>
                <w:sz w:val="24"/>
              </w:rPr>
            </w:pPr>
            <w:r>
              <w:rPr>
                <w:color w:val="auto"/>
                <w:sz w:val="24"/>
              </w:rPr>
              <w:t>综上所述，本项目符合《关于落实水污染防治行动计划实施区域差别化环境准入的指导意见》。</w:t>
            </w:r>
          </w:p>
          <w:p w14:paraId="2EFC6389">
            <w:pPr>
              <w:numPr>
                <w:ilvl w:val="2"/>
                <w:numId w:val="14"/>
              </w:numPr>
              <w:adjustRightInd w:val="0"/>
              <w:snapToGrid w:val="0"/>
              <w:spacing w:line="360" w:lineRule="auto"/>
              <w:ind w:firstLine="0"/>
              <w:jc w:val="left"/>
              <w:rPr>
                <w:b/>
                <w:color w:val="auto"/>
                <w:kern w:val="0"/>
                <w:sz w:val="24"/>
              </w:rPr>
            </w:pPr>
            <w:r>
              <w:rPr>
                <w:b/>
                <w:color w:val="auto"/>
                <w:kern w:val="0"/>
                <w:sz w:val="24"/>
              </w:rPr>
              <w:t>与《太湖流域管理条例》相关规定符合性分析</w:t>
            </w:r>
          </w:p>
          <w:p w14:paraId="238349B3">
            <w:pPr>
              <w:widowControl/>
              <w:spacing w:line="360" w:lineRule="auto"/>
              <w:ind w:firstLine="480" w:firstLineChars="200"/>
              <w:jc w:val="left"/>
              <w:rPr>
                <w:color w:val="auto"/>
                <w:sz w:val="24"/>
              </w:rPr>
            </w:pPr>
            <w:r>
              <w:rPr>
                <w:color w:val="auto"/>
                <w:sz w:val="24"/>
              </w:rPr>
              <w:t>根据中华人民共和国国务院令第604号：《太湖流域管理条例》已经2011年8月24日国务院第169次常务会议通过，现予公布，自2011年11月1日起施行。</w:t>
            </w:r>
          </w:p>
          <w:p w14:paraId="7EAF2413">
            <w:pPr>
              <w:widowControl/>
              <w:spacing w:line="360" w:lineRule="auto"/>
              <w:ind w:firstLine="480" w:firstLineChars="200"/>
              <w:jc w:val="left"/>
              <w:rPr>
                <w:color w:val="auto"/>
                <w:sz w:val="24"/>
              </w:rPr>
            </w:pPr>
            <w:r>
              <w:rPr>
                <w:color w:val="auto"/>
                <w:sz w:val="24"/>
              </w:rPr>
              <w:t>条例中所称太湖流域，包括江苏省、浙江省、上海市（以下称两省一市）长江以南，钱塘江以北，天目山、茅山流域分水岭以东的区域。本项目拟建地属于太湖流域，项目建设与太湖流域管理条例相关规定符合性分析见下表。</w:t>
            </w:r>
          </w:p>
          <w:p w14:paraId="2007FB1E">
            <w:pPr>
              <w:numPr>
                <w:ilvl w:val="0"/>
                <w:numId w:val="13"/>
              </w:numPr>
              <w:autoSpaceDE w:val="0"/>
              <w:autoSpaceDN w:val="0"/>
              <w:adjustRightInd w:val="0"/>
              <w:snapToGrid w:val="0"/>
              <w:spacing w:before="48" w:beforeLines="20" w:after="48" w:afterLines="20"/>
              <w:jc w:val="center"/>
              <w:rPr>
                <w:color w:val="auto"/>
                <w:sz w:val="24"/>
              </w:rPr>
            </w:pPr>
            <w:r>
              <w:rPr>
                <w:rFonts w:hint="eastAsia"/>
                <w:b/>
                <w:color w:val="auto"/>
                <w:sz w:val="24"/>
              </w:rPr>
              <w:t>本项目与《太湖流域管理条例》相关要求符合性分析对比</w:t>
            </w:r>
          </w:p>
          <w:tbl>
            <w:tblPr>
              <w:tblStyle w:val="88"/>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4015"/>
              <w:gridCol w:w="3142"/>
              <w:gridCol w:w="998"/>
            </w:tblGrid>
            <w:tr w14:paraId="0E2E70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6D397E72">
                  <w:pPr>
                    <w:widowControl/>
                    <w:jc w:val="center"/>
                    <w:textAlignment w:val="center"/>
                    <w:rPr>
                      <w:color w:val="auto"/>
                      <w:kern w:val="0"/>
                      <w:szCs w:val="21"/>
                    </w:rPr>
                  </w:pPr>
                  <w:r>
                    <w:rPr>
                      <w:rFonts w:hint="eastAsia"/>
                      <w:color w:val="auto"/>
                      <w:kern w:val="0"/>
                      <w:szCs w:val="21"/>
                    </w:rPr>
                    <w:t>要求</w:t>
                  </w:r>
                </w:p>
              </w:tc>
              <w:tc>
                <w:tcPr>
                  <w:tcW w:w="1926" w:type="pct"/>
                  <w:tcBorders>
                    <w:tl2br w:val="nil"/>
                    <w:tr2bl w:val="nil"/>
                  </w:tcBorders>
                  <w:tcMar>
                    <w:top w:w="15" w:type="dxa"/>
                    <w:left w:w="15" w:type="dxa"/>
                    <w:right w:w="15" w:type="dxa"/>
                  </w:tcMar>
                  <w:vAlign w:val="center"/>
                </w:tcPr>
                <w:p w14:paraId="51B4BF5E">
                  <w:pPr>
                    <w:widowControl/>
                    <w:jc w:val="center"/>
                    <w:textAlignment w:val="center"/>
                    <w:rPr>
                      <w:color w:val="auto"/>
                      <w:spacing w:val="10"/>
                      <w:szCs w:val="21"/>
                    </w:rPr>
                  </w:pPr>
                  <w:r>
                    <w:rPr>
                      <w:rFonts w:hint="eastAsia"/>
                      <w:color w:val="auto"/>
                      <w:spacing w:val="10"/>
                      <w:szCs w:val="21"/>
                    </w:rPr>
                    <w:t>项目情况</w:t>
                  </w:r>
                </w:p>
              </w:tc>
              <w:tc>
                <w:tcPr>
                  <w:tcW w:w="612" w:type="pct"/>
                  <w:tcBorders>
                    <w:tl2br w:val="nil"/>
                    <w:tr2bl w:val="nil"/>
                  </w:tcBorders>
                  <w:vAlign w:val="center"/>
                </w:tcPr>
                <w:p w14:paraId="1E1E5EFA">
                  <w:pPr>
                    <w:widowControl/>
                    <w:jc w:val="center"/>
                    <w:textAlignment w:val="center"/>
                    <w:rPr>
                      <w:color w:val="auto"/>
                      <w:kern w:val="0"/>
                      <w:szCs w:val="21"/>
                    </w:rPr>
                  </w:pPr>
                  <w:r>
                    <w:rPr>
                      <w:rFonts w:hint="eastAsia"/>
                      <w:color w:val="auto"/>
                      <w:spacing w:val="10"/>
                      <w:szCs w:val="21"/>
                    </w:rPr>
                    <w:t>结论</w:t>
                  </w:r>
                </w:p>
              </w:tc>
            </w:tr>
            <w:tr w14:paraId="66A2AB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26ADAD07">
                  <w:pPr>
                    <w:widowControl/>
                    <w:textAlignment w:val="center"/>
                    <w:rPr>
                      <w:color w:val="auto"/>
                      <w:spacing w:val="10"/>
                      <w:szCs w:val="21"/>
                    </w:rPr>
                  </w:pPr>
                  <w:r>
                    <w:rPr>
                      <w:color w:val="auto"/>
                      <w:spacing w:val="10"/>
                      <w:szCs w:val="21"/>
                    </w:rPr>
                    <w:t>排污单位排放水污染物，不得超过经核定的水污染物排放总量，并应当按照规定设置便于检查、采样的规范化排污口，悬挂标志牌；不得私设暗管或者采取其他规避监管的方式排放水污染物。</w:t>
                  </w:r>
                </w:p>
              </w:tc>
              <w:tc>
                <w:tcPr>
                  <w:tcW w:w="1926" w:type="pct"/>
                  <w:tcBorders>
                    <w:tl2br w:val="nil"/>
                    <w:tr2bl w:val="nil"/>
                  </w:tcBorders>
                  <w:tcMar>
                    <w:top w:w="15" w:type="dxa"/>
                    <w:left w:w="15" w:type="dxa"/>
                    <w:right w:w="15" w:type="dxa"/>
                  </w:tcMar>
                  <w:vAlign w:val="center"/>
                </w:tcPr>
                <w:p w14:paraId="6FD3A2FB">
                  <w:pPr>
                    <w:widowControl/>
                    <w:textAlignment w:val="center"/>
                    <w:rPr>
                      <w:color w:val="auto"/>
                      <w:spacing w:val="10"/>
                      <w:szCs w:val="21"/>
                    </w:rPr>
                  </w:pPr>
                  <w:r>
                    <w:rPr>
                      <w:rFonts w:hint="eastAsia"/>
                      <w:color w:val="auto"/>
                      <w:spacing w:val="10"/>
                      <w:szCs w:val="21"/>
                    </w:rPr>
                    <w:t>外排废水仅生活污水，故无需进行区域替代削减。</w:t>
                  </w:r>
                </w:p>
                <w:p w14:paraId="2520754A">
                  <w:pPr>
                    <w:widowControl/>
                    <w:textAlignment w:val="center"/>
                    <w:rPr>
                      <w:color w:val="auto"/>
                      <w:spacing w:val="10"/>
                      <w:szCs w:val="21"/>
                    </w:rPr>
                  </w:pPr>
                  <w:r>
                    <w:rPr>
                      <w:rFonts w:hint="eastAsia"/>
                      <w:color w:val="auto"/>
                      <w:spacing w:val="10"/>
                      <w:szCs w:val="21"/>
                    </w:rPr>
                    <w:t>本项目实施后将严格执行核定的水污染物排放总量，设置规范化排污口和标识牌。</w:t>
                  </w:r>
                </w:p>
              </w:tc>
              <w:tc>
                <w:tcPr>
                  <w:tcW w:w="612" w:type="pct"/>
                  <w:tcBorders>
                    <w:tl2br w:val="nil"/>
                    <w:tr2bl w:val="nil"/>
                  </w:tcBorders>
                  <w:vAlign w:val="center"/>
                </w:tcPr>
                <w:p w14:paraId="69406655">
                  <w:pPr>
                    <w:widowControl/>
                    <w:jc w:val="center"/>
                    <w:textAlignment w:val="center"/>
                    <w:rPr>
                      <w:color w:val="auto"/>
                      <w:spacing w:val="10"/>
                      <w:szCs w:val="21"/>
                    </w:rPr>
                  </w:pPr>
                  <w:r>
                    <w:rPr>
                      <w:color w:val="auto"/>
                      <w:spacing w:val="10"/>
                      <w:szCs w:val="21"/>
                    </w:rPr>
                    <w:t>符合</w:t>
                  </w:r>
                </w:p>
              </w:tc>
            </w:tr>
            <w:tr w14:paraId="698F5F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099B8CC0">
                  <w:pPr>
                    <w:widowControl/>
                    <w:textAlignment w:val="center"/>
                    <w:rPr>
                      <w:color w:val="auto"/>
                      <w:spacing w:val="10"/>
                      <w:szCs w:val="21"/>
                    </w:rPr>
                  </w:pPr>
                  <w:r>
                    <w:rPr>
                      <w:color w:val="auto"/>
                      <w:spacing w:val="10"/>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1926" w:type="pct"/>
                  <w:tcBorders>
                    <w:tl2br w:val="nil"/>
                    <w:tr2bl w:val="nil"/>
                  </w:tcBorders>
                  <w:tcMar>
                    <w:top w:w="15" w:type="dxa"/>
                    <w:left w:w="15" w:type="dxa"/>
                    <w:right w:w="15" w:type="dxa"/>
                  </w:tcMar>
                  <w:vAlign w:val="center"/>
                </w:tcPr>
                <w:p w14:paraId="2F735D65">
                  <w:pPr>
                    <w:widowControl/>
                    <w:ind w:firstLine="460" w:firstLineChars="200"/>
                    <w:textAlignment w:val="center"/>
                    <w:rPr>
                      <w:color w:val="auto"/>
                      <w:spacing w:val="10"/>
                      <w:szCs w:val="21"/>
                    </w:rPr>
                  </w:pPr>
                  <w:r>
                    <w:rPr>
                      <w:color w:val="auto"/>
                      <w:spacing w:val="10"/>
                      <w:szCs w:val="21"/>
                    </w:rPr>
                    <w:t>本项目不属于条例中禁止设置的不符合国家产业政策和水环境综合治理要求的行业。</w:t>
                  </w:r>
                </w:p>
              </w:tc>
              <w:tc>
                <w:tcPr>
                  <w:tcW w:w="612" w:type="pct"/>
                  <w:tcBorders>
                    <w:tl2br w:val="nil"/>
                    <w:tr2bl w:val="nil"/>
                  </w:tcBorders>
                  <w:vAlign w:val="center"/>
                </w:tcPr>
                <w:p w14:paraId="77D2B5A4">
                  <w:pPr>
                    <w:widowControl/>
                    <w:jc w:val="center"/>
                    <w:textAlignment w:val="center"/>
                    <w:rPr>
                      <w:color w:val="auto"/>
                      <w:spacing w:val="10"/>
                      <w:szCs w:val="21"/>
                    </w:rPr>
                  </w:pPr>
                  <w:r>
                    <w:rPr>
                      <w:rFonts w:hint="eastAsia"/>
                      <w:color w:val="auto"/>
                      <w:spacing w:val="10"/>
                      <w:szCs w:val="21"/>
                    </w:rPr>
                    <w:t>符合</w:t>
                  </w:r>
                </w:p>
              </w:tc>
            </w:tr>
            <w:tr w14:paraId="70E5EC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3C4F5BFC">
                  <w:pPr>
                    <w:widowControl/>
                    <w:textAlignment w:val="center"/>
                    <w:rPr>
                      <w:color w:val="auto"/>
                      <w:spacing w:val="10"/>
                      <w:szCs w:val="21"/>
                    </w:rPr>
                  </w:pPr>
                  <w:r>
                    <w:rPr>
                      <w:color w:val="auto"/>
                      <w:spacing w:val="10"/>
                      <w:szCs w:val="21"/>
                    </w:rPr>
                    <w:t>在太湖流域新设企业应当符合国家规定的清洁生产要求，现有的企业尚未达到清洁生产要求的，应当按照清洁生产规划要求进行技术改造，两省一市人民政府应当加强监督检查。</w:t>
                  </w:r>
                </w:p>
              </w:tc>
              <w:tc>
                <w:tcPr>
                  <w:tcW w:w="1926" w:type="pct"/>
                  <w:tcBorders>
                    <w:tl2br w:val="nil"/>
                    <w:tr2bl w:val="nil"/>
                  </w:tcBorders>
                  <w:tcMar>
                    <w:top w:w="15" w:type="dxa"/>
                    <w:left w:w="15" w:type="dxa"/>
                    <w:right w:w="15" w:type="dxa"/>
                  </w:tcMar>
                  <w:vAlign w:val="center"/>
                </w:tcPr>
                <w:p w14:paraId="4B88AC03">
                  <w:pPr>
                    <w:widowControl/>
                    <w:textAlignment w:val="center"/>
                    <w:rPr>
                      <w:color w:val="auto"/>
                      <w:spacing w:val="10"/>
                      <w:szCs w:val="21"/>
                    </w:rPr>
                  </w:pPr>
                  <w:r>
                    <w:rPr>
                      <w:rFonts w:hint="eastAsia"/>
                      <w:color w:val="auto"/>
                      <w:spacing w:val="10"/>
                      <w:szCs w:val="21"/>
                    </w:rPr>
                    <w:t>本项目将严格执行国家规定的清洁生产要求。</w:t>
                  </w:r>
                </w:p>
              </w:tc>
              <w:tc>
                <w:tcPr>
                  <w:tcW w:w="612" w:type="pct"/>
                  <w:tcBorders>
                    <w:tl2br w:val="nil"/>
                    <w:tr2bl w:val="nil"/>
                  </w:tcBorders>
                  <w:vAlign w:val="center"/>
                </w:tcPr>
                <w:p w14:paraId="553BC448">
                  <w:pPr>
                    <w:widowControl/>
                    <w:jc w:val="center"/>
                    <w:textAlignment w:val="center"/>
                    <w:rPr>
                      <w:color w:val="auto"/>
                      <w:spacing w:val="10"/>
                      <w:szCs w:val="21"/>
                    </w:rPr>
                  </w:pPr>
                  <w:r>
                    <w:rPr>
                      <w:rFonts w:hint="eastAsia"/>
                      <w:color w:val="auto"/>
                      <w:spacing w:val="10"/>
                      <w:szCs w:val="21"/>
                    </w:rPr>
                    <w:t>符合</w:t>
                  </w:r>
                </w:p>
              </w:tc>
            </w:tr>
            <w:tr w14:paraId="51D6CE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3FA16085">
                  <w:pPr>
                    <w:widowControl/>
                    <w:textAlignment w:val="center"/>
                    <w:rPr>
                      <w:color w:val="auto"/>
                      <w:spacing w:val="10"/>
                      <w:szCs w:val="21"/>
                    </w:rPr>
                  </w:pPr>
                  <w:r>
                    <w:rPr>
                      <w:color w:val="auto"/>
                      <w:spacing w:val="10"/>
                      <w:szCs w:val="21"/>
                    </w:rPr>
                    <w:t>第二十九条 新孟河、望虞河以外的其他主要入太湖河道，自河口1万米上溯至5万米河道岸线内及岸线两侧各1000米范围内，禁止下列行为：</w:t>
                  </w:r>
                </w:p>
                <w:p w14:paraId="2D00ABC1">
                  <w:pPr>
                    <w:widowControl/>
                    <w:textAlignment w:val="center"/>
                    <w:rPr>
                      <w:color w:val="auto"/>
                      <w:spacing w:val="10"/>
                      <w:szCs w:val="21"/>
                    </w:rPr>
                  </w:pPr>
                  <w:r>
                    <w:rPr>
                      <w:color w:val="auto"/>
                      <w:spacing w:val="10"/>
                      <w:szCs w:val="21"/>
                    </w:rPr>
                    <w:t>（一）新建、扩建化工、医药生产项目；（二）新建、扩建污水集中处理设施排污口以外的排污口；（三）扩大水产养殖规模。</w:t>
                  </w:r>
                </w:p>
              </w:tc>
              <w:tc>
                <w:tcPr>
                  <w:tcW w:w="1926" w:type="pct"/>
                  <w:tcBorders>
                    <w:tl2br w:val="nil"/>
                    <w:tr2bl w:val="nil"/>
                  </w:tcBorders>
                  <w:tcMar>
                    <w:top w:w="15" w:type="dxa"/>
                    <w:left w:w="15" w:type="dxa"/>
                    <w:right w:w="15" w:type="dxa"/>
                  </w:tcMar>
                  <w:vAlign w:val="center"/>
                </w:tcPr>
                <w:p w14:paraId="0DC9D200">
                  <w:pPr>
                    <w:widowControl/>
                    <w:textAlignment w:val="center"/>
                    <w:rPr>
                      <w:color w:val="auto"/>
                      <w:spacing w:val="10"/>
                      <w:szCs w:val="21"/>
                    </w:rPr>
                  </w:pPr>
                  <w:r>
                    <w:rPr>
                      <w:color w:val="auto"/>
                      <w:spacing w:val="10"/>
                      <w:szCs w:val="21"/>
                    </w:rPr>
                    <w:t>本项目不在主要入太湖河道1000米范围内，不属于条例划定的禁建范围。</w:t>
                  </w:r>
                </w:p>
              </w:tc>
              <w:tc>
                <w:tcPr>
                  <w:tcW w:w="612" w:type="pct"/>
                  <w:tcBorders>
                    <w:tl2br w:val="nil"/>
                    <w:tr2bl w:val="nil"/>
                  </w:tcBorders>
                  <w:vAlign w:val="center"/>
                </w:tcPr>
                <w:p w14:paraId="1289F709">
                  <w:pPr>
                    <w:widowControl/>
                    <w:jc w:val="center"/>
                    <w:textAlignment w:val="center"/>
                    <w:rPr>
                      <w:color w:val="auto"/>
                      <w:spacing w:val="10"/>
                      <w:szCs w:val="21"/>
                    </w:rPr>
                  </w:pPr>
                  <w:r>
                    <w:rPr>
                      <w:rFonts w:hint="eastAsia"/>
                      <w:color w:val="auto"/>
                      <w:spacing w:val="10"/>
                      <w:szCs w:val="21"/>
                    </w:rPr>
                    <w:t>符合</w:t>
                  </w:r>
                </w:p>
              </w:tc>
            </w:tr>
            <w:tr w14:paraId="4DD2BC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2461" w:type="pct"/>
                  <w:tcBorders>
                    <w:tl2br w:val="nil"/>
                    <w:tr2bl w:val="nil"/>
                  </w:tcBorders>
                  <w:tcMar>
                    <w:top w:w="15" w:type="dxa"/>
                    <w:left w:w="15" w:type="dxa"/>
                    <w:right w:w="15" w:type="dxa"/>
                  </w:tcMar>
                  <w:vAlign w:val="center"/>
                </w:tcPr>
                <w:p w14:paraId="38AE1111">
                  <w:pPr>
                    <w:widowControl/>
                    <w:textAlignment w:val="center"/>
                    <w:rPr>
                      <w:color w:val="auto"/>
                      <w:spacing w:val="10"/>
                      <w:szCs w:val="21"/>
                    </w:rPr>
                  </w:pPr>
                  <w:r>
                    <w:rPr>
                      <w:color w:val="auto"/>
                      <w:spacing w:val="10"/>
                      <w:szCs w:val="21"/>
                    </w:rPr>
                    <w:t>第三十条太 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926" w:type="pct"/>
                  <w:tcBorders>
                    <w:tl2br w:val="nil"/>
                    <w:tr2bl w:val="nil"/>
                  </w:tcBorders>
                  <w:tcMar>
                    <w:top w:w="15" w:type="dxa"/>
                    <w:left w:w="15" w:type="dxa"/>
                    <w:right w:w="15" w:type="dxa"/>
                  </w:tcMar>
                  <w:vAlign w:val="center"/>
                </w:tcPr>
                <w:p w14:paraId="08D18D8C">
                  <w:pPr>
                    <w:widowControl/>
                    <w:textAlignment w:val="center"/>
                    <w:rPr>
                      <w:color w:val="auto"/>
                      <w:spacing w:val="10"/>
                      <w:szCs w:val="21"/>
                    </w:rPr>
                  </w:pPr>
                  <w:r>
                    <w:rPr>
                      <w:color w:val="auto"/>
                      <w:spacing w:val="10"/>
                      <w:szCs w:val="21"/>
                    </w:rPr>
                    <w:t>本项目不在太湖岸线内和岸线周边5000米范围内，不在淀山湖岸线内和岸线周边2000米范围内，不在太浦河、新孟河、望虞河岸线内和岸线两侧各1000米范围内，不在其他主要入太湖河道自河口上溯至1万米河道岸线内及其岸线两侧各1000米范围内，不属于条例划定的禁建范围。</w:t>
                  </w:r>
                </w:p>
              </w:tc>
              <w:tc>
                <w:tcPr>
                  <w:tcW w:w="612" w:type="pct"/>
                  <w:tcBorders>
                    <w:tl2br w:val="nil"/>
                    <w:tr2bl w:val="nil"/>
                  </w:tcBorders>
                  <w:vAlign w:val="center"/>
                </w:tcPr>
                <w:p w14:paraId="6A2FFB90">
                  <w:pPr>
                    <w:widowControl/>
                    <w:jc w:val="center"/>
                    <w:textAlignment w:val="center"/>
                    <w:rPr>
                      <w:color w:val="auto"/>
                      <w:spacing w:val="10"/>
                      <w:szCs w:val="21"/>
                    </w:rPr>
                  </w:pPr>
                  <w:r>
                    <w:rPr>
                      <w:rFonts w:hint="eastAsia"/>
                      <w:color w:val="auto"/>
                      <w:spacing w:val="10"/>
                      <w:szCs w:val="21"/>
                    </w:rPr>
                    <w:t>符合</w:t>
                  </w:r>
                </w:p>
              </w:tc>
            </w:tr>
          </w:tbl>
          <w:p w14:paraId="28A95BE1">
            <w:pPr>
              <w:adjustRightInd w:val="0"/>
              <w:snapToGrid w:val="0"/>
              <w:spacing w:before="120" w:beforeLines="50" w:line="360" w:lineRule="auto"/>
              <w:ind w:firstLine="480" w:firstLineChars="200"/>
              <w:rPr>
                <w:color w:val="auto"/>
                <w:sz w:val="24"/>
              </w:rPr>
            </w:pPr>
            <w:r>
              <w:rPr>
                <w:rFonts w:hint="eastAsia"/>
                <w:color w:val="auto"/>
                <w:sz w:val="24"/>
                <w:szCs w:val="32"/>
              </w:rPr>
              <w:t>由上表可见，本评价中各项目均能够符合《太湖流域管理条例》中的相关要求</w:t>
            </w:r>
            <w:r>
              <w:rPr>
                <w:rFonts w:hint="eastAsia"/>
                <w:color w:val="auto"/>
                <w:sz w:val="24"/>
              </w:rPr>
              <w:t>。</w:t>
            </w:r>
          </w:p>
          <w:p w14:paraId="04368708">
            <w:pPr>
              <w:numPr>
                <w:ilvl w:val="2"/>
                <w:numId w:val="14"/>
              </w:numPr>
              <w:adjustRightInd w:val="0"/>
              <w:snapToGrid w:val="0"/>
              <w:spacing w:line="360" w:lineRule="auto"/>
              <w:ind w:firstLine="0"/>
              <w:jc w:val="left"/>
              <w:rPr>
                <w:b/>
                <w:color w:val="auto"/>
                <w:kern w:val="0"/>
                <w:sz w:val="24"/>
              </w:rPr>
            </w:pPr>
            <w:r>
              <w:rPr>
                <w:b/>
                <w:color w:val="auto"/>
                <w:kern w:val="0"/>
                <w:sz w:val="24"/>
              </w:rPr>
              <w:t>《国家发展改革委等部门关于印发〈太湖流域水环境综合治理总体方案〉的通知》符合性分析</w:t>
            </w:r>
          </w:p>
          <w:p w14:paraId="3AE6EB8A">
            <w:pPr>
              <w:widowControl/>
              <w:spacing w:line="360" w:lineRule="auto"/>
              <w:ind w:firstLine="480" w:firstLineChars="200"/>
              <w:jc w:val="left"/>
              <w:rPr>
                <w:color w:val="auto"/>
                <w:sz w:val="24"/>
              </w:rPr>
            </w:pPr>
            <w:r>
              <w:rPr>
                <w:rFonts w:hint="eastAsia"/>
                <w:color w:val="auto"/>
                <w:sz w:val="24"/>
              </w:rPr>
              <w:t>《太湖流域水环境综合治理总体方案》于2022年6月23日发布，项目的符合性分析见下表</w:t>
            </w:r>
            <w:r>
              <w:rPr>
                <w:color w:val="auto"/>
                <w:sz w:val="24"/>
              </w:rPr>
              <w:t>。</w:t>
            </w:r>
          </w:p>
          <w:p w14:paraId="47E6D85C">
            <w:pPr>
              <w:numPr>
                <w:ilvl w:val="0"/>
                <w:numId w:val="13"/>
              </w:numPr>
              <w:autoSpaceDE w:val="0"/>
              <w:autoSpaceDN w:val="0"/>
              <w:adjustRightInd w:val="0"/>
              <w:snapToGrid w:val="0"/>
              <w:spacing w:before="48" w:beforeLines="20" w:after="48" w:afterLines="20"/>
              <w:jc w:val="center"/>
              <w:rPr>
                <w:b/>
                <w:color w:val="auto"/>
                <w:sz w:val="24"/>
              </w:rPr>
            </w:pPr>
            <w:r>
              <w:rPr>
                <w:b/>
                <w:color w:val="auto"/>
                <w:sz w:val="24"/>
              </w:rPr>
              <w:t>《太湖流域水环境综合治理总体方案》（节选）符合性分析</w:t>
            </w:r>
          </w:p>
          <w:tbl>
            <w:tblPr>
              <w:tblStyle w:val="8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4067"/>
              <w:gridCol w:w="3445"/>
              <w:gridCol w:w="628"/>
            </w:tblGrid>
            <w:tr w14:paraId="61E6C1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067" w:type="dxa"/>
                  <w:tcBorders>
                    <w:tl2br w:val="nil"/>
                    <w:tr2bl w:val="nil"/>
                  </w:tcBorders>
                  <w:tcMar>
                    <w:top w:w="15" w:type="dxa"/>
                    <w:left w:w="15" w:type="dxa"/>
                    <w:right w:w="15" w:type="dxa"/>
                  </w:tcMar>
                  <w:vAlign w:val="center"/>
                </w:tcPr>
                <w:p w14:paraId="7E072958">
                  <w:pPr>
                    <w:widowControl/>
                    <w:jc w:val="center"/>
                    <w:textAlignment w:val="center"/>
                    <w:rPr>
                      <w:color w:val="auto"/>
                      <w:spacing w:val="10"/>
                      <w:szCs w:val="21"/>
                    </w:rPr>
                  </w:pPr>
                  <w:r>
                    <w:rPr>
                      <w:color w:val="auto"/>
                      <w:spacing w:val="10"/>
                      <w:szCs w:val="21"/>
                    </w:rPr>
                    <w:t>审批要求</w:t>
                  </w:r>
                </w:p>
              </w:tc>
              <w:tc>
                <w:tcPr>
                  <w:tcW w:w="3445" w:type="dxa"/>
                  <w:tcBorders>
                    <w:tl2br w:val="nil"/>
                    <w:tr2bl w:val="nil"/>
                  </w:tcBorders>
                  <w:vAlign w:val="center"/>
                </w:tcPr>
                <w:p w14:paraId="73CA12B2">
                  <w:pPr>
                    <w:widowControl/>
                    <w:jc w:val="center"/>
                    <w:textAlignment w:val="center"/>
                    <w:rPr>
                      <w:color w:val="auto"/>
                      <w:spacing w:val="10"/>
                      <w:szCs w:val="21"/>
                    </w:rPr>
                  </w:pPr>
                  <w:r>
                    <w:rPr>
                      <w:color w:val="auto"/>
                      <w:spacing w:val="10"/>
                      <w:szCs w:val="21"/>
                    </w:rPr>
                    <w:t>项目情况</w:t>
                  </w:r>
                </w:p>
              </w:tc>
              <w:tc>
                <w:tcPr>
                  <w:tcW w:w="628" w:type="dxa"/>
                  <w:tcBorders>
                    <w:tl2br w:val="nil"/>
                    <w:tr2bl w:val="nil"/>
                  </w:tcBorders>
                  <w:vAlign w:val="center"/>
                </w:tcPr>
                <w:p w14:paraId="2A3C2F13">
                  <w:pPr>
                    <w:widowControl/>
                    <w:jc w:val="center"/>
                    <w:textAlignment w:val="center"/>
                    <w:rPr>
                      <w:color w:val="auto"/>
                      <w:spacing w:val="10"/>
                      <w:szCs w:val="21"/>
                    </w:rPr>
                  </w:pPr>
                  <w:r>
                    <w:rPr>
                      <w:color w:val="auto"/>
                      <w:spacing w:val="10"/>
                      <w:szCs w:val="21"/>
                    </w:rPr>
                    <w:t>是否符合</w:t>
                  </w:r>
                </w:p>
              </w:tc>
            </w:tr>
            <w:tr w14:paraId="756251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067" w:type="dxa"/>
                  <w:tcBorders>
                    <w:tl2br w:val="nil"/>
                    <w:tr2bl w:val="nil"/>
                  </w:tcBorders>
                  <w:tcMar>
                    <w:top w:w="15" w:type="dxa"/>
                    <w:left w:w="15" w:type="dxa"/>
                    <w:right w:w="15" w:type="dxa"/>
                  </w:tcMar>
                  <w:vAlign w:val="center"/>
                </w:tcPr>
                <w:p w14:paraId="6CA7626B">
                  <w:pPr>
                    <w:widowControl/>
                    <w:textAlignment w:val="center"/>
                    <w:rPr>
                      <w:color w:val="auto"/>
                      <w:spacing w:val="10"/>
                      <w:szCs w:val="21"/>
                    </w:rPr>
                  </w:pPr>
                  <w:r>
                    <w:rPr>
                      <w:color w:val="auto"/>
                      <w:spacing w:val="10"/>
                      <w:szCs w:val="21"/>
                    </w:rPr>
                    <w:t>严禁落地国家和本地产业结构调整目录明确的限制类、淘汰类工艺、装备、产品与项目，依法推动污染企业退出。</w:t>
                  </w:r>
                </w:p>
              </w:tc>
              <w:tc>
                <w:tcPr>
                  <w:tcW w:w="3445" w:type="dxa"/>
                  <w:tcBorders>
                    <w:tl2br w:val="nil"/>
                    <w:tr2bl w:val="nil"/>
                  </w:tcBorders>
                  <w:vAlign w:val="center"/>
                </w:tcPr>
                <w:p w14:paraId="6C7792BD">
                  <w:pPr>
                    <w:widowControl/>
                    <w:textAlignment w:val="center"/>
                    <w:rPr>
                      <w:color w:val="auto"/>
                      <w:spacing w:val="10"/>
                      <w:szCs w:val="21"/>
                    </w:rPr>
                  </w:pPr>
                  <w:r>
                    <w:rPr>
                      <w:color w:val="auto"/>
                      <w:spacing w:val="10"/>
                      <w:szCs w:val="21"/>
                    </w:rPr>
                    <w:t>本项目属于</w:t>
                  </w:r>
                  <w:r>
                    <w:rPr>
                      <w:rFonts w:hint="eastAsia"/>
                      <w:color w:val="auto"/>
                      <w:spacing w:val="10"/>
                      <w:szCs w:val="21"/>
                    </w:rPr>
                    <w:t>塑料家具制造</w:t>
                  </w:r>
                  <w:r>
                    <w:rPr>
                      <w:color w:val="auto"/>
                      <w:spacing w:val="10"/>
                      <w:szCs w:val="21"/>
                    </w:rPr>
                    <w:t>，对照《产业结构调整指导目录（2024年本）》不属于“鼓励类”、“限制类”以及“淘汰类”项目，为允许类项目。</w:t>
                  </w:r>
                </w:p>
              </w:tc>
              <w:tc>
                <w:tcPr>
                  <w:tcW w:w="628" w:type="dxa"/>
                  <w:tcBorders>
                    <w:tl2br w:val="nil"/>
                    <w:tr2bl w:val="nil"/>
                  </w:tcBorders>
                  <w:vAlign w:val="center"/>
                </w:tcPr>
                <w:p w14:paraId="42453DD8">
                  <w:pPr>
                    <w:widowControl/>
                    <w:jc w:val="center"/>
                    <w:textAlignment w:val="center"/>
                    <w:rPr>
                      <w:color w:val="auto"/>
                      <w:spacing w:val="10"/>
                      <w:szCs w:val="21"/>
                    </w:rPr>
                  </w:pPr>
                  <w:r>
                    <w:rPr>
                      <w:color w:val="auto"/>
                      <w:spacing w:val="10"/>
                      <w:szCs w:val="21"/>
                    </w:rPr>
                    <w:t>符合</w:t>
                  </w:r>
                </w:p>
              </w:tc>
            </w:tr>
            <w:tr w14:paraId="543BDD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067" w:type="dxa"/>
                  <w:tcBorders>
                    <w:tl2br w:val="nil"/>
                    <w:tr2bl w:val="nil"/>
                  </w:tcBorders>
                  <w:tcMar>
                    <w:top w:w="15" w:type="dxa"/>
                    <w:left w:w="15" w:type="dxa"/>
                    <w:right w:w="15" w:type="dxa"/>
                  </w:tcMar>
                  <w:vAlign w:val="center"/>
                </w:tcPr>
                <w:p w14:paraId="57E04087">
                  <w:pPr>
                    <w:widowControl/>
                    <w:textAlignment w:val="center"/>
                    <w:rPr>
                      <w:color w:val="auto"/>
                      <w:spacing w:val="10"/>
                      <w:szCs w:val="21"/>
                    </w:rPr>
                  </w:pPr>
                  <w:r>
                    <w:rPr>
                      <w:color w:val="auto"/>
                      <w:spacing w:val="10"/>
                      <w:szCs w:val="21"/>
                    </w:rPr>
                    <w:t>继续推进城市建成区内造纸、印染、化工等污染较重企业有序搬迁改造或依法关闭，推动环太湖生态环境敏感区内不符合产业发展证词、存在重大安全隐患且不具备整治条件的企业依法关闭或搬迁至合规</w:t>
                  </w:r>
                  <w:r>
                    <w:rPr>
                      <w:rFonts w:hint="eastAsia"/>
                      <w:color w:val="auto"/>
                      <w:spacing w:val="10"/>
                      <w:szCs w:val="21"/>
                    </w:rPr>
                    <w:t>工业园</w:t>
                  </w:r>
                  <w:r>
                    <w:rPr>
                      <w:color w:val="auto"/>
                      <w:spacing w:val="10"/>
                      <w:szCs w:val="21"/>
                    </w:rPr>
                    <w:t>。</w:t>
                  </w:r>
                </w:p>
              </w:tc>
              <w:tc>
                <w:tcPr>
                  <w:tcW w:w="3445" w:type="dxa"/>
                  <w:tcBorders>
                    <w:tl2br w:val="nil"/>
                    <w:tr2bl w:val="nil"/>
                  </w:tcBorders>
                  <w:vAlign w:val="center"/>
                </w:tcPr>
                <w:p w14:paraId="511869DC">
                  <w:pPr>
                    <w:widowControl/>
                    <w:textAlignment w:val="center"/>
                    <w:rPr>
                      <w:color w:val="auto"/>
                      <w:spacing w:val="10"/>
                      <w:szCs w:val="21"/>
                    </w:rPr>
                  </w:pPr>
                  <w:r>
                    <w:rPr>
                      <w:color w:val="auto"/>
                      <w:spacing w:val="10"/>
                      <w:szCs w:val="21"/>
                    </w:rPr>
                    <w:t>本项目属于</w:t>
                  </w:r>
                  <w:r>
                    <w:rPr>
                      <w:rFonts w:hint="eastAsia"/>
                      <w:color w:val="auto"/>
                      <w:spacing w:val="10"/>
                      <w:szCs w:val="21"/>
                    </w:rPr>
                    <w:t>塑料家具制造</w:t>
                  </w:r>
                  <w:r>
                    <w:rPr>
                      <w:color w:val="auto"/>
                      <w:spacing w:val="10"/>
                      <w:szCs w:val="21"/>
                    </w:rPr>
                    <w:t>，为二类工业项目，不属于造纸、印染、化工等污染较重企业</w:t>
                  </w:r>
                </w:p>
              </w:tc>
              <w:tc>
                <w:tcPr>
                  <w:tcW w:w="628" w:type="dxa"/>
                  <w:tcBorders>
                    <w:tl2br w:val="nil"/>
                    <w:tr2bl w:val="nil"/>
                  </w:tcBorders>
                  <w:vAlign w:val="center"/>
                </w:tcPr>
                <w:p w14:paraId="30A20F90">
                  <w:pPr>
                    <w:widowControl/>
                    <w:jc w:val="center"/>
                    <w:textAlignment w:val="center"/>
                    <w:rPr>
                      <w:color w:val="auto"/>
                      <w:spacing w:val="10"/>
                      <w:szCs w:val="21"/>
                    </w:rPr>
                  </w:pPr>
                  <w:r>
                    <w:rPr>
                      <w:color w:val="auto"/>
                      <w:spacing w:val="10"/>
                      <w:szCs w:val="21"/>
                    </w:rPr>
                    <w:t>符合</w:t>
                  </w:r>
                </w:p>
              </w:tc>
            </w:tr>
            <w:tr w14:paraId="2C471D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067" w:type="dxa"/>
                  <w:tcBorders>
                    <w:tl2br w:val="nil"/>
                    <w:tr2bl w:val="nil"/>
                  </w:tcBorders>
                  <w:tcMar>
                    <w:top w:w="15" w:type="dxa"/>
                    <w:left w:w="15" w:type="dxa"/>
                    <w:right w:w="15" w:type="dxa"/>
                  </w:tcMar>
                  <w:vAlign w:val="center"/>
                </w:tcPr>
                <w:p w14:paraId="17B52CCB">
                  <w:pPr>
                    <w:widowControl/>
                    <w:textAlignment w:val="center"/>
                    <w:rPr>
                      <w:color w:val="auto"/>
                      <w:spacing w:val="10"/>
                      <w:szCs w:val="21"/>
                    </w:rPr>
                  </w:pPr>
                  <w:r>
                    <w:rPr>
                      <w:color w:val="auto"/>
                      <w:spacing w:val="10"/>
                      <w:szCs w:val="21"/>
                    </w:rPr>
                    <w:t>推进太湖流域等重要饮用水水源地300米范围内重点排污企业逐步退出。</w:t>
                  </w:r>
                </w:p>
              </w:tc>
              <w:tc>
                <w:tcPr>
                  <w:tcW w:w="3445" w:type="dxa"/>
                  <w:tcBorders>
                    <w:tl2br w:val="nil"/>
                    <w:tr2bl w:val="nil"/>
                  </w:tcBorders>
                  <w:vAlign w:val="center"/>
                </w:tcPr>
                <w:p w14:paraId="1C841887">
                  <w:pPr>
                    <w:widowControl/>
                    <w:textAlignment w:val="center"/>
                    <w:rPr>
                      <w:color w:val="auto"/>
                      <w:spacing w:val="10"/>
                      <w:szCs w:val="21"/>
                    </w:rPr>
                  </w:pPr>
                  <w:r>
                    <w:rPr>
                      <w:color w:val="auto"/>
                      <w:spacing w:val="10"/>
                      <w:szCs w:val="21"/>
                    </w:rPr>
                    <w:t>本项目不属于重点排污企业，实施地周围300米内均无重要饮用水源。</w:t>
                  </w:r>
                </w:p>
              </w:tc>
              <w:tc>
                <w:tcPr>
                  <w:tcW w:w="628" w:type="dxa"/>
                  <w:tcBorders>
                    <w:tl2br w:val="nil"/>
                    <w:tr2bl w:val="nil"/>
                  </w:tcBorders>
                  <w:vAlign w:val="center"/>
                </w:tcPr>
                <w:p w14:paraId="12ADB00A">
                  <w:pPr>
                    <w:widowControl/>
                    <w:jc w:val="center"/>
                    <w:textAlignment w:val="center"/>
                    <w:rPr>
                      <w:color w:val="auto"/>
                      <w:spacing w:val="10"/>
                      <w:szCs w:val="21"/>
                    </w:rPr>
                  </w:pPr>
                  <w:r>
                    <w:rPr>
                      <w:color w:val="auto"/>
                      <w:spacing w:val="10"/>
                      <w:szCs w:val="21"/>
                    </w:rPr>
                    <w:t>符合</w:t>
                  </w:r>
                </w:p>
              </w:tc>
            </w:tr>
            <w:tr w14:paraId="0C89FB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97" w:hRule="atLeast"/>
                <w:jc w:val="center"/>
              </w:trPr>
              <w:tc>
                <w:tcPr>
                  <w:tcW w:w="4067" w:type="dxa"/>
                  <w:tcBorders>
                    <w:tl2br w:val="nil"/>
                    <w:tr2bl w:val="nil"/>
                  </w:tcBorders>
                  <w:tcMar>
                    <w:top w:w="15" w:type="dxa"/>
                    <w:left w:w="15" w:type="dxa"/>
                    <w:right w:w="15" w:type="dxa"/>
                  </w:tcMar>
                  <w:vAlign w:val="center"/>
                </w:tcPr>
                <w:p w14:paraId="3F46046A">
                  <w:pPr>
                    <w:widowControl/>
                    <w:textAlignment w:val="center"/>
                    <w:rPr>
                      <w:color w:val="auto"/>
                      <w:spacing w:val="10"/>
                      <w:szCs w:val="21"/>
                    </w:rPr>
                  </w:pPr>
                  <w:r>
                    <w:rPr>
                      <w:color w:val="auto"/>
                      <w:spacing w:val="10"/>
                      <w:szCs w:val="21"/>
                    </w:rPr>
                    <w:t>除战略性新兴产业项目外，太湖流域原则上不再审批其他生产性新增氮磷污染物的工业类建设项目。</w:t>
                  </w:r>
                </w:p>
              </w:tc>
              <w:tc>
                <w:tcPr>
                  <w:tcW w:w="3445" w:type="dxa"/>
                  <w:tcBorders>
                    <w:tl2br w:val="nil"/>
                    <w:tr2bl w:val="nil"/>
                  </w:tcBorders>
                  <w:vAlign w:val="center"/>
                </w:tcPr>
                <w:p w14:paraId="7C242DF2">
                  <w:pPr>
                    <w:widowControl/>
                    <w:textAlignment w:val="center"/>
                    <w:rPr>
                      <w:color w:val="auto"/>
                      <w:spacing w:val="10"/>
                      <w:szCs w:val="21"/>
                    </w:rPr>
                  </w:pPr>
                  <w:r>
                    <w:rPr>
                      <w:rFonts w:hint="eastAsia"/>
                      <w:color w:val="auto"/>
                      <w:spacing w:val="10"/>
                      <w:szCs w:val="21"/>
                    </w:rPr>
                    <w:t>本项目外排废水仅生活污水，无需进行区域替代削减，不属于新增氮磷污染物的工业类建设项目。</w:t>
                  </w:r>
                </w:p>
              </w:tc>
              <w:tc>
                <w:tcPr>
                  <w:tcW w:w="628" w:type="dxa"/>
                  <w:tcBorders>
                    <w:tl2br w:val="nil"/>
                    <w:tr2bl w:val="nil"/>
                  </w:tcBorders>
                  <w:vAlign w:val="center"/>
                </w:tcPr>
                <w:p w14:paraId="13039C25">
                  <w:pPr>
                    <w:widowControl/>
                    <w:jc w:val="center"/>
                    <w:textAlignment w:val="center"/>
                    <w:rPr>
                      <w:color w:val="auto"/>
                      <w:spacing w:val="10"/>
                      <w:szCs w:val="21"/>
                    </w:rPr>
                  </w:pPr>
                  <w:r>
                    <w:rPr>
                      <w:color w:val="auto"/>
                      <w:spacing w:val="10"/>
                      <w:szCs w:val="21"/>
                    </w:rPr>
                    <w:t>符合</w:t>
                  </w:r>
                </w:p>
              </w:tc>
            </w:tr>
          </w:tbl>
          <w:p w14:paraId="247E6E98">
            <w:pPr>
              <w:adjustRightInd w:val="0"/>
              <w:snapToGrid w:val="0"/>
              <w:spacing w:before="120" w:beforeLines="50" w:line="360" w:lineRule="auto"/>
              <w:ind w:firstLine="480" w:firstLineChars="200"/>
              <w:rPr>
                <w:color w:val="auto"/>
                <w:sz w:val="24"/>
                <w:szCs w:val="32"/>
                <w:lang w:val="zh-CN"/>
              </w:rPr>
            </w:pPr>
            <w:r>
              <w:rPr>
                <w:color w:val="auto"/>
                <w:sz w:val="24"/>
                <w:szCs w:val="32"/>
                <w:lang w:val="zh-CN"/>
              </w:rPr>
              <w:t>根据对照分析可知，本评价中各项目均能够符合《太湖流域水环境综合治理总体方案》中的相关要求。</w:t>
            </w:r>
          </w:p>
          <w:p w14:paraId="3438E221">
            <w:pPr>
              <w:adjustRightInd w:val="0"/>
              <w:snapToGrid w:val="0"/>
              <w:spacing w:before="120" w:beforeLines="50" w:line="360" w:lineRule="auto"/>
              <w:ind w:firstLine="480" w:firstLineChars="200"/>
              <w:rPr>
                <w:color w:val="auto"/>
                <w:sz w:val="24"/>
                <w:szCs w:val="32"/>
                <w:lang w:val="zh-CN"/>
              </w:rPr>
            </w:pPr>
          </w:p>
          <w:p w14:paraId="21657E55">
            <w:pPr>
              <w:numPr>
                <w:ilvl w:val="2"/>
                <w:numId w:val="14"/>
              </w:numPr>
              <w:adjustRightInd w:val="0"/>
              <w:snapToGrid w:val="0"/>
              <w:spacing w:line="360" w:lineRule="auto"/>
              <w:ind w:firstLine="0"/>
              <w:jc w:val="left"/>
              <w:rPr>
                <w:b/>
                <w:color w:val="auto"/>
                <w:kern w:val="0"/>
                <w:sz w:val="24"/>
                <w:lang w:val="zh-CN"/>
              </w:rPr>
            </w:pPr>
            <w:r>
              <w:rPr>
                <w:b/>
                <w:color w:val="auto"/>
                <w:kern w:val="0"/>
                <w:sz w:val="24"/>
              </w:rPr>
              <w:t>《〈长江经济带发展负面清单指南（试行，2022年版）〉浙江省实施细则》符合性分析</w:t>
            </w:r>
          </w:p>
          <w:p w14:paraId="4DAC56CC">
            <w:pPr>
              <w:widowControl/>
              <w:spacing w:line="360" w:lineRule="auto"/>
              <w:ind w:firstLine="480" w:firstLineChars="200"/>
              <w:jc w:val="left"/>
              <w:rPr>
                <w:color w:val="auto"/>
                <w:sz w:val="24"/>
              </w:rPr>
            </w:pPr>
            <w:r>
              <w:rPr>
                <w:rFonts w:hint="eastAsia"/>
                <w:color w:val="auto"/>
                <w:sz w:val="24"/>
              </w:rPr>
              <w:t>项目符合性分析见下表。</w:t>
            </w:r>
          </w:p>
          <w:p w14:paraId="678ABABB">
            <w:pPr>
              <w:numPr>
                <w:ilvl w:val="0"/>
                <w:numId w:val="13"/>
              </w:numPr>
              <w:autoSpaceDE w:val="0"/>
              <w:autoSpaceDN w:val="0"/>
              <w:adjustRightInd w:val="0"/>
              <w:snapToGrid w:val="0"/>
              <w:spacing w:before="48" w:beforeLines="20" w:after="48" w:afterLines="20"/>
              <w:jc w:val="center"/>
              <w:rPr>
                <w:b/>
                <w:color w:val="auto"/>
                <w:sz w:val="24"/>
              </w:rPr>
            </w:pPr>
            <w:r>
              <w:rPr>
                <w:b/>
                <w:color w:val="auto"/>
                <w:sz w:val="24"/>
              </w:rPr>
              <w:t>《长江经济带发展负面清单指南（试行）〉浙江省实施细则》</w:t>
            </w:r>
          </w:p>
          <w:p w14:paraId="502A83FB">
            <w:pPr>
              <w:autoSpaceDE w:val="0"/>
              <w:autoSpaceDN w:val="0"/>
              <w:adjustRightInd w:val="0"/>
              <w:snapToGrid w:val="0"/>
              <w:spacing w:before="48" w:beforeLines="20" w:after="48" w:afterLines="20"/>
              <w:jc w:val="center"/>
              <w:rPr>
                <w:b/>
                <w:color w:val="auto"/>
                <w:sz w:val="24"/>
              </w:rPr>
            </w:pPr>
            <w:r>
              <w:rPr>
                <w:b/>
                <w:color w:val="auto"/>
                <w:sz w:val="24"/>
              </w:rPr>
              <w:t>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4080"/>
              <w:gridCol w:w="2640"/>
              <w:gridCol w:w="764"/>
            </w:tblGrid>
            <w:tr w14:paraId="13DA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0A160B2E">
                  <w:pPr>
                    <w:widowControl/>
                    <w:jc w:val="center"/>
                    <w:textAlignment w:val="center"/>
                    <w:rPr>
                      <w:color w:val="auto"/>
                      <w:spacing w:val="10"/>
                      <w:szCs w:val="21"/>
                    </w:rPr>
                  </w:pPr>
                  <w:r>
                    <w:rPr>
                      <w:rFonts w:hint="eastAsia"/>
                      <w:color w:val="auto"/>
                      <w:spacing w:val="10"/>
                      <w:szCs w:val="21"/>
                    </w:rPr>
                    <w:t>序号</w:t>
                  </w:r>
                </w:p>
              </w:tc>
              <w:tc>
                <w:tcPr>
                  <w:tcW w:w="4080" w:type="dxa"/>
                  <w:vAlign w:val="center"/>
                </w:tcPr>
                <w:p w14:paraId="0AB792C5">
                  <w:pPr>
                    <w:widowControl/>
                    <w:jc w:val="center"/>
                    <w:textAlignment w:val="center"/>
                    <w:rPr>
                      <w:color w:val="auto"/>
                      <w:spacing w:val="10"/>
                      <w:szCs w:val="21"/>
                    </w:rPr>
                  </w:pPr>
                  <w:r>
                    <w:rPr>
                      <w:rFonts w:hint="eastAsia"/>
                      <w:color w:val="auto"/>
                      <w:spacing w:val="10"/>
                      <w:szCs w:val="21"/>
                    </w:rPr>
                    <w:t>相关要求</w:t>
                  </w:r>
                </w:p>
              </w:tc>
              <w:tc>
                <w:tcPr>
                  <w:tcW w:w="2640" w:type="dxa"/>
                  <w:vAlign w:val="center"/>
                </w:tcPr>
                <w:p w14:paraId="3F8645BD">
                  <w:pPr>
                    <w:widowControl/>
                    <w:jc w:val="center"/>
                    <w:textAlignment w:val="center"/>
                    <w:rPr>
                      <w:color w:val="auto"/>
                      <w:spacing w:val="10"/>
                      <w:szCs w:val="21"/>
                    </w:rPr>
                  </w:pPr>
                  <w:r>
                    <w:rPr>
                      <w:rFonts w:hint="eastAsia"/>
                      <w:color w:val="auto"/>
                      <w:spacing w:val="10"/>
                      <w:szCs w:val="21"/>
                    </w:rPr>
                    <w:t>企业情况</w:t>
                  </w:r>
                </w:p>
              </w:tc>
              <w:tc>
                <w:tcPr>
                  <w:tcW w:w="764" w:type="dxa"/>
                  <w:vAlign w:val="center"/>
                </w:tcPr>
                <w:p w14:paraId="1D2E4A04">
                  <w:pPr>
                    <w:widowControl/>
                    <w:jc w:val="center"/>
                    <w:textAlignment w:val="center"/>
                    <w:rPr>
                      <w:color w:val="auto"/>
                      <w:spacing w:val="10"/>
                      <w:szCs w:val="21"/>
                    </w:rPr>
                  </w:pPr>
                  <w:r>
                    <w:rPr>
                      <w:rFonts w:hint="eastAsia"/>
                      <w:color w:val="auto"/>
                      <w:spacing w:val="10"/>
                      <w:szCs w:val="21"/>
                    </w:rPr>
                    <w:t>是否符合</w:t>
                  </w:r>
                </w:p>
              </w:tc>
            </w:tr>
            <w:tr w14:paraId="5558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34F96A1E">
                  <w:pPr>
                    <w:widowControl/>
                    <w:jc w:val="center"/>
                    <w:textAlignment w:val="center"/>
                    <w:rPr>
                      <w:color w:val="auto"/>
                      <w:spacing w:val="10"/>
                      <w:szCs w:val="21"/>
                    </w:rPr>
                  </w:pPr>
                  <w:r>
                    <w:rPr>
                      <w:rFonts w:hint="eastAsia"/>
                      <w:color w:val="auto"/>
                      <w:spacing w:val="10"/>
                      <w:szCs w:val="21"/>
                    </w:rPr>
                    <w:t>1</w:t>
                  </w:r>
                </w:p>
              </w:tc>
              <w:tc>
                <w:tcPr>
                  <w:tcW w:w="4080" w:type="dxa"/>
                  <w:vAlign w:val="center"/>
                </w:tcPr>
                <w:p w14:paraId="5F68C0F6">
                  <w:pPr>
                    <w:rPr>
                      <w:color w:val="auto"/>
                      <w:spacing w:val="10"/>
                      <w:szCs w:val="21"/>
                      <w:lang w:val="zh-CN"/>
                    </w:rPr>
                  </w:pPr>
                  <w:r>
                    <w:rPr>
                      <w:rFonts w:hint="eastAsia"/>
                      <w:bCs/>
                      <w:color w:val="auto"/>
                      <w:kern w:val="28"/>
                      <w:szCs w:val="21"/>
                    </w:rPr>
                    <w:t>第三条 港口码头项目建设必须严格遵守《中华人民共和国港口法》、交通运输部《港口规划管理规定》、《港口工程建设管理规定》以及《浙江省港口管理条例》的规定。</w:t>
                  </w:r>
                </w:p>
              </w:tc>
              <w:tc>
                <w:tcPr>
                  <w:tcW w:w="2640" w:type="dxa"/>
                  <w:vAlign w:val="center"/>
                </w:tcPr>
                <w:p w14:paraId="50BF82D2">
                  <w:pPr>
                    <w:widowControl/>
                    <w:jc w:val="center"/>
                    <w:textAlignment w:val="center"/>
                    <w:rPr>
                      <w:color w:val="auto"/>
                      <w:spacing w:val="10"/>
                      <w:szCs w:val="21"/>
                    </w:rPr>
                  </w:pPr>
                  <w:r>
                    <w:rPr>
                      <w:rFonts w:hint="eastAsia"/>
                      <w:color w:val="auto"/>
                      <w:spacing w:val="10"/>
                      <w:szCs w:val="21"/>
                    </w:rPr>
                    <w:t>本项目不属于港口、码头项目。</w:t>
                  </w:r>
                </w:p>
              </w:tc>
              <w:tc>
                <w:tcPr>
                  <w:tcW w:w="764" w:type="dxa"/>
                  <w:vAlign w:val="center"/>
                </w:tcPr>
                <w:p w14:paraId="5E0A89E1">
                  <w:pPr>
                    <w:widowControl/>
                    <w:jc w:val="center"/>
                    <w:textAlignment w:val="center"/>
                    <w:rPr>
                      <w:color w:val="auto"/>
                      <w:spacing w:val="10"/>
                      <w:szCs w:val="21"/>
                    </w:rPr>
                  </w:pPr>
                  <w:r>
                    <w:rPr>
                      <w:rFonts w:hint="eastAsia"/>
                      <w:color w:val="auto"/>
                      <w:spacing w:val="10"/>
                      <w:szCs w:val="21"/>
                    </w:rPr>
                    <w:t>符合</w:t>
                  </w:r>
                </w:p>
              </w:tc>
            </w:tr>
            <w:tr w14:paraId="5FB5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3AEF8711">
                  <w:pPr>
                    <w:widowControl/>
                    <w:jc w:val="center"/>
                    <w:textAlignment w:val="center"/>
                    <w:rPr>
                      <w:color w:val="auto"/>
                      <w:spacing w:val="10"/>
                      <w:szCs w:val="21"/>
                    </w:rPr>
                  </w:pPr>
                  <w:r>
                    <w:rPr>
                      <w:rFonts w:hint="eastAsia"/>
                      <w:color w:val="auto"/>
                      <w:spacing w:val="10"/>
                      <w:szCs w:val="21"/>
                    </w:rPr>
                    <w:t>2</w:t>
                  </w:r>
                </w:p>
              </w:tc>
              <w:tc>
                <w:tcPr>
                  <w:tcW w:w="4080" w:type="dxa"/>
                  <w:vAlign w:val="center"/>
                </w:tcPr>
                <w:p w14:paraId="121D5A2A">
                  <w:pPr>
                    <w:rPr>
                      <w:bCs/>
                      <w:color w:val="auto"/>
                      <w:kern w:val="28"/>
                      <w:szCs w:val="21"/>
                    </w:rPr>
                  </w:pPr>
                  <w:r>
                    <w:rPr>
                      <w:rFonts w:hint="eastAsia"/>
                      <w:bCs/>
                      <w:color w:val="auto"/>
                      <w:kern w:val="28"/>
                      <w:szCs w:val="21"/>
                    </w:rPr>
                    <w:t>第四条 禁止建设不符合《全国沿海港口布局规划》、《全国内河航道与港口布局规划》、《浙江省沿海港口布局规划》、《浙江省内河航运发展规划》以及项目所在地港口总体规划、国土空间规划的港口码头项目。</w:t>
                  </w:r>
                </w:p>
                <w:p w14:paraId="0B18BF93">
                  <w:pPr>
                    <w:rPr>
                      <w:color w:val="auto"/>
                      <w:spacing w:val="10"/>
                      <w:szCs w:val="21"/>
                      <w:lang w:val="zh-CN"/>
                    </w:rPr>
                  </w:pPr>
                  <w:r>
                    <w:rPr>
                      <w:rFonts w:hint="eastAsia"/>
                      <w:bCs/>
                      <w:color w:val="auto"/>
                      <w:kern w:val="28"/>
                      <w:szCs w:val="21"/>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2640" w:type="dxa"/>
                  <w:vAlign w:val="center"/>
                </w:tcPr>
                <w:p w14:paraId="4F7A145D">
                  <w:pPr>
                    <w:widowControl/>
                    <w:jc w:val="center"/>
                    <w:textAlignment w:val="center"/>
                    <w:rPr>
                      <w:color w:val="auto"/>
                      <w:spacing w:val="10"/>
                      <w:szCs w:val="21"/>
                      <w:lang w:val="zh-CN"/>
                    </w:rPr>
                  </w:pPr>
                  <w:r>
                    <w:rPr>
                      <w:rFonts w:hint="eastAsia"/>
                      <w:color w:val="auto"/>
                      <w:spacing w:val="10"/>
                      <w:szCs w:val="21"/>
                    </w:rPr>
                    <w:t>本项目不属于港口、码头项目。</w:t>
                  </w:r>
                </w:p>
              </w:tc>
              <w:tc>
                <w:tcPr>
                  <w:tcW w:w="764" w:type="dxa"/>
                  <w:vAlign w:val="center"/>
                </w:tcPr>
                <w:p w14:paraId="196C02D6">
                  <w:pPr>
                    <w:widowControl/>
                    <w:jc w:val="center"/>
                    <w:textAlignment w:val="center"/>
                    <w:rPr>
                      <w:color w:val="auto"/>
                      <w:spacing w:val="10"/>
                      <w:szCs w:val="21"/>
                      <w:lang w:val="zh-CN"/>
                    </w:rPr>
                  </w:pPr>
                  <w:r>
                    <w:rPr>
                      <w:rFonts w:hint="eastAsia"/>
                      <w:color w:val="auto"/>
                      <w:spacing w:val="10"/>
                      <w:szCs w:val="21"/>
                    </w:rPr>
                    <w:t>符合</w:t>
                  </w:r>
                </w:p>
              </w:tc>
            </w:tr>
            <w:tr w14:paraId="0234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547ECF3E">
                  <w:pPr>
                    <w:widowControl/>
                    <w:jc w:val="center"/>
                    <w:textAlignment w:val="center"/>
                    <w:rPr>
                      <w:color w:val="auto"/>
                      <w:spacing w:val="10"/>
                      <w:szCs w:val="21"/>
                    </w:rPr>
                  </w:pPr>
                  <w:r>
                    <w:rPr>
                      <w:rFonts w:hint="eastAsia"/>
                      <w:color w:val="auto"/>
                      <w:spacing w:val="10"/>
                      <w:szCs w:val="21"/>
                    </w:rPr>
                    <w:t>3</w:t>
                  </w:r>
                </w:p>
              </w:tc>
              <w:tc>
                <w:tcPr>
                  <w:tcW w:w="4080" w:type="dxa"/>
                  <w:vAlign w:val="center"/>
                </w:tcPr>
                <w:p w14:paraId="1FE16287">
                  <w:pPr>
                    <w:rPr>
                      <w:bCs/>
                      <w:color w:val="auto"/>
                      <w:kern w:val="28"/>
                      <w:szCs w:val="21"/>
                    </w:rPr>
                  </w:pPr>
                  <w:r>
                    <w:rPr>
                      <w:rFonts w:hint="eastAsia"/>
                      <w:bCs/>
                      <w:color w:val="auto"/>
                      <w:kern w:val="28"/>
                      <w:szCs w:val="21"/>
                    </w:rPr>
                    <w:t>第五条 禁止在自然保护地的岸线和河段范围内投资建设不符合《浙江省自然保护地建设项目准入负面清单（试行）》的项目。</w:t>
                  </w:r>
                </w:p>
                <w:p w14:paraId="248DA930">
                  <w:pPr>
                    <w:rPr>
                      <w:bCs/>
                      <w:color w:val="auto"/>
                      <w:kern w:val="28"/>
                      <w:szCs w:val="21"/>
                    </w:rPr>
                  </w:pPr>
                  <w:r>
                    <w:rPr>
                      <w:rFonts w:hint="eastAsia"/>
                      <w:bCs/>
                      <w:color w:val="auto"/>
                      <w:kern w:val="28"/>
                      <w:szCs w:val="21"/>
                    </w:rPr>
                    <w:t>禁止在自然保护地的岸线和河段范围内采石、采砂、采土、砍伐及其他严重改变地形地貌、破坏自然生态、影响自然景观的开发利用行为。</w:t>
                  </w:r>
                </w:p>
                <w:p w14:paraId="69A06F9A">
                  <w:pPr>
                    <w:rPr>
                      <w:bCs/>
                      <w:color w:val="auto"/>
                      <w:kern w:val="28"/>
                      <w:szCs w:val="21"/>
                    </w:rPr>
                  </w:pPr>
                  <w:r>
                    <w:rPr>
                      <w:rFonts w:hint="eastAsia"/>
                      <w:bCs/>
                      <w:color w:val="auto"/>
                      <w:kern w:val="28"/>
                      <w:szCs w:val="21"/>
                    </w:rPr>
                    <w:t>禁止在I级林地、一级国家级公益林内建设项目。</w:t>
                  </w:r>
                </w:p>
                <w:p w14:paraId="4AE646A1">
                  <w:pPr>
                    <w:rPr>
                      <w:color w:val="auto"/>
                      <w:spacing w:val="10"/>
                      <w:szCs w:val="21"/>
                      <w:lang w:val="zh-CN"/>
                    </w:rPr>
                  </w:pPr>
                  <w:r>
                    <w:rPr>
                      <w:rFonts w:hint="eastAsia"/>
                      <w:bCs/>
                      <w:color w:val="auto"/>
                      <w:kern w:val="28"/>
                      <w:szCs w:val="21"/>
                    </w:rPr>
                    <w:t>自然保护地由省林业局会同相关管理机构界定。</w:t>
                  </w:r>
                </w:p>
              </w:tc>
              <w:tc>
                <w:tcPr>
                  <w:tcW w:w="2640" w:type="dxa"/>
                  <w:vAlign w:val="center"/>
                </w:tcPr>
                <w:p w14:paraId="7F30669A">
                  <w:pPr>
                    <w:widowControl/>
                    <w:jc w:val="center"/>
                    <w:textAlignment w:val="center"/>
                    <w:rPr>
                      <w:color w:val="auto"/>
                      <w:spacing w:val="10"/>
                      <w:szCs w:val="21"/>
                    </w:rPr>
                  </w:pPr>
                  <w:r>
                    <w:rPr>
                      <w:rFonts w:hint="eastAsia"/>
                      <w:color w:val="auto"/>
                      <w:spacing w:val="10"/>
                      <w:szCs w:val="21"/>
                    </w:rPr>
                    <w:t>本项目利用已建设的生产厂房实施生产，不涉及新增用地，本项目实施地为工业用地，</w:t>
                  </w:r>
                  <w:r>
                    <w:rPr>
                      <w:rFonts w:hint="eastAsia"/>
                      <w:bCs/>
                      <w:color w:val="auto"/>
                      <w:kern w:val="28"/>
                      <w:szCs w:val="21"/>
                    </w:rPr>
                    <w:t>不属于自然保护地的岸线和河段范围，也不属于Ⅰ级林地、一级国家级公益林范围。</w:t>
                  </w:r>
                </w:p>
              </w:tc>
              <w:tc>
                <w:tcPr>
                  <w:tcW w:w="764" w:type="dxa"/>
                  <w:vAlign w:val="center"/>
                </w:tcPr>
                <w:p w14:paraId="7EDD1329">
                  <w:pPr>
                    <w:widowControl/>
                    <w:jc w:val="center"/>
                    <w:textAlignment w:val="center"/>
                    <w:rPr>
                      <w:color w:val="auto"/>
                      <w:spacing w:val="10"/>
                      <w:szCs w:val="21"/>
                    </w:rPr>
                  </w:pPr>
                  <w:r>
                    <w:rPr>
                      <w:rFonts w:hint="eastAsia"/>
                      <w:color w:val="auto"/>
                      <w:spacing w:val="10"/>
                      <w:szCs w:val="21"/>
                    </w:rPr>
                    <w:t>符合</w:t>
                  </w:r>
                </w:p>
              </w:tc>
            </w:tr>
            <w:tr w14:paraId="3C5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45049086">
                  <w:pPr>
                    <w:widowControl/>
                    <w:jc w:val="center"/>
                    <w:textAlignment w:val="center"/>
                    <w:rPr>
                      <w:color w:val="auto"/>
                      <w:spacing w:val="10"/>
                      <w:szCs w:val="21"/>
                    </w:rPr>
                  </w:pPr>
                  <w:r>
                    <w:rPr>
                      <w:rFonts w:hint="eastAsia"/>
                      <w:color w:val="auto"/>
                      <w:spacing w:val="10"/>
                      <w:szCs w:val="21"/>
                    </w:rPr>
                    <w:t>4</w:t>
                  </w:r>
                </w:p>
              </w:tc>
              <w:tc>
                <w:tcPr>
                  <w:tcW w:w="4080" w:type="dxa"/>
                  <w:vAlign w:val="center"/>
                </w:tcPr>
                <w:p w14:paraId="5B29378D">
                  <w:pPr>
                    <w:rPr>
                      <w:bCs/>
                      <w:color w:val="auto"/>
                      <w:kern w:val="28"/>
                      <w:szCs w:val="21"/>
                    </w:rPr>
                  </w:pPr>
                  <w:r>
                    <w:rPr>
                      <w:rFonts w:hint="eastAsia"/>
                      <w:bCs/>
                      <w:color w:val="auto"/>
                      <w:kern w:val="28"/>
                      <w:szCs w:val="21"/>
                    </w:rPr>
                    <w:t>第六条 禁止在饮用水水源一级保护区、二级保护区、准保护区的岸线和河段范围内投资建设不符合《浙江省饮用水源保护条例》的项目。</w:t>
                  </w:r>
                </w:p>
                <w:p w14:paraId="57450904">
                  <w:pPr>
                    <w:rPr>
                      <w:color w:val="auto"/>
                      <w:spacing w:val="10"/>
                      <w:szCs w:val="21"/>
                      <w:lang w:val="zh-CN"/>
                    </w:rPr>
                  </w:pPr>
                  <w:r>
                    <w:rPr>
                      <w:rFonts w:hint="eastAsia"/>
                      <w:bCs/>
                      <w:color w:val="auto"/>
                      <w:kern w:val="28"/>
                      <w:szCs w:val="21"/>
                    </w:rPr>
                    <w:t>饮用水水源一级保护区、二级保护区、准保护区由省生态环境厅会同相关管理机构界定。</w:t>
                  </w:r>
                </w:p>
              </w:tc>
              <w:tc>
                <w:tcPr>
                  <w:tcW w:w="2640" w:type="dxa"/>
                  <w:vAlign w:val="center"/>
                </w:tcPr>
                <w:p w14:paraId="0E77D4C5">
                  <w:pPr>
                    <w:widowControl/>
                    <w:jc w:val="center"/>
                    <w:textAlignment w:val="center"/>
                    <w:rPr>
                      <w:color w:val="auto"/>
                      <w:spacing w:val="10"/>
                      <w:szCs w:val="21"/>
                      <w:lang w:val="zh-CN"/>
                    </w:rPr>
                  </w:pPr>
                  <w:r>
                    <w:rPr>
                      <w:color w:val="auto"/>
                      <w:spacing w:val="10"/>
                      <w:szCs w:val="21"/>
                      <w:lang w:val="zh-CN"/>
                    </w:rPr>
                    <w:t>本项目不在饮用水水源一级保护区、二级保护区、准保护区的岸线和河段范围内。</w:t>
                  </w:r>
                </w:p>
              </w:tc>
              <w:tc>
                <w:tcPr>
                  <w:tcW w:w="764" w:type="dxa"/>
                  <w:vAlign w:val="center"/>
                </w:tcPr>
                <w:p w14:paraId="262A35C7">
                  <w:pPr>
                    <w:widowControl/>
                    <w:jc w:val="center"/>
                    <w:textAlignment w:val="center"/>
                    <w:rPr>
                      <w:color w:val="auto"/>
                      <w:spacing w:val="10"/>
                      <w:szCs w:val="21"/>
                    </w:rPr>
                  </w:pPr>
                  <w:r>
                    <w:rPr>
                      <w:rFonts w:hint="eastAsia"/>
                      <w:color w:val="auto"/>
                      <w:spacing w:val="10"/>
                      <w:szCs w:val="21"/>
                    </w:rPr>
                    <w:t>符合</w:t>
                  </w:r>
                </w:p>
              </w:tc>
            </w:tr>
            <w:tr w14:paraId="5F1F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75967A1D">
                  <w:pPr>
                    <w:widowControl/>
                    <w:jc w:val="center"/>
                    <w:textAlignment w:val="center"/>
                    <w:rPr>
                      <w:color w:val="auto"/>
                      <w:spacing w:val="10"/>
                      <w:szCs w:val="21"/>
                    </w:rPr>
                  </w:pPr>
                  <w:r>
                    <w:rPr>
                      <w:rFonts w:hint="eastAsia"/>
                      <w:color w:val="auto"/>
                      <w:spacing w:val="10"/>
                      <w:szCs w:val="21"/>
                    </w:rPr>
                    <w:t>5</w:t>
                  </w:r>
                </w:p>
              </w:tc>
              <w:tc>
                <w:tcPr>
                  <w:tcW w:w="4080" w:type="dxa"/>
                  <w:vAlign w:val="center"/>
                </w:tcPr>
                <w:p w14:paraId="28D7A126">
                  <w:pPr>
                    <w:rPr>
                      <w:bCs/>
                      <w:color w:val="auto"/>
                      <w:kern w:val="28"/>
                      <w:szCs w:val="21"/>
                    </w:rPr>
                  </w:pPr>
                  <w:r>
                    <w:rPr>
                      <w:rFonts w:hint="eastAsia"/>
                      <w:bCs/>
                      <w:color w:val="auto"/>
                      <w:kern w:val="28"/>
                      <w:szCs w:val="21"/>
                    </w:rPr>
                    <w:t>第七条 禁止在水产种质资源保护区的岸线和河段范围内新建围湖造田、围海造地或围填海等投资建设项目。</w:t>
                  </w:r>
                </w:p>
                <w:p w14:paraId="734DF6F5">
                  <w:pPr>
                    <w:rPr>
                      <w:color w:val="auto"/>
                      <w:spacing w:val="10"/>
                      <w:szCs w:val="21"/>
                      <w:lang w:val="zh-CN"/>
                    </w:rPr>
                  </w:pPr>
                  <w:r>
                    <w:rPr>
                      <w:rFonts w:hint="eastAsia"/>
                      <w:bCs/>
                      <w:color w:val="auto"/>
                      <w:kern w:val="28"/>
                      <w:szCs w:val="21"/>
                    </w:rPr>
                    <w:t>水产种质资源保护区由省农业农村厅会同相关管理机构界定。</w:t>
                  </w:r>
                </w:p>
              </w:tc>
              <w:tc>
                <w:tcPr>
                  <w:tcW w:w="2640" w:type="dxa"/>
                  <w:vAlign w:val="center"/>
                </w:tcPr>
                <w:p w14:paraId="11081223">
                  <w:pPr>
                    <w:widowControl/>
                    <w:jc w:val="center"/>
                    <w:textAlignment w:val="center"/>
                    <w:rPr>
                      <w:color w:val="auto"/>
                      <w:spacing w:val="10"/>
                      <w:szCs w:val="21"/>
                      <w:lang w:val="zh-CN"/>
                    </w:rPr>
                  </w:pPr>
                  <w:r>
                    <w:rPr>
                      <w:color w:val="auto"/>
                      <w:spacing w:val="10"/>
                      <w:szCs w:val="21"/>
                      <w:lang w:val="zh-CN"/>
                    </w:rPr>
                    <w:t>本项目不在水产种质资源保护区的岸线和河段范围内。</w:t>
                  </w:r>
                </w:p>
              </w:tc>
              <w:tc>
                <w:tcPr>
                  <w:tcW w:w="764" w:type="dxa"/>
                  <w:vAlign w:val="center"/>
                </w:tcPr>
                <w:p w14:paraId="7DAC8960">
                  <w:pPr>
                    <w:widowControl/>
                    <w:jc w:val="center"/>
                    <w:textAlignment w:val="center"/>
                    <w:rPr>
                      <w:color w:val="auto"/>
                      <w:spacing w:val="10"/>
                      <w:szCs w:val="21"/>
                    </w:rPr>
                  </w:pPr>
                  <w:r>
                    <w:rPr>
                      <w:rFonts w:hint="eastAsia"/>
                      <w:color w:val="auto"/>
                      <w:spacing w:val="10"/>
                      <w:szCs w:val="21"/>
                    </w:rPr>
                    <w:t>符合</w:t>
                  </w:r>
                </w:p>
              </w:tc>
            </w:tr>
            <w:tr w14:paraId="01DC4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47EA0941">
                  <w:pPr>
                    <w:widowControl/>
                    <w:jc w:val="center"/>
                    <w:textAlignment w:val="center"/>
                    <w:rPr>
                      <w:color w:val="auto"/>
                      <w:spacing w:val="10"/>
                      <w:szCs w:val="21"/>
                    </w:rPr>
                  </w:pPr>
                  <w:r>
                    <w:rPr>
                      <w:rFonts w:hint="eastAsia"/>
                      <w:color w:val="auto"/>
                      <w:spacing w:val="10"/>
                      <w:szCs w:val="21"/>
                    </w:rPr>
                    <w:t>6</w:t>
                  </w:r>
                </w:p>
              </w:tc>
              <w:tc>
                <w:tcPr>
                  <w:tcW w:w="4080" w:type="dxa"/>
                  <w:vAlign w:val="center"/>
                </w:tcPr>
                <w:p w14:paraId="7871D3FB">
                  <w:pPr>
                    <w:autoSpaceDE w:val="0"/>
                    <w:autoSpaceDN w:val="0"/>
                    <w:adjustRightInd w:val="0"/>
                    <w:snapToGrid w:val="0"/>
                    <w:spacing w:line="260" w:lineRule="exact"/>
                    <w:rPr>
                      <w:bCs/>
                      <w:color w:val="auto"/>
                      <w:kern w:val="28"/>
                      <w:szCs w:val="21"/>
                    </w:rPr>
                  </w:pPr>
                  <w:r>
                    <w:rPr>
                      <w:rFonts w:hint="eastAsia"/>
                      <w:bCs/>
                      <w:color w:val="auto"/>
                      <w:kern w:val="28"/>
                      <w:szCs w:val="21"/>
                    </w:rPr>
                    <w:t>第八条 在国家湿地公园的岸线和河段范围内：</w:t>
                  </w:r>
                </w:p>
                <w:p w14:paraId="41DE4E6D">
                  <w:pPr>
                    <w:autoSpaceDE w:val="0"/>
                    <w:autoSpaceDN w:val="0"/>
                    <w:adjustRightInd w:val="0"/>
                    <w:snapToGrid w:val="0"/>
                    <w:spacing w:line="260" w:lineRule="exact"/>
                    <w:rPr>
                      <w:bCs/>
                      <w:color w:val="auto"/>
                      <w:kern w:val="28"/>
                      <w:szCs w:val="21"/>
                    </w:rPr>
                  </w:pPr>
                  <w:r>
                    <w:rPr>
                      <w:rFonts w:hint="eastAsia"/>
                      <w:bCs/>
                      <w:color w:val="auto"/>
                      <w:kern w:val="28"/>
                      <w:szCs w:val="21"/>
                    </w:rPr>
                    <w:t>（一）禁止挖沙、采矿；</w:t>
                  </w:r>
                </w:p>
                <w:p w14:paraId="08738A63">
                  <w:pPr>
                    <w:autoSpaceDE w:val="0"/>
                    <w:autoSpaceDN w:val="0"/>
                    <w:adjustRightInd w:val="0"/>
                    <w:snapToGrid w:val="0"/>
                    <w:spacing w:line="260" w:lineRule="exact"/>
                    <w:rPr>
                      <w:bCs/>
                      <w:color w:val="auto"/>
                      <w:kern w:val="28"/>
                      <w:szCs w:val="21"/>
                    </w:rPr>
                  </w:pPr>
                  <w:r>
                    <w:rPr>
                      <w:rFonts w:hint="eastAsia"/>
                      <w:bCs/>
                      <w:color w:val="auto"/>
                      <w:kern w:val="28"/>
                      <w:szCs w:val="21"/>
                    </w:rPr>
                    <w:t>（二）禁止任何不符合主体功能定位的投资建设项目；</w:t>
                  </w:r>
                </w:p>
                <w:p w14:paraId="5390A2D3">
                  <w:pPr>
                    <w:autoSpaceDE w:val="0"/>
                    <w:autoSpaceDN w:val="0"/>
                    <w:adjustRightInd w:val="0"/>
                    <w:snapToGrid w:val="0"/>
                    <w:spacing w:line="260" w:lineRule="exact"/>
                    <w:rPr>
                      <w:bCs/>
                      <w:color w:val="auto"/>
                      <w:kern w:val="28"/>
                      <w:szCs w:val="21"/>
                    </w:rPr>
                  </w:pPr>
                  <w:r>
                    <w:rPr>
                      <w:rFonts w:hint="eastAsia"/>
                      <w:bCs/>
                      <w:color w:val="auto"/>
                      <w:kern w:val="28"/>
                      <w:szCs w:val="21"/>
                    </w:rPr>
                    <w:t>（三）禁止开（围）垦、填埋或者排干湿地；</w:t>
                  </w:r>
                </w:p>
                <w:p w14:paraId="6EC34E98">
                  <w:pPr>
                    <w:autoSpaceDE w:val="0"/>
                    <w:autoSpaceDN w:val="0"/>
                    <w:adjustRightInd w:val="0"/>
                    <w:snapToGrid w:val="0"/>
                    <w:spacing w:line="260" w:lineRule="exact"/>
                    <w:rPr>
                      <w:bCs/>
                      <w:color w:val="auto"/>
                      <w:kern w:val="28"/>
                      <w:szCs w:val="21"/>
                    </w:rPr>
                  </w:pPr>
                  <w:r>
                    <w:rPr>
                      <w:rFonts w:hint="eastAsia"/>
                      <w:bCs/>
                      <w:color w:val="auto"/>
                      <w:kern w:val="28"/>
                      <w:szCs w:val="21"/>
                    </w:rPr>
                    <w:t>（四）禁止截断湿地水源；（五）禁止倾倒有毒有害物质、废弃物、垃圾；</w:t>
                  </w:r>
                </w:p>
                <w:p w14:paraId="55AB042B">
                  <w:pPr>
                    <w:autoSpaceDE w:val="0"/>
                    <w:autoSpaceDN w:val="0"/>
                    <w:adjustRightInd w:val="0"/>
                    <w:snapToGrid w:val="0"/>
                    <w:spacing w:line="260" w:lineRule="exact"/>
                    <w:rPr>
                      <w:bCs/>
                      <w:color w:val="auto"/>
                      <w:kern w:val="28"/>
                      <w:szCs w:val="21"/>
                    </w:rPr>
                  </w:pPr>
                  <w:r>
                    <w:rPr>
                      <w:rFonts w:hint="eastAsia"/>
                      <w:bCs/>
                      <w:color w:val="auto"/>
                      <w:kern w:val="28"/>
                      <w:szCs w:val="21"/>
                    </w:rPr>
                    <w:t>（六）禁止破坏野生动物栖息地和迁徙通道、鱼类洄游通道；</w:t>
                  </w:r>
                </w:p>
                <w:p w14:paraId="1CCBD5A4">
                  <w:pPr>
                    <w:autoSpaceDE w:val="0"/>
                    <w:autoSpaceDN w:val="0"/>
                    <w:adjustRightInd w:val="0"/>
                    <w:snapToGrid w:val="0"/>
                    <w:spacing w:line="260" w:lineRule="exact"/>
                    <w:rPr>
                      <w:bCs/>
                      <w:color w:val="auto"/>
                      <w:kern w:val="28"/>
                      <w:szCs w:val="21"/>
                    </w:rPr>
                  </w:pPr>
                  <w:r>
                    <w:rPr>
                      <w:rFonts w:hint="eastAsia"/>
                      <w:bCs/>
                      <w:color w:val="auto"/>
                      <w:kern w:val="28"/>
                      <w:szCs w:val="21"/>
                    </w:rPr>
                    <w:t>禁止滥采滥捕野生动植物；</w:t>
                  </w:r>
                </w:p>
                <w:p w14:paraId="52CFBD42">
                  <w:pPr>
                    <w:autoSpaceDE w:val="0"/>
                    <w:autoSpaceDN w:val="0"/>
                    <w:adjustRightInd w:val="0"/>
                    <w:snapToGrid w:val="0"/>
                    <w:spacing w:line="260" w:lineRule="exact"/>
                    <w:rPr>
                      <w:bCs/>
                      <w:color w:val="auto"/>
                      <w:kern w:val="28"/>
                      <w:szCs w:val="21"/>
                    </w:rPr>
                  </w:pPr>
                  <w:r>
                    <w:rPr>
                      <w:rFonts w:hint="eastAsia"/>
                      <w:bCs/>
                      <w:color w:val="auto"/>
                      <w:kern w:val="28"/>
                      <w:szCs w:val="21"/>
                    </w:rPr>
                    <w:t>（七）禁止引入外来物种；</w:t>
                  </w:r>
                </w:p>
                <w:p w14:paraId="069C6E2A">
                  <w:pPr>
                    <w:autoSpaceDE w:val="0"/>
                    <w:autoSpaceDN w:val="0"/>
                    <w:adjustRightInd w:val="0"/>
                    <w:snapToGrid w:val="0"/>
                    <w:spacing w:line="260" w:lineRule="exact"/>
                    <w:rPr>
                      <w:bCs/>
                      <w:color w:val="auto"/>
                      <w:kern w:val="28"/>
                      <w:szCs w:val="21"/>
                    </w:rPr>
                  </w:pPr>
                  <w:r>
                    <w:rPr>
                      <w:rFonts w:hint="eastAsia"/>
                      <w:bCs/>
                      <w:color w:val="auto"/>
                      <w:kern w:val="28"/>
                      <w:szCs w:val="21"/>
                    </w:rPr>
                    <w:t>（八）禁止擅自放牧、捕捞、取土、取水、排污、放生；</w:t>
                  </w:r>
                </w:p>
                <w:p w14:paraId="3A3AE4ED">
                  <w:pPr>
                    <w:autoSpaceDE w:val="0"/>
                    <w:autoSpaceDN w:val="0"/>
                    <w:adjustRightInd w:val="0"/>
                    <w:snapToGrid w:val="0"/>
                    <w:spacing w:line="260" w:lineRule="exact"/>
                    <w:rPr>
                      <w:bCs/>
                      <w:color w:val="auto"/>
                      <w:kern w:val="28"/>
                      <w:szCs w:val="21"/>
                    </w:rPr>
                  </w:pPr>
                  <w:r>
                    <w:rPr>
                      <w:rFonts w:hint="eastAsia"/>
                      <w:bCs/>
                      <w:color w:val="auto"/>
                      <w:kern w:val="28"/>
                      <w:szCs w:val="21"/>
                    </w:rPr>
                    <w:t>（九）禁止其他破坏湿地及其生态功能的活动。</w:t>
                  </w:r>
                </w:p>
                <w:p w14:paraId="006D1D43">
                  <w:pPr>
                    <w:rPr>
                      <w:color w:val="auto"/>
                      <w:spacing w:val="10"/>
                      <w:szCs w:val="21"/>
                      <w:lang w:val="zh-CN"/>
                    </w:rPr>
                  </w:pPr>
                  <w:r>
                    <w:rPr>
                      <w:rFonts w:hint="eastAsia"/>
                      <w:bCs/>
                      <w:color w:val="auto"/>
                      <w:kern w:val="28"/>
                      <w:szCs w:val="21"/>
                    </w:rPr>
                    <w:t>国家湿地公园由省林业局会同相关管理机构界定。</w:t>
                  </w:r>
                </w:p>
              </w:tc>
              <w:tc>
                <w:tcPr>
                  <w:tcW w:w="2640" w:type="dxa"/>
                  <w:vAlign w:val="center"/>
                </w:tcPr>
                <w:p w14:paraId="7508398D">
                  <w:pPr>
                    <w:widowControl/>
                    <w:jc w:val="center"/>
                    <w:textAlignment w:val="center"/>
                    <w:rPr>
                      <w:color w:val="auto"/>
                      <w:spacing w:val="10"/>
                      <w:szCs w:val="21"/>
                      <w:lang w:val="zh-CN"/>
                    </w:rPr>
                  </w:pPr>
                  <w:r>
                    <w:rPr>
                      <w:color w:val="auto"/>
                      <w:spacing w:val="10"/>
                      <w:szCs w:val="21"/>
                      <w:lang w:val="zh-CN"/>
                    </w:rPr>
                    <w:t>本项目不在国家湿地公园的岸线和河段范围内。</w:t>
                  </w:r>
                </w:p>
              </w:tc>
              <w:tc>
                <w:tcPr>
                  <w:tcW w:w="764" w:type="dxa"/>
                  <w:vAlign w:val="center"/>
                </w:tcPr>
                <w:p w14:paraId="5794C87D">
                  <w:pPr>
                    <w:widowControl/>
                    <w:jc w:val="center"/>
                    <w:textAlignment w:val="center"/>
                    <w:rPr>
                      <w:color w:val="auto"/>
                      <w:spacing w:val="10"/>
                      <w:szCs w:val="21"/>
                    </w:rPr>
                  </w:pPr>
                  <w:r>
                    <w:rPr>
                      <w:rFonts w:hint="eastAsia"/>
                      <w:color w:val="auto"/>
                      <w:spacing w:val="10"/>
                      <w:szCs w:val="21"/>
                    </w:rPr>
                    <w:t>符合</w:t>
                  </w:r>
                </w:p>
              </w:tc>
            </w:tr>
            <w:tr w14:paraId="117D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7AE6FDBE">
                  <w:pPr>
                    <w:widowControl/>
                    <w:jc w:val="center"/>
                    <w:textAlignment w:val="center"/>
                    <w:rPr>
                      <w:color w:val="auto"/>
                      <w:spacing w:val="10"/>
                      <w:szCs w:val="21"/>
                    </w:rPr>
                  </w:pPr>
                  <w:r>
                    <w:rPr>
                      <w:rFonts w:hint="eastAsia"/>
                      <w:color w:val="auto"/>
                      <w:spacing w:val="10"/>
                      <w:szCs w:val="21"/>
                    </w:rPr>
                    <w:t>7</w:t>
                  </w:r>
                </w:p>
              </w:tc>
              <w:tc>
                <w:tcPr>
                  <w:tcW w:w="4080" w:type="dxa"/>
                  <w:vAlign w:val="center"/>
                </w:tcPr>
                <w:p w14:paraId="0AA16B13">
                  <w:pPr>
                    <w:rPr>
                      <w:color w:val="auto"/>
                      <w:spacing w:val="10"/>
                      <w:szCs w:val="21"/>
                      <w:lang w:val="zh-CN"/>
                    </w:rPr>
                  </w:pPr>
                  <w:r>
                    <w:rPr>
                      <w:rFonts w:hint="eastAsia"/>
                      <w:bCs/>
                      <w:color w:val="auto"/>
                      <w:kern w:val="28"/>
                      <w:szCs w:val="21"/>
                    </w:rPr>
                    <w:t>第九条 禁止违法利用、占用长江流域河湖岸线。</w:t>
                  </w:r>
                </w:p>
              </w:tc>
              <w:tc>
                <w:tcPr>
                  <w:tcW w:w="2640" w:type="dxa"/>
                  <w:vAlign w:val="center"/>
                </w:tcPr>
                <w:p w14:paraId="6D95647B">
                  <w:pPr>
                    <w:widowControl/>
                    <w:jc w:val="center"/>
                    <w:textAlignment w:val="center"/>
                    <w:rPr>
                      <w:color w:val="auto"/>
                      <w:spacing w:val="10"/>
                      <w:szCs w:val="21"/>
                      <w:lang w:val="zh-CN"/>
                    </w:rPr>
                  </w:pPr>
                  <w:r>
                    <w:rPr>
                      <w:color w:val="auto"/>
                      <w:spacing w:val="10"/>
                      <w:szCs w:val="21"/>
                      <w:lang w:val="zh-CN"/>
                    </w:rPr>
                    <w:t>本项目拟建地周边不涉及长江流域河湖岸线</w:t>
                  </w:r>
                  <w:r>
                    <w:rPr>
                      <w:rFonts w:hint="eastAsia"/>
                      <w:color w:val="auto"/>
                      <w:spacing w:val="10"/>
                      <w:szCs w:val="21"/>
                      <w:lang w:val="zh-CN"/>
                    </w:rPr>
                    <w:t>。</w:t>
                  </w:r>
                </w:p>
              </w:tc>
              <w:tc>
                <w:tcPr>
                  <w:tcW w:w="764" w:type="dxa"/>
                  <w:vAlign w:val="center"/>
                </w:tcPr>
                <w:p w14:paraId="173CC5D0">
                  <w:pPr>
                    <w:widowControl/>
                    <w:jc w:val="center"/>
                    <w:textAlignment w:val="center"/>
                    <w:rPr>
                      <w:color w:val="auto"/>
                      <w:spacing w:val="10"/>
                      <w:szCs w:val="21"/>
                      <w:lang w:val="zh-CN"/>
                    </w:rPr>
                  </w:pPr>
                  <w:r>
                    <w:rPr>
                      <w:rFonts w:hint="eastAsia"/>
                      <w:color w:val="auto"/>
                      <w:spacing w:val="10"/>
                      <w:szCs w:val="21"/>
                    </w:rPr>
                    <w:t>符合</w:t>
                  </w:r>
                </w:p>
              </w:tc>
            </w:tr>
            <w:tr w14:paraId="43FF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89" w:type="dxa"/>
                  <w:vAlign w:val="center"/>
                </w:tcPr>
                <w:p w14:paraId="13880996">
                  <w:pPr>
                    <w:widowControl/>
                    <w:jc w:val="center"/>
                    <w:textAlignment w:val="center"/>
                    <w:rPr>
                      <w:color w:val="auto"/>
                      <w:spacing w:val="10"/>
                      <w:szCs w:val="21"/>
                    </w:rPr>
                  </w:pPr>
                  <w:r>
                    <w:rPr>
                      <w:rFonts w:hint="eastAsia"/>
                      <w:color w:val="auto"/>
                      <w:spacing w:val="10"/>
                      <w:szCs w:val="21"/>
                    </w:rPr>
                    <w:t>8</w:t>
                  </w:r>
                </w:p>
              </w:tc>
              <w:tc>
                <w:tcPr>
                  <w:tcW w:w="4080" w:type="dxa"/>
                  <w:vAlign w:val="center"/>
                </w:tcPr>
                <w:p w14:paraId="64E46DB9">
                  <w:pPr>
                    <w:rPr>
                      <w:color w:val="auto"/>
                      <w:spacing w:val="10"/>
                      <w:szCs w:val="21"/>
                      <w:lang w:val="zh-CN"/>
                    </w:rPr>
                  </w:pPr>
                  <w:r>
                    <w:rPr>
                      <w:rFonts w:hint="eastAsia"/>
                      <w:bCs/>
                      <w:color w:val="auto"/>
                      <w:kern w:val="28"/>
                      <w:szCs w:val="21"/>
                    </w:rPr>
                    <w:t>第十条 禁止在《长江岸线保护和开发利用总体规划》划定的岸线保护区和保留区内投资建设除事关公共安全及公众利益的防洪护岸、河道治理、供水、生态环境保护、国家重要基础设施以外的项目。</w:t>
                  </w:r>
                </w:p>
              </w:tc>
              <w:tc>
                <w:tcPr>
                  <w:tcW w:w="2640" w:type="dxa"/>
                  <w:vAlign w:val="center"/>
                </w:tcPr>
                <w:p w14:paraId="2A522ED2">
                  <w:pPr>
                    <w:widowControl/>
                    <w:jc w:val="center"/>
                    <w:textAlignment w:val="center"/>
                    <w:rPr>
                      <w:color w:val="auto"/>
                      <w:spacing w:val="10"/>
                      <w:szCs w:val="21"/>
                      <w:lang w:val="zh-CN"/>
                    </w:rPr>
                  </w:pPr>
                  <w:r>
                    <w:rPr>
                      <w:color w:val="auto"/>
                      <w:spacing w:val="10"/>
                      <w:szCs w:val="21"/>
                      <w:lang w:val="zh-CN"/>
                    </w:rPr>
                    <w:t>本项目不在《长江岸线保护和开发利用总体规划》划定的岸线保护区和保留区。</w:t>
                  </w:r>
                </w:p>
              </w:tc>
              <w:tc>
                <w:tcPr>
                  <w:tcW w:w="764" w:type="dxa"/>
                  <w:vAlign w:val="center"/>
                </w:tcPr>
                <w:p w14:paraId="2DDAF53F">
                  <w:pPr>
                    <w:widowControl/>
                    <w:jc w:val="center"/>
                    <w:textAlignment w:val="center"/>
                    <w:rPr>
                      <w:color w:val="auto"/>
                      <w:spacing w:val="10"/>
                      <w:szCs w:val="21"/>
                      <w:lang w:val="zh-CN"/>
                    </w:rPr>
                  </w:pPr>
                  <w:r>
                    <w:rPr>
                      <w:rFonts w:hint="eastAsia"/>
                      <w:color w:val="auto"/>
                      <w:spacing w:val="10"/>
                      <w:szCs w:val="21"/>
                    </w:rPr>
                    <w:t>符合</w:t>
                  </w:r>
                </w:p>
              </w:tc>
            </w:tr>
            <w:tr w14:paraId="7989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341D0F57">
                  <w:pPr>
                    <w:widowControl/>
                    <w:jc w:val="center"/>
                    <w:textAlignment w:val="center"/>
                    <w:rPr>
                      <w:color w:val="auto"/>
                      <w:spacing w:val="10"/>
                      <w:szCs w:val="21"/>
                    </w:rPr>
                  </w:pPr>
                  <w:r>
                    <w:rPr>
                      <w:rFonts w:hint="eastAsia"/>
                      <w:color w:val="auto"/>
                      <w:spacing w:val="10"/>
                      <w:szCs w:val="21"/>
                    </w:rPr>
                    <w:t>9</w:t>
                  </w:r>
                </w:p>
              </w:tc>
              <w:tc>
                <w:tcPr>
                  <w:tcW w:w="4080" w:type="dxa"/>
                  <w:vAlign w:val="center"/>
                </w:tcPr>
                <w:p w14:paraId="59E23925">
                  <w:pPr>
                    <w:rPr>
                      <w:color w:val="auto"/>
                      <w:spacing w:val="10"/>
                      <w:szCs w:val="21"/>
                      <w:lang w:val="zh-CN"/>
                    </w:rPr>
                  </w:pPr>
                  <w:r>
                    <w:rPr>
                      <w:rFonts w:hint="eastAsia"/>
                      <w:bCs/>
                      <w:color w:val="auto"/>
                      <w:kern w:val="28"/>
                      <w:szCs w:val="21"/>
                    </w:rPr>
                    <w:t>第十一条 禁止在《全国重要江河湖泊水功能区划》划定的河段及湖泊保护区、保留区内投资建设不利于水资源及自然生态保护的项目</w:t>
                  </w:r>
                </w:p>
              </w:tc>
              <w:tc>
                <w:tcPr>
                  <w:tcW w:w="2640" w:type="dxa"/>
                  <w:vAlign w:val="center"/>
                </w:tcPr>
                <w:p w14:paraId="56B737A7">
                  <w:pPr>
                    <w:widowControl/>
                    <w:jc w:val="center"/>
                    <w:textAlignment w:val="center"/>
                    <w:rPr>
                      <w:color w:val="auto"/>
                      <w:spacing w:val="10"/>
                      <w:szCs w:val="21"/>
                      <w:lang w:val="zh-CN"/>
                    </w:rPr>
                  </w:pPr>
                  <w:r>
                    <w:rPr>
                      <w:color w:val="auto"/>
                      <w:spacing w:val="10"/>
                      <w:szCs w:val="21"/>
                      <w:lang w:val="zh-CN"/>
                    </w:rPr>
                    <w:t>本项目不在《全国重要江河湖泊水功能区划》划定的河段及湖泊保护区、保留区内</w:t>
                  </w:r>
                  <w:r>
                    <w:rPr>
                      <w:rFonts w:hint="eastAsia"/>
                      <w:color w:val="auto"/>
                      <w:spacing w:val="10"/>
                      <w:szCs w:val="21"/>
                      <w:lang w:val="zh-CN"/>
                    </w:rPr>
                    <w:t>。</w:t>
                  </w:r>
                </w:p>
              </w:tc>
              <w:tc>
                <w:tcPr>
                  <w:tcW w:w="764" w:type="dxa"/>
                  <w:vAlign w:val="center"/>
                </w:tcPr>
                <w:p w14:paraId="4DDEDB22">
                  <w:pPr>
                    <w:widowControl/>
                    <w:jc w:val="center"/>
                    <w:textAlignment w:val="center"/>
                    <w:rPr>
                      <w:color w:val="auto"/>
                      <w:spacing w:val="10"/>
                      <w:szCs w:val="21"/>
                      <w:lang w:val="zh-CN"/>
                    </w:rPr>
                  </w:pPr>
                  <w:r>
                    <w:rPr>
                      <w:rFonts w:hint="eastAsia"/>
                      <w:color w:val="auto"/>
                      <w:spacing w:val="10"/>
                      <w:szCs w:val="21"/>
                    </w:rPr>
                    <w:t>符合</w:t>
                  </w:r>
                </w:p>
              </w:tc>
            </w:tr>
            <w:tr w14:paraId="1412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2A7BCE7E">
                  <w:pPr>
                    <w:widowControl/>
                    <w:jc w:val="center"/>
                    <w:textAlignment w:val="center"/>
                    <w:rPr>
                      <w:color w:val="auto"/>
                      <w:spacing w:val="10"/>
                      <w:szCs w:val="21"/>
                    </w:rPr>
                  </w:pPr>
                  <w:r>
                    <w:rPr>
                      <w:rFonts w:hint="eastAsia"/>
                      <w:color w:val="auto"/>
                      <w:spacing w:val="10"/>
                      <w:szCs w:val="21"/>
                    </w:rPr>
                    <w:t>10</w:t>
                  </w:r>
                </w:p>
              </w:tc>
              <w:tc>
                <w:tcPr>
                  <w:tcW w:w="4080" w:type="dxa"/>
                  <w:vAlign w:val="center"/>
                </w:tcPr>
                <w:p w14:paraId="6AAD8420">
                  <w:pPr>
                    <w:rPr>
                      <w:color w:val="auto"/>
                      <w:spacing w:val="10"/>
                      <w:szCs w:val="21"/>
                      <w:lang w:val="zh-CN"/>
                    </w:rPr>
                  </w:pPr>
                  <w:r>
                    <w:rPr>
                      <w:rFonts w:hint="eastAsia"/>
                      <w:bCs/>
                      <w:color w:val="auto"/>
                      <w:kern w:val="28"/>
                      <w:szCs w:val="21"/>
                    </w:rPr>
                    <w:t>第十二条 禁止未经许可在长江支流及湖泊新设、改设或扩大排污口</w:t>
                  </w:r>
                </w:p>
              </w:tc>
              <w:tc>
                <w:tcPr>
                  <w:tcW w:w="2640" w:type="dxa"/>
                  <w:vAlign w:val="center"/>
                </w:tcPr>
                <w:p w14:paraId="1DB29CFD">
                  <w:pPr>
                    <w:widowControl/>
                    <w:jc w:val="center"/>
                    <w:textAlignment w:val="center"/>
                    <w:rPr>
                      <w:color w:val="auto"/>
                      <w:spacing w:val="10"/>
                      <w:szCs w:val="21"/>
                      <w:lang w:val="zh-CN"/>
                    </w:rPr>
                  </w:pPr>
                  <w:r>
                    <w:rPr>
                      <w:color w:val="auto"/>
                      <w:spacing w:val="10"/>
                      <w:szCs w:val="21"/>
                      <w:lang w:val="zh-CN"/>
                    </w:rPr>
                    <w:t>不涉及</w:t>
                  </w:r>
                  <w:r>
                    <w:rPr>
                      <w:rFonts w:hint="eastAsia"/>
                      <w:color w:val="auto"/>
                      <w:spacing w:val="10"/>
                      <w:szCs w:val="21"/>
                      <w:lang w:val="zh-CN"/>
                    </w:rPr>
                    <w:t>。</w:t>
                  </w:r>
                </w:p>
              </w:tc>
              <w:tc>
                <w:tcPr>
                  <w:tcW w:w="764" w:type="dxa"/>
                  <w:vAlign w:val="center"/>
                </w:tcPr>
                <w:p w14:paraId="683D55D2">
                  <w:pPr>
                    <w:widowControl/>
                    <w:jc w:val="center"/>
                    <w:textAlignment w:val="center"/>
                    <w:rPr>
                      <w:color w:val="auto"/>
                      <w:spacing w:val="10"/>
                      <w:szCs w:val="21"/>
                      <w:lang w:val="zh-CN"/>
                    </w:rPr>
                  </w:pPr>
                  <w:r>
                    <w:rPr>
                      <w:rFonts w:hint="eastAsia"/>
                      <w:color w:val="auto"/>
                      <w:spacing w:val="10"/>
                      <w:szCs w:val="21"/>
                    </w:rPr>
                    <w:t>符合</w:t>
                  </w:r>
                </w:p>
              </w:tc>
            </w:tr>
            <w:tr w14:paraId="7953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1EA6EC75">
                  <w:pPr>
                    <w:widowControl/>
                    <w:jc w:val="center"/>
                    <w:textAlignment w:val="center"/>
                    <w:rPr>
                      <w:color w:val="auto"/>
                      <w:spacing w:val="10"/>
                      <w:szCs w:val="21"/>
                    </w:rPr>
                  </w:pPr>
                  <w:r>
                    <w:rPr>
                      <w:rFonts w:hint="eastAsia"/>
                      <w:color w:val="auto"/>
                      <w:spacing w:val="10"/>
                      <w:szCs w:val="21"/>
                    </w:rPr>
                    <w:t>11</w:t>
                  </w:r>
                </w:p>
              </w:tc>
              <w:tc>
                <w:tcPr>
                  <w:tcW w:w="4080" w:type="dxa"/>
                  <w:vAlign w:val="center"/>
                </w:tcPr>
                <w:p w14:paraId="04CA0432">
                  <w:pPr>
                    <w:rPr>
                      <w:color w:val="auto"/>
                      <w:spacing w:val="10"/>
                      <w:szCs w:val="21"/>
                      <w:lang w:val="zh-CN"/>
                    </w:rPr>
                  </w:pPr>
                  <w:r>
                    <w:rPr>
                      <w:rFonts w:hint="eastAsia"/>
                      <w:bCs/>
                      <w:color w:val="auto"/>
                      <w:kern w:val="28"/>
                      <w:szCs w:val="21"/>
                    </w:rPr>
                    <w:t>第十三条 禁止在长江支流、太湖等重要岸线一公里范围内新建、扩建化工园区和化工项目</w:t>
                  </w:r>
                </w:p>
              </w:tc>
              <w:tc>
                <w:tcPr>
                  <w:tcW w:w="2640" w:type="dxa"/>
                  <w:vAlign w:val="center"/>
                </w:tcPr>
                <w:p w14:paraId="550FB4C6">
                  <w:pPr>
                    <w:widowControl/>
                    <w:jc w:val="center"/>
                    <w:textAlignment w:val="center"/>
                    <w:rPr>
                      <w:color w:val="auto"/>
                      <w:spacing w:val="10"/>
                      <w:szCs w:val="21"/>
                    </w:rPr>
                  </w:pPr>
                  <w:r>
                    <w:rPr>
                      <w:rFonts w:hint="eastAsia"/>
                      <w:color w:val="auto"/>
                      <w:spacing w:val="10"/>
                      <w:szCs w:val="21"/>
                    </w:rPr>
                    <w:t>本项目不属于化工项目。</w:t>
                  </w:r>
                </w:p>
              </w:tc>
              <w:tc>
                <w:tcPr>
                  <w:tcW w:w="764" w:type="dxa"/>
                  <w:vAlign w:val="center"/>
                </w:tcPr>
                <w:p w14:paraId="5696FC20">
                  <w:pPr>
                    <w:widowControl/>
                    <w:jc w:val="center"/>
                    <w:textAlignment w:val="center"/>
                    <w:rPr>
                      <w:color w:val="auto"/>
                      <w:spacing w:val="10"/>
                      <w:szCs w:val="21"/>
                      <w:lang w:val="zh-CN"/>
                    </w:rPr>
                  </w:pPr>
                  <w:r>
                    <w:rPr>
                      <w:rFonts w:hint="eastAsia"/>
                      <w:color w:val="auto"/>
                      <w:spacing w:val="10"/>
                      <w:szCs w:val="21"/>
                    </w:rPr>
                    <w:t>符合</w:t>
                  </w:r>
                </w:p>
              </w:tc>
            </w:tr>
            <w:tr w14:paraId="7F53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0946E0C4">
                  <w:pPr>
                    <w:widowControl/>
                    <w:jc w:val="center"/>
                    <w:textAlignment w:val="center"/>
                    <w:rPr>
                      <w:color w:val="auto"/>
                      <w:spacing w:val="10"/>
                      <w:szCs w:val="21"/>
                    </w:rPr>
                  </w:pPr>
                  <w:r>
                    <w:rPr>
                      <w:rFonts w:hint="eastAsia"/>
                      <w:color w:val="auto"/>
                      <w:spacing w:val="10"/>
                      <w:szCs w:val="21"/>
                    </w:rPr>
                    <w:t>12</w:t>
                  </w:r>
                </w:p>
              </w:tc>
              <w:tc>
                <w:tcPr>
                  <w:tcW w:w="4080" w:type="dxa"/>
                  <w:vAlign w:val="center"/>
                </w:tcPr>
                <w:p w14:paraId="7F297646">
                  <w:pPr>
                    <w:rPr>
                      <w:color w:val="auto"/>
                      <w:spacing w:val="10"/>
                      <w:szCs w:val="21"/>
                      <w:lang w:val="zh-CN"/>
                    </w:rPr>
                  </w:pPr>
                  <w:r>
                    <w:rPr>
                      <w:rFonts w:hint="eastAsia"/>
                      <w:bCs/>
                      <w:color w:val="auto"/>
                      <w:kern w:val="28"/>
                      <w:szCs w:val="21"/>
                    </w:rPr>
                    <w:t>第十四条 禁止在长江重要支流岸线一公里范围内新建、改建、扩建尾矿库、冶炼渣库和磷石膏库，以提升安全、生态环境保护水平为目的的改扩建除外</w:t>
                  </w:r>
                </w:p>
              </w:tc>
              <w:tc>
                <w:tcPr>
                  <w:tcW w:w="2640" w:type="dxa"/>
                  <w:vAlign w:val="center"/>
                </w:tcPr>
                <w:p w14:paraId="74AB48AC">
                  <w:pPr>
                    <w:widowControl/>
                    <w:jc w:val="center"/>
                    <w:textAlignment w:val="center"/>
                    <w:rPr>
                      <w:color w:val="auto"/>
                      <w:spacing w:val="10"/>
                      <w:szCs w:val="21"/>
                    </w:rPr>
                  </w:pPr>
                  <w:r>
                    <w:rPr>
                      <w:rFonts w:hint="eastAsia"/>
                      <w:color w:val="auto"/>
                      <w:spacing w:val="10"/>
                      <w:szCs w:val="21"/>
                    </w:rPr>
                    <w:t>本项目为塑料家具制造（C2140），不属于尾矿库、冶炼渣库和磷石膏库项目</w:t>
                  </w:r>
                </w:p>
              </w:tc>
              <w:tc>
                <w:tcPr>
                  <w:tcW w:w="764" w:type="dxa"/>
                  <w:vAlign w:val="center"/>
                </w:tcPr>
                <w:p w14:paraId="6A0FE864">
                  <w:pPr>
                    <w:widowControl/>
                    <w:jc w:val="center"/>
                    <w:textAlignment w:val="center"/>
                    <w:rPr>
                      <w:color w:val="auto"/>
                      <w:spacing w:val="10"/>
                      <w:szCs w:val="21"/>
                      <w:lang w:val="zh-CN"/>
                    </w:rPr>
                  </w:pPr>
                  <w:r>
                    <w:rPr>
                      <w:rFonts w:hint="eastAsia"/>
                      <w:color w:val="auto"/>
                      <w:spacing w:val="10"/>
                      <w:szCs w:val="21"/>
                    </w:rPr>
                    <w:t>符合</w:t>
                  </w:r>
                </w:p>
              </w:tc>
            </w:tr>
            <w:tr w14:paraId="26F0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35C7061E">
                  <w:pPr>
                    <w:widowControl/>
                    <w:jc w:val="center"/>
                    <w:textAlignment w:val="center"/>
                    <w:rPr>
                      <w:color w:val="auto"/>
                      <w:spacing w:val="10"/>
                      <w:szCs w:val="21"/>
                    </w:rPr>
                  </w:pPr>
                  <w:r>
                    <w:rPr>
                      <w:rFonts w:hint="eastAsia"/>
                      <w:color w:val="auto"/>
                      <w:spacing w:val="10"/>
                      <w:szCs w:val="21"/>
                    </w:rPr>
                    <w:t>13</w:t>
                  </w:r>
                </w:p>
              </w:tc>
              <w:tc>
                <w:tcPr>
                  <w:tcW w:w="4080" w:type="dxa"/>
                  <w:vAlign w:val="center"/>
                </w:tcPr>
                <w:p w14:paraId="2F427E0C">
                  <w:pPr>
                    <w:rPr>
                      <w:color w:val="auto"/>
                      <w:spacing w:val="10"/>
                      <w:szCs w:val="21"/>
                      <w:lang w:val="zh-CN"/>
                    </w:rPr>
                  </w:pPr>
                  <w:r>
                    <w:rPr>
                      <w:rFonts w:hint="eastAsia"/>
                      <w:bCs/>
                      <w:color w:val="auto"/>
                      <w:kern w:val="28"/>
                      <w:szCs w:val="21"/>
                    </w:rPr>
                    <w:t>第十五条 禁止在合规园区外新建、扩建钢铁、石化、化工、焦化、建材、有色、制浆造纸等高污染项目。高污染项目清单参照生态环境部《环境保护综合目录》中的高污染产品目录执行。</w:t>
                  </w:r>
                </w:p>
              </w:tc>
              <w:tc>
                <w:tcPr>
                  <w:tcW w:w="2640" w:type="dxa"/>
                  <w:vAlign w:val="center"/>
                </w:tcPr>
                <w:p w14:paraId="24EA6156">
                  <w:pPr>
                    <w:widowControl/>
                    <w:jc w:val="center"/>
                    <w:textAlignment w:val="center"/>
                    <w:rPr>
                      <w:color w:val="auto"/>
                      <w:spacing w:val="10"/>
                      <w:szCs w:val="21"/>
                      <w:lang w:val="zh-CN"/>
                    </w:rPr>
                  </w:pPr>
                  <w:r>
                    <w:rPr>
                      <w:rFonts w:hint="eastAsia"/>
                      <w:color w:val="auto"/>
                      <w:spacing w:val="10"/>
                      <w:szCs w:val="21"/>
                    </w:rPr>
                    <w:t>本项目为塑料家具制造（C2140），</w:t>
                  </w:r>
                  <w:r>
                    <w:rPr>
                      <w:rFonts w:hint="eastAsia"/>
                      <w:bCs/>
                      <w:color w:val="auto"/>
                      <w:kern w:val="28"/>
                      <w:szCs w:val="21"/>
                    </w:rPr>
                    <w:t>不属于钢铁、石化、化工、焦化、建材、有色、制浆造纸等高污染项目。</w:t>
                  </w:r>
                </w:p>
              </w:tc>
              <w:tc>
                <w:tcPr>
                  <w:tcW w:w="764" w:type="dxa"/>
                  <w:vAlign w:val="center"/>
                </w:tcPr>
                <w:p w14:paraId="4EA4E4F3">
                  <w:pPr>
                    <w:widowControl/>
                    <w:jc w:val="center"/>
                    <w:textAlignment w:val="center"/>
                    <w:rPr>
                      <w:color w:val="auto"/>
                      <w:spacing w:val="10"/>
                      <w:szCs w:val="21"/>
                      <w:lang w:val="zh-CN"/>
                    </w:rPr>
                  </w:pPr>
                  <w:r>
                    <w:rPr>
                      <w:rFonts w:hint="eastAsia"/>
                      <w:color w:val="auto"/>
                      <w:spacing w:val="10"/>
                      <w:szCs w:val="21"/>
                    </w:rPr>
                    <w:t>符合</w:t>
                  </w:r>
                </w:p>
              </w:tc>
            </w:tr>
            <w:tr w14:paraId="792D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6718C331">
                  <w:pPr>
                    <w:widowControl/>
                    <w:jc w:val="center"/>
                    <w:textAlignment w:val="center"/>
                    <w:rPr>
                      <w:color w:val="auto"/>
                      <w:spacing w:val="10"/>
                      <w:szCs w:val="21"/>
                    </w:rPr>
                  </w:pPr>
                  <w:r>
                    <w:rPr>
                      <w:rFonts w:hint="eastAsia"/>
                      <w:color w:val="auto"/>
                      <w:spacing w:val="10"/>
                      <w:szCs w:val="21"/>
                    </w:rPr>
                    <w:t>14</w:t>
                  </w:r>
                </w:p>
              </w:tc>
              <w:tc>
                <w:tcPr>
                  <w:tcW w:w="4080" w:type="dxa"/>
                  <w:vAlign w:val="center"/>
                </w:tcPr>
                <w:p w14:paraId="3C052CD5">
                  <w:pPr>
                    <w:rPr>
                      <w:color w:val="auto"/>
                      <w:spacing w:val="10"/>
                      <w:szCs w:val="21"/>
                      <w:lang w:val="zh-CN"/>
                    </w:rPr>
                  </w:pPr>
                  <w:r>
                    <w:rPr>
                      <w:rFonts w:hint="eastAsia"/>
                      <w:bCs/>
                      <w:color w:val="auto"/>
                      <w:kern w:val="28"/>
                      <w:szCs w:val="21"/>
                    </w:rPr>
                    <w:t>第十六条 禁止新建、扩建不符合国家石化、现代煤化工等产业布局规划的项目。</w:t>
                  </w:r>
                </w:p>
              </w:tc>
              <w:tc>
                <w:tcPr>
                  <w:tcW w:w="2640" w:type="dxa"/>
                  <w:vAlign w:val="center"/>
                </w:tcPr>
                <w:p w14:paraId="2D95AEC9">
                  <w:pPr>
                    <w:widowControl/>
                    <w:jc w:val="center"/>
                    <w:textAlignment w:val="center"/>
                    <w:rPr>
                      <w:color w:val="auto"/>
                      <w:spacing w:val="10"/>
                      <w:szCs w:val="21"/>
                      <w:lang w:val="zh-CN"/>
                    </w:rPr>
                  </w:pPr>
                  <w:r>
                    <w:rPr>
                      <w:rFonts w:hint="eastAsia"/>
                      <w:color w:val="auto"/>
                      <w:spacing w:val="10"/>
                      <w:szCs w:val="21"/>
                    </w:rPr>
                    <w:t>本项目为塑料家具制造（C2140），</w:t>
                  </w:r>
                  <w:r>
                    <w:rPr>
                      <w:rFonts w:hint="eastAsia"/>
                      <w:bCs/>
                      <w:color w:val="auto"/>
                      <w:kern w:val="28"/>
                      <w:szCs w:val="21"/>
                    </w:rPr>
                    <w:t>不属于钢铁、石化、化工、焦化、建材、有色、制浆造纸等高污染项目。</w:t>
                  </w:r>
                </w:p>
              </w:tc>
              <w:tc>
                <w:tcPr>
                  <w:tcW w:w="764" w:type="dxa"/>
                  <w:vAlign w:val="center"/>
                </w:tcPr>
                <w:p w14:paraId="625F32D4">
                  <w:pPr>
                    <w:widowControl/>
                    <w:jc w:val="center"/>
                    <w:textAlignment w:val="center"/>
                    <w:rPr>
                      <w:color w:val="auto"/>
                      <w:spacing w:val="10"/>
                      <w:szCs w:val="21"/>
                      <w:lang w:val="zh-CN"/>
                    </w:rPr>
                  </w:pPr>
                  <w:r>
                    <w:rPr>
                      <w:rFonts w:hint="eastAsia"/>
                      <w:color w:val="auto"/>
                      <w:spacing w:val="10"/>
                      <w:szCs w:val="21"/>
                    </w:rPr>
                    <w:t>符合</w:t>
                  </w:r>
                </w:p>
              </w:tc>
            </w:tr>
            <w:tr w14:paraId="1001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6EE0AFD0">
                  <w:pPr>
                    <w:widowControl/>
                    <w:jc w:val="center"/>
                    <w:textAlignment w:val="center"/>
                    <w:rPr>
                      <w:color w:val="auto"/>
                      <w:spacing w:val="10"/>
                      <w:szCs w:val="21"/>
                    </w:rPr>
                  </w:pPr>
                  <w:r>
                    <w:rPr>
                      <w:rFonts w:hint="eastAsia"/>
                      <w:color w:val="auto"/>
                      <w:spacing w:val="10"/>
                      <w:szCs w:val="21"/>
                    </w:rPr>
                    <w:t>15</w:t>
                  </w:r>
                </w:p>
              </w:tc>
              <w:tc>
                <w:tcPr>
                  <w:tcW w:w="4080" w:type="dxa"/>
                  <w:vAlign w:val="center"/>
                </w:tcPr>
                <w:p w14:paraId="3CC5A0CB">
                  <w:pPr>
                    <w:autoSpaceDE w:val="0"/>
                    <w:autoSpaceDN w:val="0"/>
                    <w:adjustRightInd w:val="0"/>
                    <w:snapToGrid w:val="0"/>
                    <w:spacing w:line="260" w:lineRule="exact"/>
                    <w:rPr>
                      <w:bCs/>
                      <w:color w:val="auto"/>
                      <w:kern w:val="28"/>
                      <w:szCs w:val="21"/>
                    </w:rPr>
                  </w:pPr>
                  <w:r>
                    <w:rPr>
                      <w:rFonts w:hint="eastAsia"/>
                      <w:bCs/>
                      <w:color w:val="auto"/>
                      <w:kern w:val="28"/>
                      <w:szCs w:val="21"/>
                    </w:rPr>
                    <w:t>第十七条 禁止新建、扩建法律法规和相关政策明令禁止的落后产能项目，对列入《产业结构调整指导目录》淘汰类中的落后生产工艺装备、落后产品投资项目，列入《外商投资准入特别</w:t>
                  </w:r>
                </w:p>
                <w:p w14:paraId="04B66AAF">
                  <w:pPr>
                    <w:rPr>
                      <w:color w:val="auto"/>
                      <w:spacing w:val="10"/>
                      <w:szCs w:val="21"/>
                      <w:lang w:val="zh-CN"/>
                    </w:rPr>
                  </w:pPr>
                  <w:r>
                    <w:rPr>
                      <w:rFonts w:hint="eastAsia"/>
                      <w:bCs/>
                      <w:color w:val="auto"/>
                      <w:kern w:val="28"/>
                      <w:szCs w:val="21"/>
                    </w:rPr>
                    <w:t>管理措施（负面清单）》的外商投资项目，一律不得核准、备案。禁止向落后产能项目和严重过剩产能行业项目供应土地。</w:t>
                  </w:r>
                </w:p>
              </w:tc>
              <w:tc>
                <w:tcPr>
                  <w:tcW w:w="2640" w:type="dxa"/>
                  <w:vAlign w:val="center"/>
                </w:tcPr>
                <w:p w14:paraId="6527745E">
                  <w:pPr>
                    <w:widowControl/>
                    <w:jc w:val="center"/>
                    <w:textAlignment w:val="center"/>
                    <w:rPr>
                      <w:color w:val="auto"/>
                      <w:spacing w:val="10"/>
                      <w:szCs w:val="21"/>
                      <w:lang w:val="zh-CN"/>
                    </w:rPr>
                  </w:pPr>
                  <w:r>
                    <w:rPr>
                      <w:rFonts w:hint="eastAsia"/>
                      <w:color w:val="auto"/>
                      <w:spacing w:val="10"/>
                      <w:szCs w:val="21"/>
                    </w:rPr>
                    <w:t>本</w:t>
                  </w:r>
                  <w:r>
                    <w:rPr>
                      <w:color w:val="auto"/>
                      <w:spacing w:val="10"/>
                      <w:szCs w:val="21"/>
                      <w:lang w:val="zh-CN"/>
                    </w:rPr>
                    <w:t>项目类别涉及</w:t>
                  </w:r>
                  <w:r>
                    <w:rPr>
                      <w:rFonts w:hint="eastAsia"/>
                      <w:color w:val="auto"/>
                      <w:spacing w:val="10"/>
                      <w:szCs w:val="21"/>
                    </w:rPr>
                    <w:t>塑料家具制造（C2140）</w:t>
                  </w:r>
                  <w:r>
                    <w:rPr>
                      <w:color w:val="auto"/>
                      <w:spacing w:val="10"/>
                      <w:szCs w:val="21"/>
                      <w:lang w:val="zh-CN"/>
                    </w:rPr>
                    <w:t>（国民经济行业分类），对照《产业结构调整指导目录（2024年）》，项目不属于产业政策中的限制或淘汰类以及落后产品，本项目符合产业政策，且不属于外商投资项目。项目不属于落后产能项目和严重过剩产能行业项目。</w:t>
                  </w:r>
                </w:p>
              </w:tc>
              <w:tc>
                <w:tcPr>
                  <w:tcW w:w="764" w:type="dxa"/>
                  <w:vAlign w:val="center"/>
                </w:tcPr>
                <w:p w14:paraId="35A82E37">
                  <w:pPr>
                    <w:widowControl/>
                    <w:jc w:val="center"/>
                    <w:textAlignment w:val="center"/>
                    <w:rPr>
                      <w:color w:val="auto"/>
                      <w:spacing w:val="10"/>
                      <w:szCs w:val="21"/>
                      <w:lang w:val="zh-CN"/>
                    </w:rPr>
                  </w:pPr>
                  <w:r>
                    <w:rPr>
                      <w:rFonts w:hint="eastAsia"/>
                      <w:color w:val="auto"/>
                      <w:spacing w:val="10"/>
                      <w:szCs w:val="21"/>
                    </w:rPr>
                    <w:t>符合</w:t>
                  </w:r>
                </w:p>
              </w:tc>
            </w:tr>
            <w:tr w14:paraId="3E4A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89" w:type="dxa"/>
                  <w:vAlign w:val="center"/>
                </w:tcPr>
                <w:p w14:paraId="2C95CD41">
                  <w:pPr>
                    <w:widowControl/>
                    <w:jc w:val="center"/>
                    <w:textAlignment w:val="center"/>
                    <w:rPr>
                      <w:color w:val="auto"/>
                      <w:spacing w:val="10"/>
                      <w:szCs w:val="21"/>
                    </w:rPr>
                  </w:pPr>
                  <w:r>
                    <w:rPr>
                      <w:rFonts w:hint="eastAsia"/>
                      <w:color w:val="auto"/>
                      <w:spacing w:val="10"/>
                      <w:szCs w:val="21"/>
                    </w:rPr>
                    <w:t>16</w:t>
                  </w:r>
                </w:p>
              </w:tc>
              <w:tc>
                <w:tcPr>
                  <w:tcW w:w="4080" w:type="dxa"/>
                  <w:vAlign w:val="center"/>
                </w:tcPr>
                <w:p w14:paraId="09EFEE83">
                  <w:pPr>
                    <w:autoSpaceDE w:val="0"/>
                    <w:autoSpaceDN w:val="0"/>
                    <w:adjustRightInd w:val="0"/>
                    <w:snapToGrid w:val="0"/>
                    <w:spacing w:line="260" w:lineRule="exact"/>
                    <w:rPr>
                      <w:color w:val="auto"/>
                      <w:spacing w:val="10"/>
                      <w:szCs w:val="21"/>
                      <w:lang w:val="zh-CN"/>
                    </w:rPr>
                  </w:pPr>
                  <w:r>
                    <w:rPr>
                      <w:rFonts w:hint="eastAsia"/>
                      <w:bCs/>
                      <w:color w:val="auto"/>
                      <w:kern w:val="28"/>
                      <w:szCs w:val="21"/>
                    </w:rPr>
                    <w:t>第十八条 禁止新建、扩建不符合国家产能置换要求的严重过剩产能行业的项目。部门、机构禁止办理相关的土地（海域）供应、能评、环评审批和新增授信支持等业务。</w:t>
                  </w:r>
                </w:p>
              </w:tc>
              <w:tc>
                <w:tcPr>
                  <w:tcW w:w="2640" w:type="dxa"/>
                  <w:vAlign w:val="center"/>
                </w:tcPr>
                <w:p w14:paraId="549DDE65">
                  <w:pPr>
                    <w:widowControl/>
                    <w:jc w:val="center"/>
                    <w:textAlignment w:val="center"/>
                    <w:rPr>
                      <w:color w:val="auto"/>
                      <w:spacing w:val="10"/>
                      <w:szCs w:val="21"/>
                      <w:lang w:val="zh-CN"/>
                    </w:rPr>
                  </w:pPr>
                  <w:r>
                    <w:rPr>
                      <w:rFonts w:hint="eastAsia"/>
                      <w:bCs/>
                      <w:color w:val="auto"/>
                      <w:kern w:val="28"/>
                      <w:szCs w:val="21"/>
                    </w:rPr>
                    <w:t>本项目类别涉及</w:t>
                  </w:r>
                  <w:r>
                    <w:rPr>
                      <w:rFonts w:hint="eastAsia"/>
                      <w:color w:val="auto"/>
                      <w:spacing w:val="10"/>
                      <w:szCs w:val="21"/>
                    </w:rPr>
                    <w:t>塑料家具制造（C2140）</w:t>
                  </w:r>
                  <w:r>
                    <w:rPr>
                      <w:rFonts w:hint="eastAsia"/>
                      <w:bCs/>
                      <w:color w:val="auto"/>
                      <w:kern w:val="28"/>
                      <w:szCs w:val="21"/>
                    </w:rPr>
                    <w:t>，不涉及国家产能置换要求的严重过剩产能行业的项目。</w:t>
                  </w:r>
                </w:p>
              </w:tc>
              <w:tc>
                <w:tcPr>
                  <w:tcW w:w="764" w:type="dxa"/>
                  <w:vAlign w:val="center"/>
                </w:tcPr>
                <w:p w14:paraId="4769BB7B">
                  <w:pPr>
                    <w:widowControl/>
                    <w:jc w:val="center"/>
                    <w:textAlignment w:val="center"/>
                    <w:rPr>
                      <w:color w:val="auto"/>
                      <w:spacing w:val="10"/>
                      <w:szCs w:val="21"/>
                      <w:lang w:val="zh-CN"/>
                    </w:rPr>
                  </w:pPr>
                  <w:r>
                    <w:rPr>
                      <w:rFonts w:hint="eastAsia"/>
                      <w:color w:val="auto"/>
                      <w:spacing w:val="10"/>
                      <w:szCs w:val="21"/>
                    </w:rPr>
                    <w:t>符合</w:t>
                  </w:r>
                </w:p>
              </w:tc>
            </w:tr>
            <w:tr w14:paraId="63D8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41D34F3F">
                  <w:pPr>
                    <w:widowControl/>
                    <w:jc w:val="center"/>
                    <w:textAlignment w:val="center"/>
                    <w:rPr>
                      <w:color w:val="auto"/>
                      <w:spacing w:val="10"/>
                      <w:szCs w:val="21"/>
                    </w:rPr>
                  </w:pPr>
                  <w:r>
                    <w:rPr>
                      <w:rFonts w:hint="eastAsia"/>
                      <w:color w:val="auto"/>
                      <w:spacing w:val="10"/>
                      <w:szCs w:val="21"/>
                    </w:rPr>
                    <w:t>17</w:t>
                  </w:r>
                </w:p>
              </w:tc>
              <w:tc>
                <w:tcPr>
                  <w:tcW w:w="4080" w:type="dxa"/>
                  <w:vAlign w:val="center"/>
                </w:tcPr>
                <w:p w14:paraId="6293FBC7">
                  <w:pPr>
                    <w:autoSpaceDE w:val="0"/>
                    <w:autoSpaceDN w:val="0"/>
                    <w:adjustRightInd w:val="0"/>
                    <w:snapToGrid w:val="0"/>
                    <w:spacing w:line="260" w:lineRule="exact"/>
                    <w:rPr>
                      <w:color w:val="auto"/>
                      <w:spacing w:val="10"/>
                      <w:szCs w:val="21"/>
                      <w:lang w:val="zh-CN"/>
                    </w:rPr>
                  </w:pPr>
                  <w:r>
                    <w:rPr>
                      <w:rFonts w:hint="eastAsia"/>
                      <w:bCs/>
                      <w:color w:val="auto"/>
                      <w:kern w:val="28"/>
                      <w:szCs w:val="21"/>
                    </w:rPr>
                    <w:t>第十九条 禁止新建、扩建不符合要求的高耗能高排放项目。</w:t>
                  </w:r>
                </w:p>
              </w:tc>
              <w:tc>
                <w:tcPr>
                  <w:tcW w:w="2640" w:type="dxa"/>
                  <w:vAlign w:val="center"/>
                </w:tcPr>
                <w:p w14:paraId="622EDD9A">
                  <w:pPr>
                    <w:rPr>
                      <w:color w:val="auto"/>
                      <w:spacing w:val="10"/>
                      <w:szCs w:val="21"/>
                      <w:lang w:val="zh-CN"/>
                    </w:rPr>
                  </w:pPr>
                  <w:r>
                    <w:rPr>
                      <w:rFonts w:hint="eastAsia"/>
                      <w:bCs/>
                      <w:color w:val="auto"/>
                      <w:kern w:val="28"/>
                      <w:szCs w:val="21"/>
                    </w:rPr>
                    <w:t>本项目类别涉及</w:t>
                  </w:r>
                  <w:r>
                    <w:rPr>
                      <w:rFonts w:hint="eastAsia"/>
                      <w:color w:val="auto"/>
                      <w:spacing w:val="10"/>
                      <w:szCs w:val="21"/>
                    </w:rPr>
                    <w:t>塑料家具制造（C2140）</w:t>
                  </w:r>
                  <w:r>
                    <w:rPr>
                      <w:rFonts w:hint="eastAsia"/>
                      <w:bCs/>
                      <w:color w:val="auto"/>
                      <w:kern w:val="28"/>
                      <w:szCs w:val="21"/>
                    </w:rPr>
                    <w:t>，不属于不符合要求的高耗能高排放项目</w:t>
                  </w:r>
                </w:p>
              </w:tc>
              <w:tc>
                <w:tcPr>
                  <w:tcW w:w="764" w:type="dxa"/>
                  <w:vAlign w:val="center"/>
                </w:tcPr>
                <w:p w14:paraId="3AF854C2">
                  <w:pPr>
                    <w:widowControl/>
                    <w:jc w:val="center"/>
                    <w:textAlignment w:val="center"/>
                    <w:rPr>
                      <w:color w:val="auto"/>
                      <w:spacing w:val="10"/>
                      <w:szCs w:val="21"/>
                      <w:lang w:val="zh-CN"/>
                    </w:rPr>
                  </w:pPr>
                  <w:r>
                    <w:rPr>
                      <w:rFonts w:hint="eastAsia"/>
                      <w:color w:val="auto"/>
                      <w:spacing w:val="10"/>
                      <w:szCs w:val="21"/>
                    </w:rPr>
                    <w:t>符合</w:t>
                  </w:r>
                </w:p>
              </w:tc>
            </w:tr>
            <w:tr w14:paraId="0D6C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9" w:type="dxa"/>
                  <w:vAlign w:val="center"/>
                </w:tcPr>
                <w:p w14:paraId="7E2669F4">
                  <w:pPr>
                    <w:widowControl/>
                    <w:jc w:val="center"/>
                    <w:textAlignment w:val="center"/>
                    <w:rPr>
                      <w:color w:val="auto"/>
                      <w:spacing w:val="10"/>
                      <w:szCs w:val="21"/>
                    </w:rPr>
                  </w:pPr>
                  <w:r>
                    <w:rPr>
                      <w:rFonts w:hint="eastAsia"/>
                      <w:color w:val="auto"/>
                      <w:spacing w:val="10"/>
                      <w:szCs w:val="21"/>
                    </w:rPr>
                    <w:t>18</w:t>
                  </w:r>
                </w:p>
              </w:tc>
              <w:tc>
                <w:tcPr>
                  <w:tcW w:w="4080" w:type="dxa"/>
                  <w:vAlign w:val="center"/>
                </w:tcPr>
                <w:p w14:paraId="22BBA6A2">
                  <w:pPr>
                    <w:autoSpaceDE w:val="0"/>
                    <w:autoSpaceDN w:val="0"/>
                    <w:adjustRightInd w:val="0"/>
                    <w:snapToGrid w:val="0"/>
                    <w:spacing w:line="260" w:lineRule="exact"/>
                    <w:rPr>
                      <w:color w:val="auto"/>
                      <w:spacing w:val="10"/>
                      <w:szCs w:val="21"/>
                      <w:lang w:val="zh-CN"/>
                    </w:rPr>
                  </w:pPr>
                  <w:r>
                    <w:rPr>
                      <w:rFonts w:hint="eastAsia"/>
                      <w:bCs/>
                      <w:color w:val="auto"/>
                      <w:kern w:val="28"/>
                      <w:szCs w:val="21"/>
                    </w:rPr>
                    <w:t>第二十条 禁止在水库和河湖等水利工程管理范围内堆放物料，倾倒土、石、矿渣、垃圾等物质。</w:t>
                  </w:r>
                </w:p>
              </w:tc>
              <w:tc>
                <w:tcPr>
                  <w:tcW w:w="2640" w:type="dxa"/>
                  <w:vAlign w:val="center"/>
                </w:tcPr>
                <w:p w14:paraId="13F46B66">
                  <w:pPr>
                    <w:jc w:val="center"/>
                    <w:rPr>
                      <w:color w:val="auto"/>
                      <w:spacing w:val="10"/>
                      <w:szCs w:val="21"/>
                      <w:lang w:val="zh-CN"/>
                    </w:rPr>
                  </w:pPr>
                  <w:r>
                    <w:rPr>
                      <w:rFonts w:hint="eastAsia"/>
                      <w:bCs/>
                      <w:color w:val="auto"/>
                      <w:kern w:val="28"/>
                      <w:szCs w:val="21"/>
                    </w:rPr>
                    <w:t>本项目所在地不涉及水库和河湖等水利工程管理范围。</w:t>
                  </w:r>
                </w:p>
              </w:tc>
              <w:tc>
                <w:tcPr>
                  <w:tcW w:w="764" w:type="dxa"/>
                  <w:vAlign w:val="center"/>
                </w:tcPr>
                <w:p w14:paraId="22C8D3AA">
                  <w:pPr>
                    <w:widowControl/>
                    <w:jc w:val="center"/>
                    <w:textAlignment w:val="center"/>
                    <w:rPr>
                      <w:color w:val="auto"/>
                      <w:spacing w:val="10"/>
                      <w:szCs w:val="21"/>
                      <w:lang w:val="zh-CN"/>
                    </w:rPr>
                  </w:pPr>
                  <w:r>
                    <w:rPr>
                      <w:rFonts w:hint="eastAsia"/>
                      <w:color w:val="auto"/>
                      <w:spacing w:val="10"/>
                      <w:szCs w:val="21"/>
                    </w:rPr>
                    <w:t>符合</w:t>
                  </w:r>
                </w:p>
              </w:tc>
            </w:tr>
          </w:tbl>
          <w:p w14:paraId="2732E423">
            <w:pPr>
              <w:adjustRightInd w:val="0"/>
              <w:snapToGrid w:val="0"/>
              <w:spacing w:before="120" w:beforeLines="50" w:line="360" w:lineRule="auto"/>
              <w:ind w:firstLine="480" w:firstLineChars="200"/>
              <w:rPr>
                <w:color w:val="auto"/>
                <w:sz w:val="24"/>
                <w:szCs w:val="32"/>
              </w:rPr>
            </w:pPr>
            <w:r>
              <w:rPr>
                <w:rFonts w:hint="eastAsia"/>
                <w:color w:val="auto"/>
                <w:sz w:val="24"/>
                <w:szCs w:val="32"/>
              </w:rPr>
              <w:t>综上所述，项目的实施符合《长江经济带发展负面清单指南（试行，2022年版）》浙江省实施细则相关要求。</w:t>
            </w:r>
          </w:p>
          <w:p w14:paraId="6666DFF7">
            <w:pPr>
              <w:numPr>
                <w:ilvl w:val="2"/>
                <w:numId w:val="14"/>
              </w:numPr>
              <w:adjustRightInd w:val="0"/>
              <w:snapToGrid w:val="0"/>
              <w:spacing w:line="360" w:lineRule="auto"/>
              <w:ind w:firstLine="0"/>
              <w:jc w:val="left"/>
              <w:rPr>
                <w:b/>
                <w:color w:val="auto"/>
                <w:kern w:val="0"/>
                <w:sz w:val="24"/>
              </w:rPr>
            </w:pPr>
            <w:r>
              <w:rPr>
                <w:b/>
                <w:color w:val="auto"/>
                <w:kern w:val="0"/>
                <w:sz w:val="24"/>
              </w:rPr>
              <w:t>《湖州市人民政府办公室关于印发湖州市大运河核心监控区国土空间管控细则的通知</w:t>
            </w:r>
            <w:r>
              <w:rPr>
                <w:rFonts w:hint="eastAsia"/>
                <w:b/>
                <w:color w:val="auto"/>
                <w:kern w:val="0"/>
                <w:sz w:val="24"/>
              </w:rPr>
              <w:t>》（湖政办函〔2023〕11号）</w:t>
            </w:r>
            <w:r>
              <w:rPr>
                <w:b/>
                <w:color w:val="auto"/>
                <w:kern w:val="0"/>
                <w:sz w:val="24"/>
              </w:rPr>
              <w:t>符合性分析</w:t>
            </w:r>
          </w:p>
          <w:p w14:paraId="13AAEAFD">
            <w:pPr>
              <w:widowControl/>
              <w:spacing w:line="360" w:lineRule="auto"/>
              <w:ind w:firstLine="480" w:firstLineChars="200"/>
              <w:jc w:val="left"/>
              <w:rPr>
                <w:color w:val="auto"/>
                <w:sz w:val="24"/>
              </w:rPr>
            </w:pPr>
            <w:r>
              <w:rPr>
                <w:color w:val="auto"/>
                <w:sz w:val="24"/>
              </w:rPr>
              <w:t>管控河道：大运河（湖州段）分为运河主河道和拓展河道。其中，运河主河</w:t>
            </w:r>
          </w:p>
          <w:p w14:paraId="1F05A0BD">
            <w:pPr>
              <w:widowControl/>
              <w:spacing w:line="360" w:lineRule="auto"/>
              <w:ind w:firstLine="480" w:firstLineChars="200"/>
              <w:jc w:val="left"/>
              <w:rPr>
                <w:color w:val="auto"/>
                <w:sz w:val="24"/>
              </w:rPr>
            </w:pPr>
            <w:r>
              <w:rPr>
                <w:color w:val="auto"/>
                <w:sz w:val="24"/>
              </w:rPr>
              <w:t>道为頔塘故道，长度约1.6公里；拓展河道为江南运河（中线），长度约43.9公里。管控涉及主河道杭州塘（河道位于杭州市，其核心监控区辐射湖州境内）。</w:t>
            </w:r>
          </w:p>
          <w:p w14:paraId="35F4284F">
            <w:pPr>
              <w:widowControl/>
              <w:spacing w:line="360" w:lineRule="auto"/>
              <w:ind w:firstLine="480" w:firstLineChars="200"/>
              <w:jc w:val="left"/>
              <w:rPr>
                <w:color w:val="auto"/>
                <w:sz w:val="24"/>
              </w:rPr>
            </w:pPr>
            <w:r>
              <w:rPr>
                <w:color w:val="auto"/>
                <w:sz w:val="24"/>
              </w:rPr>
              <w:t>核心监控区范围划定：核心监控区为頔塘故道、杭州塘北岸起始线至同岸终止线距离约2000米范围，总面积约22平方公里。具体范围结合国土空间总体规划划定，并在国土空间详细规划中落实。</w:t>
            </w:r>
          </w:p>
          <w:p w14:paraId="72BB3AA2">
            <w:pPr>
              <w:widowControl/>
              <w:spacing w:line="360" w:lineRule="auto"/>
              <w:ind w:firstLine="480" w:firstLineChars="200"/>
              <w:jc w:val="left"/>
              <w:rPr>
                <w:color w:val="auto"/>
                <w:sz w:val="24"/>
              </w:rPr>
            </w:pPr>
            <w:r>
              <w:rPr>
                <w:color w:val="auto"/>
                <w:sz w:val="24"/>
              </w:rPr>
              <w:t>拓展河道监控区范围界定：拓展河道监控区为江南运河（中线）两岸起始线至同岸终止线距离约1000米范围，总面积约86平方公里。具体范围结合国土空间总体规划划定，并在国土空间详细规划中落实。</w:t>
            </w:r>
          </w:p>
          <w:p w14:paraId="13C55430">
            <w:pPr>
              <w:widowControl/>
              <w:spacing w:line="360" w:lineRule="auto"/>
              <w:ind w:firstLine="480" w:firstLineChars="200"/>
              <w:jc w:val="left"/>
              <w:rPr>
                <w:color w:val="auto"/>
                <w:sz w:val="24"/>
              </w:rPr>
            </w:pPr>
            <w:r>
              <w:rPr>
                <w:color w:val="auto"/>
                <w:sz w:val="24"/>
              </w:rPr>
              <w:t>滨河生态空间范围界定：原则上除城镇建成区外，頔塘故道、杭州塘等主河道两岸起始线至同岸终止线距离约1000米内的范围为滨河生态空间。对于自然条件良好、生态功能突出的河湖滨岸重点区域，滨河生态空间范围可不限于1000米。原则上除城镇建成区外，江南运河（中线）等拓展河道两岸起始线至同岸终止线距离约300米内的范围为滨河生态空间。对于自然条件良好、生态功能突出的河湖滨岸重点区域，滨河生态空间范围可不限于300米。</w:t>
            </w:r>
          </w:p>
          <w:p w14:paraId="143B6851">
            <w:pPr>
              <w:widowControl/>
              <w:spacing w:line="360" w:lineRule="auto"/>
              <w:ind w:firstLine="480" w:firstLineChars="200"/>
              <w:jc w:val="left"/>
              <w:rPr>
                <w:color w:val="auto"/>
                <w:sz w:val="24"/>
              </w:rPr>
            </w:pPr>
            <w:r>
              <w:rPr>
                <w:color w:val="auto"/>
                <w:sz w:val="24"/>
              </w:rPr>
              <w:t>核心监控区实行负面清单管理制度，按照《浙江省大运河核心监控区建设项目准入负面清单》（浙发改社会〔2023〕100号）执行；拓展河道监控区新建项目参照负面清单进行管理，改扩建项目应满足环境保护相关要求。</w:t>
            </w:r>
          </w:p>
          <w:p w14:paraId="461DABB7">
            <w:pPr>
              <w:widowControl/>
              <w:spacing w:line="360" w:lineRule="auto"/>
              <w:ind w:firstLine="480" w:firstLineChars="200"/>
              <w:jc w:val="left"/>
              <w:rPr>
                <w:color w:val="auto"/>
                <w:sz w:val="24"/>
              </w:rPr>
            </w:pPr>
            <w:r>
              <w:rPr>
                <w:color w:val="auto"/>
                <w:sz w:val="24"/>
              </w:rPr>
              <w:t>除符合国土空间规划的村民宅基地、乡村公共设施、教育文化设施和符合保护利用要求的休闲农业、乡村旅游、乡村康养、休闲体育用途以及以划拨方式取得土地使用权的用途外，滨河生态空间严控新增非公益用途的用地，现有工业逐步腾退。</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3"/>
            </w:tblGrid>
            <w:tr w14:paraId="7BC8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3" w:type="dxa"/>
                </w:tcPr>
                <w:p w14:paraId="7B515F79">
                  <w:pPr>
                    <w:pStyle w:val="46"/>
                    <w:rPr>
                      <w:color w:val="auto"/>
                    </w:rPr>
                  </w:pPr>
                  <w:r>
                    <w:rPr>
                      <w:color w:val="auto"/>
                    </w:rPr>
                    <mc:AlternateContent>
                      <mc:Choice Requires="wps">
                        <w:drawing>
                          <wp:anchor distT="0" distB="0" distL="114300" distR="114300" simplePos="0" relativeHeight="251665408" behindDoc="0" locked="0" layoutInCell="1" allowOverlap="1">
                            <wp:simplePos x="0" y="0"/>
                            <wp:positionH relativeFrom="column">
                              <wp:posOffset>2287270</wp:posOffset>
                            </wp:positionH>
                            <wp:positionV relativeFrom="paragraph">
                              <wp:posOffset>1212215</wp:posOffset>
                            </wp:positionV>
                            <wp:extent cx="841375" cy="264795"/>
                            <wp:effectExtent l="705485" t="5080" r="7620" b="4445"/>
                            <wp:wrapNone/>
                            <wp:docPr id="15" name="自选图形 2"/>
                            <wp:cNvGraphicFramePr/>
                            <a:graphic xmlns:a="http://schemas.openxmlformats.org/drawingml/2006/main">
                              <a:graphicData uri="http://schemas.microsoft.com/office/word/2010/wordprocessingShape">
                                <wps:wsp>
                                  <wps:cNvSpPr/>
                                  <wps:spPr>
                                    <a:xfrm>
                                      <a:off x="0" y="0"/>
                                      <a:ext cx="841375" cy="264795"/>
                                    </a:xfrm>
                                    <a:prstGeom prst="wedgeRectCallout">
                                      <a:avLst>
                                        <a:gd name="adj1" fmla="val -129320"/>
                                        <a:gd name="adj2" fmla="val 35611"/>
                                      </a:avLst>
                                    </a:prstGeom>
                                    <a:solidFill>
                                      <a:srgbClr val="FFFF00"/>
                                    </a:solidFill>
                                    <a:ln w="9525" cap="flat" cmpd="sng">
                                      <a:solidFill>
                                        <a:srgbClr val="000000"/>
                                      </a:solidFill>
                                      <a:prstDash val="solid"/>
                                      <a:miter/>
                                      <a:headEnd type="none" w="med" len="med"/>
                                      <a:tailEnd type="none" w="med" len="med"/>
                                    </a:ln>
                                  </wps:spPr>
                                  <wps:txbx>
                                    <w:txbxContent>
                                      <w:p w14:paraId="6EF93808">
                                        <w:pPr>
                                          <w:jc w:val="center"/>
                                        </w:pPr>
                                        <w:r>
                                          <w:rPr>
                                            <w:rFonts w:hint="eastAsia"/>
                                          </w:rPr>
                                          <w:t>本项目</w:t>
                                        </w:r>
                                      </w:p>
                                    </w:txbxContent>
                                  </wps:txbx>
                                  <wps:bodyPr upright="1"/>
                                </wps:wsp>
                              </a:graphicData>
                            </a:graphic>
                          </wp:anchor>
                        </w:drawing>
                      </mc:Choice>
                      <mc:Fallback>
                        <w:pict>
                          <v:shape id="自选图形 2" o:spid="_x0000_s1026" o:spt="61" type="#_x0000_t61" style="position:absolute;left:0pt;margin-left:180.1pt;margin-top:95.45pt;height:20.85pt;width:66.25pt;z-index:251665408;mso-width-relative:page;mso-height-relative:page;" fillcolor="#FFFF00" filled="t" stroked="t" coordsize="21600,21600" o:gfxdata="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&#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ZO/02QAAAAsBAAAPAAAAAAAAAAEAIAAAACIAAABk&#10;cnMvZG93bnJldi54bWxQSwECFAAUAAAACACHTuJAZtQHcj4CAACOBAAADgAAAAAAAAABACAAAAAo&#10;AQAAZHJzL2Uyb0RvYy54bWxQSwUGAAAAAAYABgBZAQAA2AUAAAAA&#10;" adj="-17133,18492">
                            <v:fill on="t" focussize="0,0"/>
                            <v:stroke color="#000000" joinstyle="miter"/>
                            <v:imagedata o:title=""/>
                            <o:lock v:ext="edit" aspectratio="f"/>
                            <v:textbox>
                              <w:txbxContent>
                                <w:p w14:paraId="6EF93808">
                                  <w:pPr>
                                    <w:jc w:val="center"/>
                                  </w:pPr>
                                  <w:r>
                                    <w:rPr>
                                      <w:rFonts w:hint="eastAsia"/>
                                    </w:rPr>
                                    <w:t>本项目</w:t>
                                  </w:r>
                                </w:p>
                              </w:txbxContent>
                            </v:textbox>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868045</wp:posOffset>
                            </wp:positionH>
                            <wp:positionV relativeFrom="paragraph">
                              <wp:posOffset>896620</wp:posOffset>
                            </wp:positionV>
                            <wp:extent cx="1356360" cy="1091565"/>
                            <wp:effectExtent l="4445" t="4445" r="696595" b="1830070"/>
                            <wp:wrapNone/>
                            <wp:docPr id="13" name="自选图形 2"/>
                            <wp:cNvGraphicFramePr/>
                            <a:graphic xmlns:a="http://schemas.openxmlformats.org/drawingml/2006/main">
                              <a:graphicData uri="http://schemas.microsoft.com/office/word/2010/wordprocessingShape">
                                <wps:wsp>
                                  <wps:cNvSpPr/>
                                  <wps:spPr>
                                    <a:xfrm>
                                      <a:off x="0" y="0"/>
                                      <a:ext cx="1356360" cy="1091565"/>
                                    </a:xfrm>
                                    <a:prstGeom prst="wedgeRectCallout">
                                      <a:avLst>
                                        <a:gd name="adj1" fmla="val 98735"/>
                                        <a:gd name="adj2" fmla="val 213525"/>
                                      </a:avLst>
                                    </a:prstGeom>
                                    <a:solidFill>
                                      <a:srgbClr val="FFFFFF"/>
                                    </a:solidFill>
                                    <a:ln w="9525" cap="flat" cmpd="sng">
                                      <a:solidFill>
                                        <a:srgbClr val="000000"/>
                                      </a:solidFill>
                                      <a:prstDash val="solid"/>
                                      <a:miter/>
                                      <a:headEnd type="none" w="med" len="med"/>
                                      <a:tailEnd type="none" w="med" len="med"/>
                                    </a:ln>
                                  </wps:spPr>
                                  <wps:txbx>
                                    <w:txbxContent>
                                      <w:p w14:paraId="723DE970">
                                        <w:r>
                                          <w:drawing>
                                            <wp:inline distT="0" distB="0" distL="114300" distR="114300">
                                              <wp:extent cx="1165860" cy="970915"/>
                                              <wp:effectExtent l="0" t="0" r="762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1165860" cy="970915"/>
                                                      </a:xfrm>
                                                      <a:prstGeom prst="rect">
                                                        <a:avLst/>
                                                      </a:prstGeom>
                                                      <a:noFill/>
                                                      <a:ln>
                                                        <a:noFill/>
                                                      </a:ln>
                                                    </pic:spPr>
                                                  </pic:pic>
                                                </a:graphicData>
                                              </a:graphic>
                                            </wp:inline>
                                          </w:drawing>
                                        </w:r>
                                      </w:p>
                                    </w:txbxContent>
                                  </wps:txbx>
                                  <wps:bodyPr upright="1"/>
                                </wps:wsp>
                              </a:graphicData>
                            </a:graphic>
                          </wp:anchor>
                        </w:drawing>
                      </mc:Choice>
                      <mc:Fallback>
                        <w:pict>
                          <v:shape id="自选图形 2" o:spid="_x0000_s1026" o:spt="61" type="#_x0000_t61" style="position:absolute;left:0pt;margin-left:68.35pt;margin-top:70.6pt;height:85.95pt;width:106.8pt;z-index:251664384;mso-width-relative:page;mso-height-relative:page;" fillcolor="#FFFFFF" filled="t" stroked="t" coordsize="21600,21600" o:gfxdata="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52O1tgAAAALAQAADwAAAAAAAAABACAAAAAiAAAAZHJzL2Rv&#10;d25yZXYueG1sUEsBAhQAFAAAAAgAh07iQK75TS86AgAAjwQAAA4AAAAAAAAAAQAgAAAAJwEAAGRy&#10;cy9lMm9Eb2MueG1sUEsFBgAAAAAGAAYAWQEAANMFAAAAAA==&#10;" adj="32127,56921">
                            <v:fill on="t" focussize="0,0"/>
                            <v:stroke color="#000000" joinstyle="miter"/>
                            <v:imagedata o:title=""/>
                            <o:lock v:ext="edit" aspectratio="f"/>
                            <v:textbox>
                              <w:txbxContent>
                                <w:p w14:paraId="723DE970">
                                  <w:r>
                                    <w:drawing>
                                      <wp:inline distT="0" distB="0" distL="114300" distR="114300">
                                        <wp:extent cx="1165860" cy="970915"/>
                                        <wp:effectExtent l="0" t="0" r="762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1165860" cy="970915"/>
                                                </a:xfrm>
                                                <a:prstGeom prst="rect">
                                                  <a:avLst/>
                                                </a:prstGeom>
                                                <a:noFill/>
                                                <a:ln>
                                                  <a:noFill/>
                                                </a:ln>
                                              </pic:spPr>
                                            </pic:pic>
                                          </a:graphicData>
                                        </a:graphic>
                                      </wp:inline>
                                    </w:drawing>
                                  </w:r>
                                </w:p>
                              </w:txbxContent>
                            </v:textbox>
                          </v:shape>
                        </w:pict>
                      </mc:Fallback>
                    </mc:AlternateContent>
                  </w:r>
                  <w:r>
                    <w:rPr>
                      <w:color w:val="auto"/>
                    </w:rPr>
                    <w:drawing>
                      <wp:inline distT="0" distB="0" distL="114300" distR="114300">
                        <wp:extent cx="5046980" cy="6623050"/>
                        <wp:effectExtent l="0" t="0" r="12700" b="6350"/>
                        <wp:docPr id="10" name="图片 10" descr="南浔区大运河监控区国土空间管控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南浔区大运河监控区国土空间管控示意图"/>
                                <pic:cNvPicPr>
                                  <a:picLocks noChangeAspect="1"/>
                                </pic:cNvPicPr>
                              </pic:nvPicPr>
                              <pic:blipFill>
                                <a:blip r:embed="rId12"/>
                                <a:stretch>
                                  <a:fillRect/>
                                </a:stretch>
                              </pic:blipFill>
                              <pic:spPr>
                                <a:xfrm>
                                  <a:off x="0" y="0"/>
                                  <a:ext cx="5046980" cy="6623050"/>
                                </a:xfrm>
                                <a:prstGeom prst="rect">
                                  <a:avLst/>
                                </a:prstGeom>
                              </pic:spPr>
                            </pic:pic>
                          </a:graphicData>
                        </a:graphic>
                      </wp:inline>
                    </w:drawing>
                  </w:r>
                </w:p>
              </w:tc>
            </w:tr>
          </w:tbl>
          <w:p w14:paraId="594460C9">
            <w:pPr>
              <w:widowControl/>
              <w:spacing w:line="360" w:lineRule="auto"/>
              <w:ind w:firstLine="482" w:firstLineChars="200"/>
              <w:jc w:val="center"/>
              <w:rPr>
                <w:b/>
                <w:bCs/>
                <w:color w:val="auto"/>
                <w:sz w:val="24"/>
              </w:rPr>
            </w:pPr>
            <w:r>
              <w:rPr>
                <w:b/>
                <w:bCs/>
                <w:color w:val="auto"/>
                <w:sz w:val="24"/>
                <w:szCs w:val="32"/>
              </w:rPr>
              <w:t>图1-</w:t>
            </w:r>
            <w:r>
              <w:rPr>
                <w:rFonts w:hint="eastAsia"/>
                <w:b/>
                <w:bCs/>
                <w:color w:val="auto"/>
                <w:sz w:val="24"/>
                <w:szCs w:val="32"/>
              </w:rPr>
              <w:t>2</w:t>
            </w:r>
            <w:r>
              <w:rPr>
                <w:b/>
                <w:bCs/>
                <w:color w:val="auto"/>
                <w:sz w:val="24"/>
                <w:szCs w:val="32"/>
              </w:rPr>
              <w:t xml:space="preserve"> </w:t>
            </w:r>
            <w:r>
              <w:rPr>
                <w:rFonts w:hint="eastAsia"/>
                <w:b/>
                <w:bCs/>
                <w:color w:val="auto"/>
                <w:sz w:val="24"/>
                <w:szCs w:val="32"/>
              </w:rPr>
              <w:t>南浔区大运河监控区国土空间管控示意图</w:t>
            </w:r>
          </w:p>
          <w:p w14:paraId="2F41D676">
            <w:pPr>
              <w:widowControl/>
              <w:spacing w:line="360" w:lineRule="auto"/>
              <w:ind w:firstLine="482" w:firstLineChars="200"/>
              <w:jc w:val="left"/>
              <w:rPr>
                <w:b/>
                <w:bCs/>
                <w:color w:val="auto"/>
                <w:sz w:val="24"/>
              </w:rPr>
            </w:pPr>
            <w:r>
              <w:rPr>
                <w:rFonts w:hint="eastAsia"/>
                <w:b/>
                <w:bCs/>
                <w:color w:val="auto"/>
                <w:sz w:val="24"/>
              </w:rPr>
              <w:t>符合性分析：</w:t>
            </w:r>
            <w:r>
              <w:rPr>
                <w:rFonts w:hint="eastAsia"/>
                <w:color w:val="auto"/>
                <w:sz w:val="24"/>
              </w:rPr>
              <w:t>本项目位于浙江省湖州市南浔区</w:t>
            </w:r>
            <w:r>
              <w:rPr>
                <w:rFonts w:hint="eastAsia"/>
                <w:color w:val="auto"/>
                <w:kern w:val="0"/>
                <w:sz w:val="24"/>
              </w:rPr>
              <w:t>练市镇水口村东堡工业区</w:t>
            </w:r>
            <w:r>
              <w:rPr>
                <w:rFonts w:hint="eastAsia"/>
                <w:color w:val="auto"/>
                <w:sz w:val="24"/>
              </w:rPr>
              <w:t>，不属于核心监控区和拓展河道监控区范围，符合《湖州市大运河核心监控区国土空间管控细则》。</w:t>
            </w:r>
          </w:p>
          <w:p w14:paraId="0BCD45BC">
            <w:pPr>
              <w:numPr>
                <w:ilvl w:val="2"/>
                <w:numId w:val="14"/>
              </w:numPr>
              <w:adjustRightInd w:val="0"/>
              <w:snapToGrid w:val="0"/>
              <w:spacing w:line="360" w:lineRule="auto"/>
              <w:ind w:firstLine="0"/>
              <w:jc w:val="left"/>
              <w:rPr>
                <w:b/>
                <w:color w:val="auto"/>
                <w:kern w:val="0"/>
                <w:sz w:val="24"/>
                <w:lang w:val="zh-CN"/>
              </w:rPr>
            </w:pPr>
            <w:r>
              <w:rPr>
                <w:b/>
                <w:color w:val="auto"/>
                <w:kern w:val="0"/>
                <w:sz w:val="24"/>
              </w:rPr>
              <w:t>《</w:t>
            </w:r>
            <w:r>
              <w:rPr>
                <w:rFonts w:hint="eastAsia"/>
                <w:b/>
                <w:color w:val="auto"/>
                <w:kern w:val="0"/>
                <w:sz w:val="24"/>
              </w:rPr>
              <w:t>大运河（湖州段）遗产保护</w:t>
            </w:r>
            <w:r>
              <w:rPr>
                <w:b/>
                <w:color w:val="auto"/>
                <w:kern w:val="0"/>
                <w:sz w:val="24"/>
              </w:rPr>
              <w:t>》</w:t>
            </w:r>
            <w:r>
              <w:rPr>
                <w:rFonts w:hint="eastAsia"/>
                <w:b/>
                <w:color w:val="auto"/>
                <w:kern w:val="0"/>
                <w:sz w:val="24"/>
              </w:rPr>
              <w:t>相关规范文件</w:t>
            </w:r>
            <w:r>
              <w:rPr>
                <w:b/>
                <w:color w:val="auto"/>
                <w:kern w:val="0"/>
                <w:sz w:val="24"/>
              </w:rPr>
              <w:t>符合性分析</w:t>
            </w:r>
          </w:p>
          <w:p w14:paraId="5CF9011B">
            <w:pPr>
              <w:autoSpaceDE w:val="0"/>
              <w:autoSpaceDN w:val="0"/>
              <w:adjustRightInd w:val="0"/>
              <w:snapToGrid w:val="0"/>
              <w:spacing w:line="360" w:lineRule="auto"/>
              <w:ind w:firstLine="480" w:firstLineChars="200"/>
              <w:rPr>
                <w:color w:val="auto"/>
                <w:sz w:val="24"/>
              </w:rPr>
            </w:pPr>
            <w:r>
              <w:rPr>
                <w:rFonts w:hint="eastAsia"/>
                <w:color w:val="auto"/>
                <w:sz w:val="24"/>
              </w:rPr>
              <w:t>（1）遗产内容</w:t>
            </w:r>
          </w:p>
          <w:p w14:paraId="57AC5168">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《大运河（湖州段）遗产保护规划》遗产构成总表</w:t>
            </w:r>
          </w:p>
          <w:tbl>
            <w:tblPr>
              <w:tblStyle w:val="8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908"/>
              <w:gridCol w:w="470"/>
              <w:gridCol w:w="1267"/>
              <w:gridCol w:w="1202"/>
              <w:gridCol w:w="3331"/>
            </w:tblGrid>
            <w:tr w14:paraId="6127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0" w:type="pct"/>
                  <w:gridSpan w:val="4"/>
                  <w:vAlign w:val="center"/>
                </w:tcPr>
                <w:p w14:paraId="08BBF281">
                  <w:pPr>
                    <w:jc w:val="center"/>
                    <w:rPr>
                      <w:rFonts w:cs="宋体"/>
                      <w:bCs/>
                      <w:color w:val="auto"/>
                      <w:sz w:val="24"/>
                    </w:rPr>
                  </w:pPr>
                  <w:r>
                    <w:rPr>
                      <w:rFonts w:hint="eastAsia" w:cs="宋体"/>
                      <w:bCs/>
                      <w:color w:val="auto"/>
                      <w:kern w:val="28"/>
                      <w:szCs w:val="21"/>
                    </w:rPr>
                    <w:t>遗产类别</w:t>
                  </w:r>
                </w:p>
              </w:tc>
              <w:tc>
                <w:tcPr>
                  <w:tcW w:w="2779" w:type="pct"/>
                  <w:gridSpan w:val="2"/>
                  <w:vAlign w:val="center"/>
                </w:tcPr>
                <w:p w14:paraId="2D52EBAC">
                  <w:pPr>
                    <w:jc w:val="center"/>
                    <w:rPr>
                      <w:rFonts w:cs="宋体"/>
                      <w:bCs/>
                      <w:color w:val="auto"/>
                      <w:sz w:val="24"/>
                    </w:rPr>
                  </w:pPr>
                  <w:r>
                    <w:rPr>
                      <w:rFonts w:hint="eastAsia" w:cs="宋体"/>
                      <w:bCs/>
                      <w:color w:val="auto"/>
                      <w:kern w:val="28"/>
                      <w:szCs w:val="21"/>
                    </w:rPr>
                    <w:t>遗产内容</w:t>
                  </w:r>
                </w:p>
              </w:tc>
            </w:tr>
            <w:tr w14:paraId="2C93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14:paraId="544D3DEA">
                  <w:pPr>
                    <w:jc w:val="center"/>
                    <w:rPr>
                      <w:rFonts w:cs="宋体"/>
                      <w:b/>
                      <w:bCs/>
                      <w:color w:val="auto"/>
                      <w:sz w:val="24"/>
                    </w:rPr>
                  </w:pPr>
                  <w:r>
                    <w:rPr>
                      <w:rFonts w:hint="eastAsia" w:cs="宋体"/>
                      <w:bCs/>
                      <w:color w:val="auto"/>
                      <w:kern w:val="28"/>
                      <w:szCs w:val="21"/>
                    </w:rPr>
                    <w:t>大运河水利工程遗产（16）</w:t>
                  </w:r>
                </w:p>
              </w:tc>
              <w:tc>
                <w:tcPr>
                  <w:tcW w:w="555" w:type="pct"/>
                  <w:vMerge w:val="restart"/>
                  <w:vAlign w:val="center"/>
                </w:tcPr>
                <w:p w14:paraId="324D0D41">
                  <w:pPr>
                    <w:jc w:val="center"/>
                    <w:rPr>
                      <w:rFonts w:cs="宋体"/>
                      <w:b/>
                      <w:bCs/>
                      <w:color w:val="auto"/>
                      <w:sz w:val="24"/>
                    </w:rPr>
                  </w:pPr>
                  <w:r>
                    <w:rPr>
                      <w:rFonts w:hint="eastAsia" w:cs="宋体"/>
                      <w:bCs/>
                      <w:color w:val="auto"/>
                      <w:kern w:val="28"/>
                      <w:szCs w:val="21"/>
                    </w:rPr>
                    <w:t>河道（5）</w:t>
                  </w:r>
                </w:p>
              </w:tc>
              <w:tc>
                <w:tcPr>
                  <w:tcW w:w="288" w:type="pct"/>
                  <w:vMerge w:val="restart"/>
                  <w:vAlign w:val="center"/>
                </w:tcPr>
                <w:p w14:paraId="510248E2">
                  <w:pPr>
                    <w:jc w:val="center"/>
                    <w:rPr>
                      <w:rFonts w:cs="宋体"/>
                      <w:b/>
                      <w:bCs/>
                      <w:color w:val="auto"/>
                      <w:sz w:val="24"/>
                    </w:rPr>
                  </w:pPr>
                  <w:r>
                    <w:rPr>
                      <w:rFonts w:hint="eastAsia" w:cs="宋体"/>
                      <w:bCs/>
                      <w:color w:val="auto"/>
                      <w:kern w:val="28"/>
                      <w:szCs w:val="21"/>
                    </w:rPr>
                    <w:t>大运河河道</w:t>
                  </w:r>
                </w:p>
              </w:tc>
              <w:tc>
                <w:tcPr>
                  <w:tcW w:w="776" w:type="pct"/>
                  <w:vAlign w:val="center"/>
                </w:tcPr>
                <w:p w14:paraId="5FB2F0DF">
                  <w:pPr>
                    <w:jc w:val="center"/>
                    <w:rPr>
                      <w:rFonts w:cs="宋体"/>
                      <w:b/>
                      <w:bCs/>
                      <w:color w:val="auto"/>
                      <w:sz w:val="24"/>
                    </w:rPr>
                  </w:pPr>
                  <w:r>
                    <w:rPr>
                      <w:rFonts w:hint="eastAsia" w:cs="宋体"/>
                      <w:bCs/>
                      <w:color w:val="auto"/>
                      <w:kern w:val="28"/>
                      <w:szCs w:val="21"/>
                    </w:rPr>
                    <w:t>正河（1）</w:t>
                  </w:r>
                </w:p>
              </w:tc>
              <w:tc>
                <w:tcPr>
                  <w:tcW w:w="2779" w:type="pct"/>
                  <w:gridSpan w:val="2"/>
                  <w:vAlign w:val="center"/>
                </w:tcPr>
                <w:p w14:paraId="6ECF94FE">
                  <w:pPr>
                    <w:jc w:val="center"/>
                    <w:rPr>
                      <w:rFonts w:cs="宋体"/>
                      <w:b/>
                      <w:bCs/>
                      <w:color w:val="auto"/>
                      <w:sz w:val="24"/>
                    </w:rPr>
                  </w:pPr>
                  <w:r>
                    <w:rPr>
                      <w:rFonts w:hint="eastAsia" w:cs="宋体"/>
                      <w:bCs/>
                      <w:color w:val="auto"/>
                      <w:kern w:val="28"/>
                      <w:szCs w:val="21"/>
                    </w:rPr>
                    <w:t>江南运河</w:t>
                  </w:r>
                </w:p>
              </w:tc>
            </w:tr>
            <w:tr w14:paraId="5EAF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3CA1B135">
                  <w:pPr>
                    <w:jc w:val="center"/>
                    <w:rPr>
                      <w:rFonts w:cs="宋体"/>
                      <w:b/>
                      <w:bCs/>
                      <w:color w:val="auto"/>
                      <w:sz w:val="24"/>
                    </w:rPr>
                  </w:pPr>
                </w:p>
              </w:tc>
              <w:tc>
                <w:tcPr>
                  <w:tcW w:w="555" w:type="pct"/>
                  <w:vMerge w:val="continue"/>
                  <w:vAlign w:val="center"/>
                </w:tcPr>
                <w:p w14:paraId="22181AB8">
                  <w:pPr>
                    <w:jc w:val="center"/>
                    <w:rPr>
                      <w:rFonts w:cs="宋体"/>
                      <w:b/>
                      <w:bCs/>
                      <w:color w:val="auto"/>
                      <w:sz w:val="24"/>
                    </w:rPr>
                  </w:pPr>
                </w:p>
              </w:tc>
              <w:tc>
                <w:tcPr>
                  <w:tcW w:w="288" w:type="pct"/>
                  <w:vMerge w:val="continue"/>
                  <w:vAlign w:val="center"/>
                </w:tcPr>
                <w:p w14:paraId="11C5BDDE">
                  <w:pPr>
                    <w:jc w:val="center"/>
                    <w:rPr>
                      <w:rFonts w:cs="宋体"/>
                      <w:b/>
                      <w:bCs/>
                      <w:color w:val="auto"/>
                      <w:sz w:val="24"/>
                    </w:rPr>
                  </w:pPr>
                </w:p>
              </w:tc>
              <w:tc>
                <w:tcPr>
                  <w:tcW w:w="776" w:type="pct"/>
                  <w:vAlign w:val="center"/>
                </w:tcPr>
                <w:p w14:paraId="6A11A9E3">
                  <w:pPr>
                    <w:jc w:val="center"/>
                    <w:rPr>
                      <w:rFonts w:cs="宋体"/>
                      <w:b/>
                      <w:bCs/>
                      <w:color w:val="auto"/>
                      <w:sz w:val="24"/>
                    </w:rPr>
                  </w:pPr>
                  <w:r>
                    <w:rPr>
                      <w:rFonts w:hint="eastAsia" w:cs="宋体"/>
                      <w:bCs/>
                      <w:color w:val="auto"/>
                      <w:kern w:val="28"/>
                      <w:szCs w:val="21"/>
                    </w:rPr>
                    <w:t>支线运河（1）</w:t>
                  </w:r>
                </w:p>
              </w:tc>
              <w:tc>
                <w:tcPr>
                  <w:tcW w:w="2779" w:type="pct"/>
                  <w:gridSpan w:val="2"/>
                  <w:vAlign w:val="center"/>
                </w:tcPr>
                <w:p w14:paraId="42AF6B2A">
                  <w:pPr>
                    <w:jc w:val="center"/>
                    <w:rPr>
                      <w:rFonts w:cs="宋体"/>
                      <w:b/>
                      <w:bCs/>
                      <w:color w:val="auto"/>
                      <w:sz w:val="24"/>
                    </w:rPr>
                  </w:pPr>
                  <w:r>
                    <w:rPr>
                      <w:rFonts w:hint="eastAsia" w:cs="宋体"/>
                      <w:bCs/>
                      <w:color w:val="auto"/>
                      <w:kern w:val="28"/>
                      <w:szCs w:val="21"/>
                    </w:rPr>
                    <w:t>頔塘</w:t>
                  </w:r>
                </w:p>
              </w:tc>
            </w:tr>
            <w:tr w14:paraId="09A9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7DA708F2">
                  <w:pPr>
                    <w:jc w:val="center"/>
                    <w:rPr>
                      <w:rFonts w:cs="宋体"/>
                      <w:b/>
                      <w:bCs/>
                      <w:color w:val="auto"/>
                      <w:sz w:val="24"/>
                    </w:rPr>
                  </w:pPr>
                </w:p>
              </w:tc>
              <w:tc>
                <w:tcPr>
                  <w:tcW w:w="555" w:type="pct"/>
                  <w:vMerge w:val="continue"/>
                  <w:vAlign w:val="center"/>
                </w:tcPr>
                <w:p w14:paraId="0C0F2800">
                  <w:pPr>
                    <w:jc w:val="center"/>
                    <w:rPr>
                      <w:rFonts w:cs="宋体"/>
                      <w:b/>
                      <w:bCs/>
                      <w:color w:val="auto"/>
                      <w:sz w:val="24"/>
                    </w:rPr>
                  </w:pPr>
                </w:p>
              </w:tc>
              <w:tc>
                <w:tcPr>
                  <w:tcW w:w="288" w:type="pct"/>
                  <w:vMerge w:val="continue"/>
                  <w:vAlign w:val="center"/>
                </w:tcPr>
                <w:p w14:paraId="3C7E33AF">
                  <w:pPr>
                    <w:jc w:val="center"/>
                    <w:rPr>
                      <w:rFonts w:cs="宋体"/>
                      <w:b/>
                      <w:bCs/>
                      <w:color w:val="auto"/>
                      <w:sz w:val="24"/>
                    </w:rPr>
                  </w:pPr>
                </w:p>
              </w:tc>
              <w:tc>
                <w:tcPr>
                  <w:tcW w:w="776" w:type="pct"/>
                  <w:vAlign w:val="center"/>
                </w:tcPr>
                <w:p w14:paraId="50919671">
                  <w:pPr>
                    <w:jc w:val="center"/>
                    <w:rPr>
                      <w:rFonts w:cs="宋体"/>
                      <w:b/>
                      <w:bCs/>
                      <w:color w:val="auto"/>
                      <w:sz w:val="24"/>
                    </w:rPr>
                  </w:pPr>
                  <w:r>
                    <w:rPr>
                      <w:rFonts w:hint="eastAsia" w:cs="宋体"/>
                      <w:bCs/>
                      <w:color w:val="auto"/>
                      <w:kern w:val="28"/>
                      <w:szCs w:val="21"/>
                    </w:rPr>
                    <w:t>人工引河（1）</w:t>
                  </w:r>
                </w:p>
              </w:tc>
              <w:tc>
                <w:tcPr>
                  <w:tcW w:w="2779" w:type="pct"/>
                  <w:gridSpan w:val="2"/>
                  <w:vAlign w:val="center"/>
                </w:tcPr>
                <w:p w14:paraId="7C454D08">
                  <w:pPr>
                    <w:jc w:val="center"/>
                    <w:rPr>
                      <w:rFonts w:cs="宋体"/>
                      <w:b/>
                      <w:bCs/>
                      <w:color w:val="auto"/>
                      <w:sz w:val="24"/>
                    </w:rPr>
                  </w:pPr>
                  <w:r>
                    <w:rPr>
                      <w:rFonts w:hint="eastAsia" w:cs="宋体"/>
                      <w:bCs/>
                      <w:color w:val="auto"/>
                      <w:kern w:val="28"/>
                      <w:szCs w:val="21"/>
                    </w:rPr>
                    <w:t>太湖溇港（大钱港、濮溇、罗溇、汤溇、幻溇）</w:t>
                  </w:r>
                </w:p>
              </w:tc>
            </w:tr>
            <w:tr w14:paraId="0949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383974ED">
                  <w:pPr>
                    <w:jc w:val="center"/>
                    <w:rPr>
                      <w:rFonts w:cs="宋体"/>
                      <w:b/>
                      <w:bCs/>
                      <w:color w:val="auto"/>
                      <w:sz w:val="24"/>
                    </w:rPr>
                  </w:pPr>
                </w:p>
              </w:tc>
              <w:tc>
                <w:tcPr>
                  <w:tcW w:w="555" w:type="pct"/>
                  <w:vMerge w:val="continue"/>
                  <w:vAlign w:val="center"/>
                </w:tcPr>
                <w:p w14:paraId="0F476EAF">
                  <w:pPr>
                    <w:jc w:val="center"/>
                    <w:rPr>
                      <w:rFonts w:cs="宋体"/>
                      <w:b/>
                      <w:bCs/>
                      <w:color w:val="auto"/>
                      <w:sz w:val="24"/>
                    </w:rPr>
                  </w:pPr>
                </w:p>
              </w:tc>
              <w:tc>
                <w:tcPr>
                  <w:tcW w:w="1065" w:type="pct"/>
                  <w:gridSpan w:val="2"/>
                  <w:vAlign w:val="center"/>
                </w:tcPr>
                <w:p w14:paraId="426DE719">
                  <w:pPr>
                    <w:jc w:val="center"/>
                    <w:rPr>
                      <w:rFonts w:cs="宋体"/>
                      <w:b/>
                      <w:bCs/>
                      <w:color w:val="auto"/>
                      <w:sz w:val="24"/>
                    </w:rPr>
                  </w:pPr>
                  <w:r>
                    <w:rPr>
                      <w:rFonts w:hint="eastAsia" w:cs="宋体"/>
                      <w:bCs/>
                      <w:color w:val="auto"/>
                      <w:kern w:val="28"/>
                      <w:szCs w:val="21"/>
                    </w:rPr>
                    <w:t>城河、内河（1）</w:t>
                  </w:r>
                </w:p>
              </w:tc>
              <w:tc>
                <w:tcPr>
                  <w:tcW w:w="2779" w:type="pct"/>
                  <w:gridSpan w:val="2"/>
                  <w:vAlign w:val="center"/>
                </w:tcPr>
                <w:p w14:paraId="0D47746A">
                  <w:pPr>
                    <w:jc w:val="center"/>
                    <w:rPr>
                      <w:rFonts w:cs="宋体"/>
                      <w:b/>
                      <w:bCs/>
                      <w:color w:val="auto"/>
                      <w:sz w:val="24"/>
                    </w:rPr>
                  </w:pPr>
                  <w:r>
                    <w:rPr>
                      <w:rFonts w:hint="eastAsia" w:cs="宋体"/>
                      <w:bCs/>
                      <w:color w:val="auto"/>
                      <w:kern w:val="28"/>
                      <w:szCs w:val="21"/>
                    </w:rPr>
                    <w:t>頔塘故道、湖州城市河</w:t>
                  </w:r>
                </w:p>
              </w:tc>
            </w:tr>
            <w:tr w14:paraId="1519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6D84BDCD">
                  <w:pPr>
                    <w:jc w:val="center"/>
                    <w:rPr>
                      <w:rFonts w:cs="宋体"/>
                      <w:b/>
                      <w:bCs/>
                      <w:color w:val="auto"/>
                      <w:sz w:val="24"/>
                    </w:rPr>
                  </w:pPr>
                </w:p>
              </w:tc>
              <w:tc>
                <w:tcPr>
                  <w:tcW w:w="555" w:type="pct"/>
                  <w:vAlign w:val="center"/>
                </w:tcPr>
                <w:p w14:paraId="1872553D">
                  <w:pPr>
                    <w:jc w:val="center"/>
                    <w:rPr>
                      <w:rFonts w:cs="宋体"/>
                      <w:b/>
                      <w:bCs/>
                      <w:color w:val="auto"/>
                      <w:sz w:val="24"/>
                    </w:rPr>
                  </w:pPr>
                  <w:r>
                    <w:rPr>
                      <w:rFonts w:hint="eastAsia" w:cs="宋体"/>
                      <w:bCs/>
                      <w:color w:val="auto"/>
                      <w:kern w:val="28"/>
                      <w:szCs w:val="21"/>
                    </w:rPr>
                    <w:t>水源（1）</w:t>
                  </w:r>
                </w:p>
              </w:tc>
              <w:tc>
                <w:tcPr>
                  <w:tcW w:w="1065" w:type="pct"/>
                  <w:gridSpan w:val="2"/>
                  <w:vAlign w:val="center"/>
                </w:tcPr>
                <w:p w14:paraId="753CD10F">
                  <w:pPr>
                    <w:jc w:val="center"/>
                    <w:rPr>
                      <w:rFonts w:cs="宋体"/>
                      <w:b/>
                      <w:bCs/>
                      <w:color w:val="auto"/>
                      <w:sz w:val="24"/>
                    </w:rPr>
                  </w:pPr>
                  <w:r>
                    <w:rPr>
                      <w:rFonts w:hint="eastAsia" w:cs="宋体"/>
                      <w:bCs/>
                      <w:color w:val="auto"/>
                      <w:kern w:val="28"/>
                      <w:szCs w:val="21"/>
                    </w:rPr>
                    <w:t>湖泊、水库（1）</w:t>
                  </w:r>
                </w:p>
              </w:tc>
              <w:tc>
                <w:tcPr>
                  <w:tcW w:w="2779" w:type="pct"/>
                  <w:gridSpan w:val="2"/>
                  <w:vAlign w:val="center"/>
                </w:tcPr>
                <w:p w14:paraId="392D2CBA">
                  <w:pPr>
                    <w:jc w:val="center"/>
                    <w:rPr>
                      <w:rFonts w:cs="宋体"/>
                      <w:b/>
                      <w:bCs/>
                      <w:color w:val="auto"/>
                      <w:sz w:val="24"/>
                    </w:rPr>
                  </w:pPr>
                  <w:r>
                    <w:rPr>
                      <w:rFonts w:hint="eastAsia" w:cs="宋体"/>
                      <w:bCs/>
                      <w:color w:val="auto"/>
                      <w:kern w:val="28"/>
                      <w:szCs w:val="21"/>
                    </w:rPr>
                    <w:t>太湖</w:t>
                  </w:r>
                </w:p>
              </w:tc>
            </w:tr>
            <w:tr w14:paraId="58FC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162350E3">
                  <w:pPr>
                    <w:jc w:val="center"/>
                    <w:rPr>
                      <w:rFonts w:cs="宋体"/>
                      <w:b/>
                      <w:bCs/>
                      <w:color w:val="auto"/>
                      <w:sz w:val="24"/>
                    </w:rPr>
                  </w:pPr>
                </w:p>
              </w:tc>
              <w:tc>
                <w:tcPr>
                  <w:tcW w:w="555" w:type="pct"/>
                  <w:vMerge w:val="restart"/>
                  <w:vAlign w:val="center"/>
                </w:tcPr>
                <w:p w14:paraId="63E2E310">
                  <w:pPr>
                    <w:jc w:val="center"/>
                    <w:rPr>
                      <w:rFonts w:cs="宋体"/>
                      <w:b/>
                      <w:bCs/>
                      <w:color w:val="auto"/>
                      <w:sz w:val="24"/>
                    </w:rPr>
                  </w:pPr>
                  <w:r>
                    <w:rPr>
                      <w:rFonts w:hint="eastAsia" w:cs="宋体"/>
                      <w:bCs/>
                      <w:color w:val="auto"/>
                      <w:kern w:val="28"/>
                      <w:szCs w:val="21"/>
                    </w:rPr>
                    <w:t>交通与漕运工程设施（10）</w:t>
                  </w:r>
                </w:p>
              </w:tc>
              <w:tc>
                <w:tcPr>
                  <w:tcW w:w="1065" w:type="pct"/>
                  <w:gridSpan w:val="2"/>
                  <w:vMerge w:val="restart"/>
                  <w:vAlign w:val="center"/>
                </w:tcPr>
                <w:p w14:paraId="122DCB69">
                  <w:pPr>
                    <w:jc w:val="center"/>
                    <w:rPr>
                      <w:rFonts w:cs="宋体"/>
                      <w:b/>
                      <w:bCs/>
                      <w:color w:val="auto"/>
                      <w:sz w:val="24"/>
                    </w:rPr>
                  </w:pPr>
                  <w:r>
                    <w:rPr>
                      <w:rFonts w:hint="eastAsia" w:cs="宋体"/>
                      <w:bCs/>
                      <w:color w:val="auto"/>
                      <w:kern w:val="28"/>
                      <w:szCs w:val="21"/>
                    </w:rPr>
                    <w:t>古桥系列（6）</w:t>
                  </w:r>
                </w:p>
              </w:tc>
              <w:tc>
                <w:tcPr>
                  <w:tcW w:w="737" w:type="pct"/>
                  <w:vAlign w:val="center"/>
                </w:tcPr>
                <w:p w14:paraId="01E13285">
                  <w:pPr>
                    <w:jc w:val="center"/>
                    <w:rPr>
                      <w:rFonts w:cs="宋体"/>
                      <w:b/>
                      <w:bCs/>
                      <w:color w:val="auto"/>
                      <w:sz w:val="24"/>
                    </w:rPr>
                  </w:pPr>
                  <w:r>
                    <w:rPr>
                      <w:rFonts w:hint="eastAsia" w:cs="宋体"/>
                      <w:bCs/>
                      <w:color w:val="auto"/>
                      <w:kern w:val="28"/>
                      <w:szCs w:val="21"/>
                    </w:rPr>
                    <w:t>代表性古桥（6）</w:t>
                  </w:r>
                </w:p>
              </w:tc>
              <w:tc>
                <w:tcPr>
                  <w:tcW w:w="2041" w:type="pct"/>
                  <w:vAlign w:val="center"/>
                </w:tcPr>
                <w:p w14:paraId="375BD4B6">
                  <w:pPr>
                    <w:jc w:val="center"/>
                    <w:rPr>
                      <w:rFonts w:cs="宋体"/>
                      <w:b/>
                      <w:bCs/>
                      <w:color w:val="auto"/>
                      <w:sz w:val="24"/>
                    </w:rPr>
                  </w:pPr>
                  <w:r>
                    <w:rPr>
                      <w:rFonts w:hint="eastAsia" w:cs="宋体"/>
                      <w:bCs/>
                      <w:color w:val="auto"/>
                      <w:kern w:val="28"/>
                      <w:szCs w:val="21"/>
                    </w:rPr>
                    <w:t>潮音桥、洪济桥、通津桥、晟舍塘桥、圣济桥、双林三桥</w:t>
                  </w:r>
                </w:p>
              </w:tc>
            </w:tr>
            <w:tr w14:paraId="57C7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14:paraId="588CBE40">
                  <w:pPr>
                    <w:jc w:val="center"/>
                    <w:rPr>
                      <w:rFonts w:cs="宋体"/>
                      <w:b/>
                      <w:bCs/>
                      <w:color w:val="auto"/>
                      <w:sz w:val="24"/>
                    </w:rPr>
                  </w:pPr>
                </w:p>
              </w:tc>
              <w:tc>
                <w:tcPr>
                  <w:tcW w:w="555" w:type="pct"/>
                  <w:vMerge w:val="continue"/>
                  <w:vAlign w:val="center"/>
                </w:tcPr>
                <w:p w14:paraId="2A6B8EFE">
                  <w:pPr>
                    <w:jc w:val="center"/>
                    <w:rPr>
                      <w:rFonts w:cs="宋体"/>
                      <w:b/>
                      <w:bCs/>
                      <w:color w:val="auto"/>
                      <w:sz w:val="24"/>
                    </w:rPr>
                  </w:pPr>
                </w:p>
              </w:tc>
              <w:tc>
                <w:tcPr>
                  <w:tcW w:w="1065" w:type="pct"/>
                  <w:gridSpan w:val="2"/>
                  <w:vMerge w:val="continue"/>
                  <w:vAlign w:val="center"/>
                </w:tcPr>
                <w:p w14:paraId="7B5975C5">
                  <w:pPr>
                    <w:jc w:val="center"/>
                    <w:rPr>
                      <w:rFonts w:cs="宋体"/>
                      <w:b/>
                      <w:bCs/>
                      <w:color w:val="auto"/>
                      <w:sz w:val="24"/>
                    </w:rPr>
                  </w:pPr>
                </w:p>
              </w:tc>
              <w:tc>
                <w:tcPr>
                  <w:tcW w:w="737" w:type="pct"/>
                  <w:vAlign w:val="center"/>
                </w:tcPr>
                <w:p w14:paraId="3207FC0E">
                  <w:pPr>
                    <w:jc w:val="center"/>
                    <w:rPr>
                      <w:rFonts w:cs="宋体"/>
                      <w:b/>
                      <w:bCs/>
                      <w:color w:val="auto"/>
                      <w:sz w:val="24"/>
                    </w:rPr>
                  </w:pPr>
                  <w:r>
                    <w:rPr>
                      <w:rFonts w:hint="eastAsia" w:cs="宋体"/>
                      <w:bCs/>
                      <w:color w:val="auto"/>
                      <w:kern w:val="28"/>
                      <w:szCs w:val="21"/>
                    </w:rPr>
                    <w:t>其它有价值的古桥群（1）</w:t>
                  </w:r>
                </w:p>
              </w:tc>
              <w:tc>
                <w:tcPr>
                  <w:tcW w:w="2041" w:type="pct"/>
                  <w:vAlign w:val="center"/>
                </w:tcPr>
                <w:p w14:paraId="775D77BB">
                  <w:pPr>
                    <w:jc w:val="center"/>
                    <w:rPr>
                      <w:rFonts w:cs="宋体"/>
                      <w:b/>
                      <w:bCs/>
                      <w:color w:val="auto"/>
                      <w:sz w:val="24"/>
                    </w:rPr>
                  </w:pPr>
                  <w:r>
                    <w:rPr>
                      <w:rFonts w:hint="eastAsia" w:cs="宋体"/>
                      <w:bCs/>
                      <w:color w:val="auto"/>
                      <w:kern w:val="28"/>
                      <w:szCs w:val="21"/>
                    </w:rPr>
                    <w:t>小西街石梁桥、永丰桥、长发桥、新民桥、立新桥、朱家桥、锦秀桥、兴隆桥、戴家村桥、菩萨桥、酒仙桥、永昌塘桥、渡难桥、永安桥、龙带桥、清风桥、长春桥、保安桥、得道桥、来凤桥、同兴桥、洗马桥、郝家桥、圣堂桥、芳广塘桥、太保桥、毓秀桥、高家桥、金济桥、永庆桥、庆云桥等</w:t>
                  </w:r>
                </w:p>
              </w:tc>
            </w:tr>
            <w:tr w14:paraId="7DAF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599" w:type="pct"/>
                  <w:vMerge w:val="continue"/>
                  <w:vAlign w:val="center"/>
                </w:tcPr>
                <w:p w14:paraId="0E5D789B">
                  <w:pPr>
                    <w:jc w:val="center"/>
                    <w:rPr>
                      <w:rFonts w:cs="宋体"/>
                      <w:b/>
                      <w:bCs/>
                      <w:color w:val="auto"/>
                      <w:sz w:val="24"/>
                    </w:rPr>
                  </w:pPr>
                </w:p>
              </w:tc>
              <w:tc>
                <w:tcPr>
                  <w:tcW w:w="555" w:type="pct"/>
                  <w:vMerge w:val="continue"/>
                  <w:vAlign w:val="center"/>
                </w:tcPr>
                <w:p w14:paraId="32E88A82">
                  <w:pPr>
                    <w:jc w:val="center"/>
                    <w:rPr>
                      <w:rFonts w:cs="宋体"/>
                      <w:b/>
                      <w:bCs/>
                      <w:color w:val="auto"/>
                      <w:sz w:val="24"/>
                    </w:rPr>
                  </w:pPr>
                </w:p>
              </w:tc>
              <w:tc>
                <w:tcPr>
                  <w:tcW w:w="1065" w:type="pct"/>
                  <w:gridSpan w:val="2"/>
                  <w:vAlign w:val="center"/>
                </w:tcPr>
                <w:p w14:paraId="1E16598C">
                  <w:pPr>
                    <w:jc w:val="center"/>
                    <w:rPr>
                      <w:rFonts w:cs="宋体"/>
                      <w:b/>
                      <w:bCs/>
                      <w:color w:val="auto"/>
                      <w:sz w:val="24"/>
                    </w:rPr>
                  </w:pPr>
                  <w:r>
                    <w:rPr>
                      <w:rFonts w:hint="eastAsia" w:cs="宋体"/>
                      <w:bCs/>
                      <w:color w:val="auto"/>
                      <w:kern w:val="28"/>
                      <w:szCs w:val="21"/>
                    </w:rPr>
                    <w:t>码头（3）</w:t>
                  </w:r>
                </w:p>
              </w:tc>
              <w:tc>
                <w:tcPr>
                  <w:tcW w:w="2779" w:type="pct"/>
                  <w:gridSpan w:val="2"/>
                  <w:vAlign w:val="center"/>
                </w:tcPr>
                <w:p w14:paraId="5A760BCD">
                  <w:pPr>
                    <w:jc w:val="center"/>
                    <w:rPr>
                      <w:rFonts w:cs="宋体"/>
                      <w:b/>
                      <w:bCs/>
                      <w:color w:val="auto"/>
                      <w:sz w:val="24"/>
                    </w:rPr>
                  </w:pPr>
                  <w:r>
                    <w:rPr>
                      <w:rFonts w:hint="eastAsia" w:cs="宋体"/>
                      <w:bCs/>
                      <w:color w:val="auto"/>
                      <w:kern w:val="28"/>
                      <w:szCs w:val="21"/>
                    </w:rPr>
                    <w:t>南浔客运码头、练市粮库码头、新市镇古码头</w:t>
                  </w:r>
                </w:p>
              </w:tc>
            </w:tr>
            <w:tr w14:paraId="027E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restart"/>
                  <w:vAlign w:val="center"/>
                </w:tcPr>
                <w:p w14:paraId="5532670B">
                  <w:pPr>
                    <w:jc w:val="center"/>
                    <w:rPr>
                      <w:rFonts w:cs="宋体"/>
                      <w:bCs/>
                      <w:color w:val="auto"/>
                      <w:kern w:val="28"/>
                      <w:szCs w:val="21"/>
                    </w:rPr>
                  </w:pPr>
                  <w:r>
                    <w:rPr>
                      <w:rFonts w:hint="eastAsia" w:cs="宋体"/>
                      <w:bCs/>
                      <w:color w:val="auto"/>
                      <w:kern w:val="28"/>
                      <w:szCs w:val="21"/>
                    </w:rPr>
                    <w:t>大运河城镇和村落（4）</w:t>
                  </w:r>
                </w:p>
              </w:tc>
              <w:tc>
                <w:tcPr>
                  <w:tcW w:w="1065" w:type="pct"/>
                  <w:gridSpan w:val="2"/>
                  <w:vMerge w:val="restart"/>
                  <w:vAlign w:val="center"/>
                </w:tcPr>
                <w:p w14:paraId="09A7E359">
                  <w:pPr>
                    <w:jc w:val="center"/>
                    <w:rPr>
                      <w:rFonts w:cs="宋体"/>
                      <w:bCs/>
                      <w:color w:val="auto"/>
                      <w:kern w:val="28"/>
                      <w:szCs w:val="21"/>
                    </w:rPr>
                  </w:pPr>
                  <w:r>
                    <w:rPr>
                      <w:rFonts w:hint="eastAsia" w:cs="宋体"/>
                      <w:bCs/>
                      <w:color w:val="auto"/>
                      <w:kern w:val="28"/>
                      <w:szCs w:val="21"/>
                    </w:rPr>
                    <w:t>大运河城镇（</w:t>
                  </w:r>
                  <w:r>
                    <w:rPr>
                      <w:rFonts w:cs="宋体"/>
                      <w:bCs/>
                      <w:color w:val="auto"/>
                      <w:kern w:val="28"/>
                      <w:szCs w:val="21"/>
                    </w:rPr>
                    <w:t>4</w:t>
                  </w:r>
                  <w:r>
                    <w:rPr>
                      <w:rFonts w:hint="eastAsia" w:cs="宋体"/>
                      <w:bCs/>
                      <w:color w:val="auto"/>
                      <w:kern w:val="28"/>
                      <w:szCs w:val="21"/>
                    </w:rPr>
                    <w:t>）</w:t>
                  </w:r>
                </w:p>
              </w:tc>
              <w:tc>
                <w:tcPr>
                  <w:tcW w:w="737" w:type="pct"/>
                  <w:vMerge w:val="restart"/>
                  <w:vAlign w:val="center"/>
                </w:tcPr>
                <w:p w14:paraId="08C9725A">
                  <w:pPr>
                    <w:jc w:val="center"/>
                    <w:rPr>
                      <w:rFonts w:cs="宋体"/>
                      <w:bCs/>
                      <w:color w:val="auto"/>
                      <w:kern w:val="28"/>
                      <w:szCs w:val="21"/>
                    </w:rPr>
                  </w:pPr>
                  <w:r>
                    <w:rPr>
                      <w:rFonts w:hint="eastAsia" w:cs="宋体"/>
                      <w:bCs/>
                      <w:color w:val="auto"/>
                      <w:kern w:val="28"/>
                      <w:szCs w:val="21"/>
                    </w:rPr>
                    <w:t>湖州城</w:t>
                  </w:r>
                </w:p>
              </w:tc>
              <w:tc>
                <w:tcPr>
                  <w:tcW w:w="2041" w:type="pct"/>
                  <w:vAlign w:val="center"/>
                </w:tcPr>
                <w:p w14:paraId="33348FD5">
                  <w:pPr>
                    <w:jc w:val="center"/>
                    <w:rPr>
                      <w:rFonts w:cs="宋体"/>
                      <w:bCs/>
                      <w:color w:val="auto"/>
                      <w:kern w:val="28"/>
                      <w:szCs w:val="21"/>
                    </w:rPr>
                  </w:pPr>
                  <w:r>
                    <w:rPr>
                      <w:rFonts w:hint="eastAsia" w:cs="宋体"/>
                      <w:bCs/>
                      <w:color w:val="auto"/>
                      <w:kern w:val="28"/>
                      <w:szCs w:val="21"/>
                    </w:rPr>
                    <w:t>小西街历史文化街区、衣裳街历史文化街区</w:t>
                  </w:r>
                </w:p>
              </w:tc>
            </w:tr>
            <w:tr w14:paraId="7757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50D30082">
                  <w:pPr>
                    <w:jc w:val="center"/>
                    <w:rPr>
                      <w:rFonts w:cs="宋体"/>
                      <w:b/>
                      <w:bCs/>
                      <w:color w:val="auto"/>
                      <w:sz w:val="24"/>
                    </w:rPr>
                  </w:pPr>
                </w:p>
              </w:tc>
              <w:tc>
                <w:tcPr>
                  <w:tcW w:w="1065" w:type="pct"/>
                  <w:gridSpan w:val="2"/>
                  <w:vMerge w:val="continue"/>
                  <w:vAlign w:val="center"/>
                </w:tcPr>
                <w:p w14:paraId="49C7627B">
                  <w:pPr>
                    <w:jc w:val="center"/>
                    <w:rPr>
                      <w:rFonts w:cs="宋体"/>
                      <w:bCs/>
                      <w:color w:val="auto"/>
                      <w:kern w:val="28"/>
                      <w:szCs w:val="21"/>
                    </w:rPr>
                  </w:pPr>
                </w:p>
              </w:tc>
              <w:tc>
                <w:tcPr>
                  <w:tcW w:w="737" w:type="pct"/>
                  <w:vMerge w:val="continue"/>
                  <w:vAlign w:val="center"/>
                </w:tcPr>
                <w:p w14:paraId="0119DEB5">
                  <w:pPr>
                    <w:jc w:val="center"/>
                    <w:rPr>
                      <w:rFonts w:cs="宋体"/>
                      <w:bCs/>
                      <w:color w:val="auto"/>
                      <w:kern w:val="28"/>
                      <w:szCs w:val="21"/>
                    </w:rPr>
                  </w:pPr>
                </w:p>
              </w:tc>
              <w:tc>
                <w:tcPr>
                  <w:tcW w:w="2041" w:type="pct"/>
                  <w:vAlign w:val="center"/>
                </w:tcPr>
                <w:p w14:paraId="588166F2">
                  <w:pPr>
                    <w:jc w:val="center"/>
                    <w:rPr>
                      <w:rFonts w:cs="宋体"/>
                      <w:bCs/>
                      <w:color w:val="auto"/>
                      <w:kern w:val="28"/>
                      <w:szCs w:val="21"/>
                    </w:rPr>
                  </w:pPr>
                  <w:r>
                    <w:rPr>
                      <w:rFonts w:hint="eastAsia" w:cs="宋体"/>
                      <w:bCs/>
                      <w:color w:val="auto"/>
                      <w:kern w:val="28"/>
                      <w:szCs w:val="21"/>
                    </w:rPr>
                    <w:t>潘公桥、永安桥、霅溪馆旧址、清莲阁茶楼旧址、仁济善堂</w:t>
                  </w:r>
                </w:p>
              </w:tc>
            </w:tr>
            <w:tr w14:paraId="2F91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68E56957">
                  <w:pPr>
                    <w:jc w:val="center"/>
                    <w:rPr>
                      <w:rFonts w:cs="宋体"/>
                      <w:b/>
                      <w:bCs/>
                      <w:color w:val="auto"/>
                      <w:sz w:val="24"/>
                    </w:rPr>
                  </w:pPr>
                </w:p>
              </w:tc>
              <w:tc>
                <w:tcPr>
                  <w:tcW w:w="1065" w:type="pct"/>
                  <w:gridSpan w:val="2"/>
                  <w:vMerge w:val="continue"/>
                  <w:vAlign w:val="center"/>
                </w:tcPr>
                <w:p w14:paraId="44070CA4">
                  <w:pPr>
                    <w:jc w:val="center"/>
                    <w:rPr>
                      <w:rFonts w:cs="宋体"/>
                      <w:bCs/>
                      <w:color w:val="auto"/>
                      <w:kern w:val="28"/>
                      <w:szCs w:val="21"/>
                    </w:rPr>
                  </w:pPr>
                </w:p>
              </w:tc>
              <w:tc>
                <w:tcPr>
                  <w:tcW w:w="737" w:type="pct"/>
                  <w:vMerge w:val="restart"/>
                  <w:vAlign w:val="center"/>
                </w:tcPr>
                <w:p w14:paraId="5D7CC7D8">
                  <w:pPr>
                    <w:jc w:val="center"/>
                    <w:rPr>
                      <w:rFonts w:cs="宋体"/>
                      <w:bCs/>
                      <w:color w:val="auto"/>
                      <w:kern w:val="28"/>
                      <w:szCs w:val="21"/>
                    </w:rPr>
                  </w:pPr>
                  <w:r>
                    <w:rPr>
                      <w:rFonts w:hint="eastAsia" w:cs="宋体"/>
                      <w:bCs/>
                      <w:color w:val="auto"/>
                      <w:kern w:val="28"/>
                      <w:szCs w:val="21"/>
                    </w:rPr>
                    <w:t>南浔镇</w:t>
                  </w:r>
                </w:p>
              </w:tc>
              <w:tc>
                <w:tcPr>
                  <w:tcW w:w="2041" w:type="pct"/>
                  <w:vAlign w:val="center"/>
                </w:tcPr>
                <w:p w14:paraId="170B8243">
                  <w:pPr>
                    <w:jc w:val="center"/>
                    <w:rPr>
                      <w:rFonts w:cs="宋体"/>
                      <w:bCs/>
                      <w:color w:val="auto"/>
                      <w:kern w:val="28"/>
                      <w:szCs w:val="21"/>
                    </w:rPr>
                  </w:pPr>
                  <w:r>
                    <w:rPr>
                      <w:rFonts w:hint="eastAsia" w:cs="宋体"/>
                      <w:bCs/>
                      <w:color w:val="auto"/>
                      <w:kern w:val="28"/>
                      <w:szCs w:val="21"/>
                    </w:rPr>
                    <w:t>南浔镇历史文化街区</w:t>
                  </w:r>
                </w:p>
              </w:tc>
            </w:tr>
            <w:tr w14:paraId="378B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55" w:type="pct"/>
                  <w:gridSpan w:val="2"/>
                  <w:vMerge w:val="continue"/>
                  <w:vAlign w:val="center"/>
                </w:tcPr>
                <w:p w14:paraId="68E72E6E">
                  <w:pPr>
                    <w:jc w:val="center"/>
                    <w:rPr>
                      <w:rFonts w:cs="宋体"/>
                      <w:b/>
                      <w:bCs/>
                      <w:color w:val="auto"/>
                      <w:sz w:val="24"/>
                    </w:rPr>
                  </w:pPr>
                </w:p>
              </w:tc>
              <w:tc>
                <w:tcPr>
                  <w:tcW w:w="1065" w:type="pct"/>
                  <w:gridSpan w:val="2"/>
                  <w:vMerge w:val="continue"/>
                  <w:vAlign w:val="center"/>
                </w:tcPr>
                <w:p w14:paraId="07ED214F">
                  <w:pPr>
                    <w:jc w:val="center"/>
                    <w:rPr>
                      <w:rFonts w:cs="宋体"/>
                      <w:bCs/>
                      <w:color w:val="auto"/>
                      <w:kern w:val="28"/>
                      <w:szCs w:val="21"/>
                    </w:rPr>
                  </w:pPr>
                </w:p>
              </w:tc>
              <w:tc>
                <w:tcPr>
                  <w:tcW w:w="737" w:type="pct"/>
                  <w:vMerge w:val="continue"/>
                  <w:vAlign w:val="center"/>
                </w:tcPr>
                <w:p w14:paraId="2F238408">
                  <w:pPr>
                    <w:jc w:val="center"/>
                    <w:rPr>
                      <w:rFonts w:cs="宋体"/>
                      <w:bCs/>
                      <w:color w:val="auto"/>
                      <w:kern w:val="28"/>
                      <w:szCs w:val="21"/>
                    </w:rPr>
                  </w:pPr>
                </w:p>
              </w:tc>
              <w:tc>
                <w:tcPr>
                  <w:tcW w:w="2041" w:type="pct"/>
                  <w:vAlign w:val="center"/>
                </w:tcPr>
                <w:p w14:paraId="008CE075">
                  <w:pPr>
                    <w:jc w:val="center"/>
                    <w:rPr>
                      <w:rFonts w:cs="宋体"/>
                      <w:bCs/>
                      <w:color w:val="auto"/>
                      <w:kern w:val="28"/>
                      <w:szCs w:val="21"/>
                    </w:rPr>
                  </w:pPr>
                  <w:r>
                    <w:rPr>
                      <w:rFonts w:hint="eastAsia" w:cs="宋体"/>
                      <w:bCs/>
                      <w:color w:val="auto"/>
                      <w:kern w:val="28"/>
                      <w:szCs w:val="21"/>
                    </w:rPr>
                    <w:t>南浔商会旧址、南浔丝业会馆、南浔天主教堂</w:t>
                  </w:r>
                </w:p>
              </w:tc>
            </w:tr>
            <w:tr w14:paraId="7EA7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7F0BDEF6">
                  <w:pPr>
                    <w:jc w:val="center"/>
                    <w:rPr>
                      <w:rFonts w:cs="宋体"/>
                      <w:b/>
                      <w:bCs/>
                      <w:color w:val="auto"/>
                      <w:sz w:val="24"/>
                    </w:rPr>
                  </w:pPr>
                </w:p>
              </w:tc>
              <w:tc>
                <w:tcPr>
                  <w:tcW w:w="1065" w:type="pct"/>
                  <w:gridSpan w:val="2"/>
                  <w:vMerge w:val="continue"/>
                  <w:vAlign w:val="center"/>
                </w:tcPr>
                <w:p w14:paraId="05757B68">
                  <w:pPr>
                    <w:jc w:val="center"/>
                    <w:rPr>
                      <w:rFonts w:cs="宋体"/>
                      <w:bCs/>
                      <w:color w:val="auto"/>
                      <w:kern w:val="28"/>
                      <w:szCs w:val="21"/>
                    </w:rPr>
                  </w:pPr>
                </w:p>
              </w:tc>
              <w:tc>
                <w:tcPr>
                  <w:tcW w:w="737" w:type="pct"/>
                  <w:vMerge w:val="restart"/>
                  <w:vAlign w:val="center"/>
                </w:tcPr>
                <w:p w14:paraId="070BF7F6">
                  <w:pPr>
                    <w:jc w:val="center"/>
                    <w:rPr>
                      <w:rFonts w:cs="宋体"/>
                      <w:bCs/>
                      <w:color w:val="auto"/>
                      <w:kern w:val="28"/>
                      <w:szCs w:val="21"/>
                    </w:rPr>
                  </w:pPr>
                  <w:r>
                    <w:rPr>
                      <w:rFonts w:hint="eastAsia" w:cs="宋体"/>
                      <w:bCs/>
                      <w:color w:val="auto"/>
                      <w:kern w:val="28"/>
                      <w:szCs w:val="21"/>
                    </w:rPr>
                    <w:t>新市镇</w:t>
                  </w:r>
                </w:p>
              </w:tc>
              <w:tc>
                <w:tcPr>
                  <w:tcW w:w="2041" w:type="pct"/>
                  <w:vAlign w:val="center"/>
                </w:tcPr>
                <w:p w14:paraId="71344E2A">
                  <w:pPr>
                    <w:jc w:val="center"/>
                    <w:rPr>
                      <w:rFonts w:cs="宋体"/>
                      <w:bCs/>
                      <w:color w:val="auto"/>
                      <w:kern w:val="28"/>
                      <w:szCs w:val="21"/>
                    </w:rPr>
                  </w:pPr>
                  <w:r>
                    <w:rPr>
                      <w:rFonts w:hint="eastAsia" w:cs="宋体"/>
                      <w:bCs/>
                      <w:color w:val="auto"/>
                      <w:kern w:val="28"/>
                      <w:szCs w:val="21"/>
                    </w:rPr>
                    <w:t>西河口片历史文化街区</w:t>
                  </w:r>
                </w:p>
              </w:tc>
            </w:tr>
            <w:tr w14:paraId="1E7F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7C916426">
                  <w:pPr>
                    <w:jc w:val="center"/>
                    <w:rPr>
                      <w:rFonts w:cs="宋体"/>
                      <w:b/>
                      <w:bCs/>
                      <w:color w:val="auto"/>
                      <w:sz w:val="24"/>
                    </w:rPr>
                  </w:pPr>
                </w:p>
              </w:tc>
              <w:tc>
                <w:tcPr>
                  <w:tcW w:w="1065" w:type="pct"/>
                  <w:gridSpan w:val="2"/>
                  <w:vMerge w:val="continue"/>
                  <w:vAlign w:val="center"/>
                </w:tcPr>
                <w:p w14:paraId="70BC0D0C">
                  <w:pPr>
                    <w:jc w:val="center"/>
                    <w:rPr>
                      <w:rFonts w:cs="宋体"/>
                      <w:bCs/>
                      <w:color w:val="auto"/>
                      <w:kern w:val="28"/>
                      <w:szCs w:val="21"/>
                    </w:rPr>
                  </w:pPr>
                </w:p>
              </w:tc>
              <w:tc>
                <w:tcPr>
                  <w:tcW w:w="737" w:type="pct"/>
                  <w:vMerge w:val="continue"/>
                  <w:vAlign w:val="center"/>
                </w:tcPr>
                <w:p w14:paraId="794D8050">
                  <w:pPr>
                    <w:jc w:val="center"/>
                    <w:rPr>
                      <w:rFonts w:cs="宋体"/>
                      <w:bCs/>
                      <w:color w:val="auto"/>
                      <w:kern w:val="28"/>
                      <w:szCs w:val="21"/>
                    </w:rPr>
                  </w:pPr>
                </w:p>
              </w:tc>
              <w:tc>
                <w:tcPr>
                  <w:tcW w:w="2041" w:type="pct"/>
                  <w:vAlign w:val="center"/>
                </w:tcPr>
                <w:p w14:paraId="2D40801D">
                  <w:pPr>
                    <w:jc w:val="center"/>
                    <w:rPr>
                      <w:rFonts w:cs="宋体"/>
                      <w:bCs/>
                      <w:color w:val="auto"/>
                      <w:kern w:val="28"/>
                      <w:szCs w:val="21"/>
                    </w:rPr>
                  </w:pPr>
                  <w:r>
                    <w:rPr>
                      <w:rFonts w:hint="eastAsia" w:cs="宋体"/>
                      <w:bCs/>
                      <w:color w:val="auto"/>
                      <w:kern w:val="28"/>
                      <w:szCs w:val="21"/>
                    </w:rPr>
                    <w:t>望仙桥、太平桥、广福桥、驾仙桥、德源当、杨元新酱园</w:t>
                  </w:r>
                </w:p>
              </w:tc>
            </w:tr>
            <w:tr w14:paraId="4EBB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2224B2FC">
                  <w:pPr>
                    <w:jc w:val="center"/>
                    <w:rPr>
                      <w:rFonts w:cs="宋体"/>
                      <w:b/>
                      <w:bCs/>
                      <w:color w:val="auto"/>
                      <w:sz w:val="24"/>
                    </w:rPr>
                  </w:pPr>
                </w:p>
              </w:tc>
              <w:tc>
                <w:tcPr>
                  <w:tcW w:w="1065" w:type="pct"/>
                  <w:gridSpan w:val="2"/>
                  <w:vMerge w:val="continue"/>
                  <w:vAlign w:val="center"/>
                </w:tcPr>
                <w:p w14:paraId="74F31F85">
                  <w:pPr>
                    <w:jc w:val="center"/>
                    <w:rPr>
                      <w:rFonts w:cs="宋体"/>
                      <w:bCs/>
                      <w:color w:val="auto"/>
                      <w:kern w:val="28"/>
                      <w:szCs w:val="21"/>
                    </w:rPr>
                  </w:pPr>
                </w:p>
              </w:tc>
              <w:tc>
                <w:tcPr>
                  <w:tcW w:w="737" w:type="pct"/>
                  <w:vMerge w:val="restart"/>
                  <w:vAlign w:val="center"/>
                </w:tcPr>
                <w:p w14:paraId="2E0D3771">
                  <w:pPr>
                    <w:jc w:val="center"/>
                    <w:rPr>
                      <w:rFonts w:cs="宋体"/>
                      <w:bCs/>
                      <w:color w:val="auto"/>
                      <w:kern w:val="28"/>
                      <w:szCs w:val="21"/>
                    </w:rPr>
                  </w:pPr>
                  <w:r>
                    <w:rPr>
                      <w:rFonts w:hint="eastAsia" w:cs="宋体"/>
                      <w:bCs/>
                      <w:color w:val="auto"/>
                      <w:kern w:val="28"/>
                      <w:szCs w:val="21"/>
                    </w:rPr>
                    <w:t>练市镇</w:t>
                  </w:r>
                </w:p>
              </w:tc>
              <w:tc>
                <w:tcPr>
                  <w:tcW w:w="2041" w:type="pct"/>
                  <w:vAlign w:val="center"/>
                </w:tcPr>
                <w:p w14:paraId="4C14A2EC">
                  <w:pPr>
                    <w:jc w:val="center"/>
                    <w:rPr>
                      <w:rFonts w:cs="宋体"/>
                      <w:bCs/>
                      <w:color w:val="auto"/>
                      <w:kern w:val="28"/>
                      <w:szCs w:val="21"/>
                    </w:rPr>
                  </w:pPr>
                  <w:r>
                    <w:rPr>
                      <w:rFonts w:hint="eastAsia" w:cs="宋体"/>
                      <w:bCs/>
                      <w:color w:val="auto"/>
                      <w:kern w:val="28"/>
                      <w:szCs w:val="21"/>
                    </w:rPr>
                    <w:t>练市镇历史文化街区</w:t>
                  </w:r>
                </w:p>
              </w:tc>
            </w:tr>
            <w:tr w14:paraId="62CD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78D7AEFF">
                  <w:pPr>
                    <w:jc w:val="center"/>
                    <w:rPr>
                      <w:rFonts w:cs="宋体"/>
                      <w:b/>
                      <w:bCs/>
                      <w:color w:val="auto"/>
                      <w:sz w:val="24"/>
                    </w:rPr>
                  </w:pPr>
                </w:p>
              </w:tc>
              <w:tc>
                <w:tcPr>
                  <w:tcW w:w="1065" w:type="pct"/>
                  <w:gridSpan w:val="2"/>
                  <w:vMerge w:val="continue"/>
                  <w:vAlign w:val="center"/>
                </w:tcPr>
                <w:p w14:paraId="056155D7">
                  <w:pPr>
                    <w:jc w:val="center"/>
                    <w:rPr>
                      <w:rFonts w:cs="宋体"/>
                      <w:bCs/>
                      <w:color w:val="auto"/>
                      <w:kern w:val="28"/>
                      <w:szCs w:val="21"/>
                    </w:rPr>
                  </w:pPr>
                </w:p>
              </w:tc>
              <w:tc>
                <w:tcPr>
                  <w:tcW w:w="737" w:type="pct"/>
                  <w:vMerge w:val="continue"/>
                  <w:vAlign w:val="center"/>
                </w:tcPr>
                <w:p w14:paraId="0226CD7C">
                  <w:pPr>
                    <w:jc w:val="center"/>
                    <w:rPr>
                      <w:rFonts w:cs="宋体"/>
                      <w:bCs/>
                      <w:color w:val="auto"/>
                      <w:kern w:val="28"/>
                      <w:szCs w:val="21"/>
                    </w:rPr>
                  </w:pPr>
                </w:p>
              </w:tc>
              <w:tc>
                <w:tcPr>
                  <w:tcW w:w="2041" w:type="pct"/>
                  <w:vAlign w:val="center"/>
                </w:tcPr>
                <w:p w14:paraId="25A5C040">
                  <w:pPr>
                    <w:jc w:val="center"/>
                    <w:rPr>
                      <w:rFonts w:cs="宋体"/>
                      <w:bCs/>
                      <w:color w:val="auto"/>
                      <w:kern w:val="28"/>
                      <w:szCs w:val="21"/>
                    </w:rPr>
                  </w:pPr>
                  <w:r>
                    <w:rPr>
                      <w:rFonts w:hint="eastAsia" w:cs="宋体"/>
                      <w:bCs/>
                      <w:color w:val="auto"/>
                      <w:kern w:val="28"/>
                      <w:szCs w:val="21"/>
                    </w:rPr>
                    <w:t>仁寿桥</w:t>
                  </w:r>
                </w:p>
              </w:tc>
            </w:tr>
            <w:tr w14:paraId="7BEC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55" w:type="pct"/>
                  <w:gridSpan w:val="2"/>
                  <w:vMerge w:val="restart"/>
                  <w:vAlign w:val="center"/>
                </w:tcPr>
                <w:p w14:paraId="73267BF2">
                  <w:pPr>
                    <w:jc w:val="center"/>
                    <w:rPr>
                      <w:rFonts w:cs="宋体"/>
                      <w:bCs/>
                      <w:color w:val="auto"/>
                      <w:kern w:val="28"/>
                      <w:szCs w:val="21"/>
                    </w:rPr>
                  </w:pPr>
                  <w:r>
                    <w:rPr>
                      <w:rFonts w:hint="eastAsia" w:cs="宋体"/>
                      <w:bCs/>
                      <w:color w:val="auto"/>
                      <w:kern w:val="28"/>
                      <w:szCs w:val="21"/>
                    </w:rPr>
                    <w:t>其他大运河物</w:t>
                  </w:r>
                </w:p>
                <w:p w14:paraId="266DD812">
                  <w:pPr>
                    <w:jc w:val="center"/>
                    <w:rPr>
                      <w:rFonts w:cs="宋体"/>
                      <w:bCs/>
                      <w:color w:val="auto"/>
                      <w:kern w:val="28"/>
                      <w:szCs w:val="21"/>
                    </w:rPr>
                  </w:pPr>
                  <w:r>
                    <w:rPr>
                      <w:rFonts w:hint="eastAsia" w:cs="宋体"/>
                      <w:bCs/>
                      <w:color w:val="auto"/>
                      <w:kern w:val="28"/>
                      <w:szCs w:val="21"/>
                    </w:rPr>
                    <w:t>质文化遗产（</w:t>
                  </w:r>
                  <w:r>
                    <w:rPr>
                      <w:rFonts w:cs="宋体"/>
                      <w:bCs/>
                      <w:color w:val="auto"/>
                      <w:kern w:val="28"/>
                      <w:szCs w:val="21"/>
                    </w:rPr>
                    <w:t>6</w:t>
                  </w:r>
                  <w:r>
                    <w:rPr>
                      <w:rFonts w:hint="eastAsia" w:cs="宋体"/>
                      <w:bCs/>
                      <w:color w:val="auto"/>
                      <w:kern w:val="28"/>
                      <w:szCs w:val="21"/>
                    </w:rPr>
                    <w:t>）</w:t>
                  </w:r>
                </w:p>
              </w:tc>
              <w:tc>
                <w:tcPr>
                  <w:tcW w:w="1065" w:type="pct"/>
                  <w:gridSpan w:val="2"/>
                  <w:vAlign w:val="center"/>
                </w:tcPr>
                <w:p w14:paraId="5F06E668">
                  <w:pPr>
                    <w:jc w:val="center"/>
                    <w:rPr>
                      <w:rFonts w:cs="宋体"/>
                      <w:bCs/>
                      <w:color w:val="auto"/>
                      <w:kern w:val="28"/>
                      <w:szCs w:val="21"/>
                    </w:rPr>
                  </w:pPr>
                  <w:r>
                    <w:rPr>
                      <w:rFonts w:hint="eastAsia" w:cs="宋体"/>
                      <w:bCs/>
                      <w:color w:val="auto"/>
                      <w:kern w:val="28"/>
                      <w:szCs w:val="21"/>
                    </w:rPr>
                    <w:t>古建筑（1）</w:t>
                  </w:r>
                </w:p>
              </w:tc>
              <w:tc>
                <w:tcPr>
                  <w:tcW w:w="2779" w:type="pct"/>
                  <w:gridSpan w:val="2"/>
                  <w:vAlign w:val="center"/>
                </w:tcPr>
                <w:p w14:paraId="26C202A4">
                  <w:pPr>
                    <w:jc w:val="center"/>
                    <w:rPr>
                      <w:rFonts w:cs="宋体"/>
                      <w:bCs/>
                      <w:color w:val="auto"/>
                      <w:kern w:val="28"/>
                      <w:szCs w:val="21"/>
                    </w:rPr>
                  </w:pPr>
                  <w:r>
                    <w:rPr>
                      <w:rFonts w:hint="eastAsia" w:cs="宋体"/>
                      <w:bCs/>
                      <w:color w:val="auto"/>
                      <w:kern w:val="28"/>
                      <w:szCs w:val="21"/>
                    </w:rPr>
                    <w:t>含山塔</w:t>
                  </w:r>
                </w:p>
              </w:tc>
            </w:tr>
            <w:tr w14:paraId="690A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2D71C864">
                  <w:pPr>
                    <w:jc w:val="center"/>
                    <w:rPr>
                      <w:rFonts w:cs="宋体"/>
                      <w:bCs/>
                      <w:color w:val="auto"/>
                      <w:kern w:val="28"/>
                      <w:szCs w:val="21"/>
                    </w:rPr>
                  </w:pPr>
                </w:p>
              </w:tc>
              <w:tc>
                <w:tcPr>
                  <w:tcW w:w="1065" w:type="pct"/>
                  <w:gridSpan w:val="2"/>
                  <w:vAlign w:val="center"/>
                </w:tcPr>
                <w:p w14:paraId="0121654C">
                  <w:pPr>
                    <w:jc w:val="center"/>
                    <w:rPr>
                      <w:rFonts w:cs="宋体"/>
                      <w:bCs/>
                      <w:color w:val="auto"/>
                      <w:kern w:val="28"/>
                      <w:szCs w:val="21"/>
                    </w:rPr>
                  </w:pPr>
                  <w:r>
                    <w:rPr>
                      <w:rFonts w:hint="eastAsia" w:cs="宋体"/>
                      <w:bCs/>
                      <w:color w:val="auto"/>
                      <w:kern w:val="28"/>
                      <w:szCs w:val="21"/>
                    </w:rPr>
                    <w:t>石刻（1）</w:t>
                  </w:r>
                </w:p>
              </w:tc>
              <w:tc>
                <w:tcPr>
                  <w:tcW w:w="2779" w:type="pct"/>
                  <w:gridSpan w:val="2"/>
                  <w:vAlign w:val="center"/>
                </w:tcPr>
                <w:p w14:paraId="7937B43A">
                  <w:pPr>
                    <w:jc w:val="center"/>
                    <w:rPr>
                      <w:rFonts w:cs="宋体"/>
                      <w:bCs/>
                      <w:color w:val="auto"/>
                      <w:kern w:val="28"/>
                      <w:szCs w:val="21"/>
                    </w:rPr>
                  </w:pPr>
                  <w:r>
                    <w:rPr>
                      <w:rFonts w:hint="eastAsia" w:cs="宋体"/>
                      <w:bCs/>
                      <w:color w:val="auto"/>
                      <w:kern w:val="28"/>
                      <w:szCs w:val="21"/>
                    </w:rPr>
                    <w:t>旧馆頔塘碑亭</w:t>
                  </w:r>
                </w:p>
              </w:tc>
            </w:tr>
            <w:tr w14:paraId="2F3D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pct"/>
                  <w:gridSpan w:val="2"/>
                  <w:vMerge w:val="continue"/>
                  <w:vAlign w:val="center"/>
                </w:tcPr>
                <w:p w14:paraId="40DF52BC">
                  <w:pPr>
                    <w:jc w:val="center"/>
                    <w:rPr>
                      <w:rFonts w:cs="宋体"/>
                      <w:bCs/>
                      <w:color w:val="auto"/>
                      <w:kern w:val="28"/>
                      <w:szCs w:val="21"/>
                    </w:rPr>
                  </w:pPr>
                </w:p>
              </w:tc>
              <w:tc>
                <w:tcPr>
                  <w:tcW w:w="1065" w:type="pct"/>
                  <w:gridSpan w:val="2"/>
                  <w:vAlign w:val="center"/>
                </w:tcPr>
                <w:p w14:paraId="5275DA40">
                  <w:pPr>
                    <w:jc w:val="center"/>
                    <w:rPr>
                      <w:rFonts w:cs="宋体"/>
                      <w:bCs/>
                      <w:color w:val="auto"/>
                      <w:kern w:val="28"/>
                      <w:szCs w:val="21"/>
                    </w:rPr>
                  </w:pPr>
                  <w:r>
                    <w:rPr>
                      <w:rFonts w:hint="eastAsia" w:cs="宋体"/>
                      <w:bCs/>
                      <w:color w:val="auto"/>
                      <w:kern w:val="28"/>
                      <w:szCs w:val="21"/>
                    </w:rPr>
                    <w:t>近现代重要史迹及代表性建筑（4）</w:t>
                  </w:r>
                </w:p>
              </w:tc>
              <w:tc>
                <w:tcPr>
                  <w:tcW w:w="2779" w:type="pct"/>
                  <w:gridSpan w:val="2"/>
                  <w:vAlign w:val="center"/>
                </w:tcPr>
                <w:p w14:paraId="0E42AEEE">
                  <w:pPr>
                    <w:jc w:val="center"/>
                    <w:rPr>
                      <w:rFonts w:cs="宋体"/>
                      <w:bCs/>
                      <w:color w:val="auto"/>
                      <w:kern w:val="28"/>
                      <w:szCs w:val="21"/>
                    </w:rPr>
                  </w:pPr>
                  <w:r>
                    <w:rPr>
                      <w:rFonts w:hint="eastAsia" w:cs="宋体"/>
                      <w:bCs/>
                      <w:color w:val="auto"/>
                      <w:kern w:val="28"/>
                      <w:szCs w:val="21"/>
                    </w:rPr>
                    <w:t>南浔粮站总粮仓、敬业亭、练市粮站粮库、练市米厂圆筒仓</w:t>
                  </w:r>
                </w:p>
              </w:tc>
            </w:tr>
            <w:tr w14:paraId="41FE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0" w:type="pct"/>
                  <w:gridSpan w:val="4"/>
                  <w:vMerge w:val="restart"/>
                  <w:vAlign w:val="center"/>
                </w:tcPr>
                <w:p w14:paraId="6B2CEFA8">
                  <w:pPr>
                    <w:jc w:val="center"/>
                    <w:rPr>
                      <w:rFonts w:cs="宋体"/>
                      <w:bCs/>
                      <w:color w:val="auto"/>
                      <w:kern w:val="28"/>
                      <w:szCs w:val="21"/>
                    </w:rPr>
                  </w:pPr>
                  <w:r>
                    <w:rPr>
                      <w:rFonts w:hint="eastAsia" w:cs="宋体"/>
                      <w:bCs/>
                      <w:color w:val="auto"/>
                      <w:kern w:val="28"/>
                      <w:szCs w:val="21"/>
                    </w:rPr>
                    <w:t>大运河生态与景观环境（</w:t>
                  </w:r>
                  <w:r>
                    <w:rPr>
                      <w:rFonts w:cs="宋体"/>
                      <w:bCs/>
                      <w:color w:val="auto"/>
                      <w:kern w:val="28"/>
                      <w:szCs w:val="21"/>
                    </w:rPr>
                    <w:t>2</w:t>
                  </w:r>
                  <w:r>
                    <w:rPr>
                      <w:rFonts w:hint="eastAsia" w:cs="宋体"/>
                      <w:bCs/>
                      <w:color w:val="auto"/>
                      <w:kern w:val="28"/>
                      <w:szCs w:val="21"/>
                    </w:rPr>
                    <w:t>）</w:t>
                  </w:r>
                </w:p>
              </w:tc>
              <w:tc>
                <w:tcPr>
                  <w:tcW w:w="2779" w:type="pct"/>
                  <w:gridSpan w:val="2"/>
                  <w:vAlign w:val="center"/>
                </w:tcPr>
                <w:p w14:paraId="35F2E316">
                  <w:pPr>
                    <w:jc w:val="center"/>
                    <w:rPr>
                      <w:rFonts w:cs="宋体"/>
                      <w:bCs/>
                      <w:color w:val="auto"/>
                      <w:kern w:val="28"/>
                      <w:szCs w:val="21"/>
                    </w:rPr>
                  </w:pPr>
                  <w:r>
                    <w:rPr>
                      <w:rFonts w:hint="eastAsia" w:cs="宋体"/>
                      <w:bCs/>
                      <w:color w:val="auto"/>
                      <w:kern w:val="28"/>
                      <w:szCs w:val="21"/>
                    </w:rPr>
                    <w:t>溇港圩田</w:t>
                  </w:r>
                </w:p>
              </w:tc>
            </w:tr>
            <w:tr w14:paraId="2A8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0" w:type="pct"/>
                  <w:gridSpan w:val="4"/>
                  <w:vMerge w:val="continue"/>
                  <w:vAlign w:val="center"/>
                </w:tcPr>
                <w:p w14:paraId="6096E041">
                  <w:pPr>
                    <w:jc w:val="center"/>
                    <w:rPr>
                      <w:rFonts w:cs="宋体"/>
                      <w:bCs/>
                      <w:color w:val="auto"/>
                      <w:kern w:val="28"/>
                      <w:szCs w:val="21"/>
                    </w:rPr>
                  </w:pPr>
                </w:p>
              </w:tc>
              <w:tc>
                <w:tcPr>
                  <w:tcW w:w="2779" w:type="pct"/>
                  <w:gridSpan w:val="2"/>
                  <w:vAlign w:val="center"/>
                </w:tcPr>
                <w:p w14:paraId="172611AE">
                  <w:pPr>
                    <w:jc w:val="center"/>
                    <w:rPr>
                      <w:rFonts w:cs="宋体"/>
                      <w:bCs/>
                      <w:color w:val="auto"/>
                      <w:kern w:val="28"/>
                      <w:szCs w:val="21"/>
                    </w:rPr>
                  </w:pPr>
                  <w:r>
                    <w:rPr>
                      <w:rFonts w:hint="eastAsia" w:cs="宋体"/>
                      <w:bCs/>
                      <w:color w:val="auto"/>
                      <w:kern w:val="28"/>
                      <w:szCs w:val="21"/>
                    </w:rPr>
                    <w:t>湖荡湿地（苕溪）</w:t>
                  </w:r>
                </w:p>
              </w:tc>
            </w:tr>
            <w:tr w14:paraId="6549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20" w:type="pct"/>
                  <w:gridSpan w:val="4"/>
                  <w:vAlign w:val="center"/>
                </w:tcPr>
                <w:p w14:paraId="322540AF">
                  <w:pPr>
                    <w:jc w:val="center"/>
                    <w:rPr>
                      <w:rFonts w:cs="宋体"/>
                      <w:bCs/>
                      <w:color w:val="auto"/>
                      <w:kern w:val="28"/>
                      <w:szCs w:val="21"/>
                    </w:rPr>
                  </w:pPr>
                  <w:r>
                    <w:rPr>
                      <w:rFonts w:hint="eastAsia" w:cs="宋体"/>
                      <w:bCs/>
                      <w:color w:val="auto"/>
                      <w:kern w:val="28"/>
                      <w:szCs w:val="21"/>
                    </w:rPr>
                    <w:t>大运河相关非物质文化遗产（</w:t>
                  </w:r>
                  <w:r>
                    <w:rPr>
                      <w:rFonts w:cs="宋体"/>
                      <w:bCs/>
                      <w:color w:val="auto"/>
                      <w:kern w:val="28"/>
                      <w:szCs w:val="21"/>
                    </w:rPr>
                    <w:t>3</w:t>
                  </w:r>
                  <w:r>
                    <w:rPr>
                      <w:rFonts w:hint="eastAsia" w:cs="宋体"/>
                      <w:bCs/>
                      <w:color w:val="auto"/>
                      <w:kern w:val="28"/>
                      <w:szCs w:val="21"/>
                    </w:rPr>
                    <w:t>）</w:t>
                  </w:r>
                </w:p>
              </w:tc>
              <w:tc>
                <w:tcPr>
                  <w:tcW w:w="2779" w:type="pct"/>
                  <w:gridSpan w:val="2"/>
                  <w:vAlign w:val="center"/>
                </w:tcPr>
                <w:p w14:paraId="5A2F57D5">
                  <w:pPr>
                    <w:jc w:val="center"/>
                    <w:rPr>
                      <w:rFonts w:cs="宋体"/>
                      <w:bCs/>
                      <w:color w:val="auto"/>
                      <w:kern w:val="28"/>
                      <w:szCs w:val="21"/>
                    </w:rPr>
                  </w:pPr>
                  <w:r>
                    <w:rPr>
                      <w:rFonts w:hint="eastAsia" w:cs="宋体"/>
                      <w:bCs/>
                      <w:color w:val="auto"/>
                      <w:kern w:val="28"/>
                      <w:szCs w:val="21"/>
                    </w:rPr>
                    <w:t>湖笔制作技艺、含山轧蚕花、湖州船拳</w:t>
                  </w:r>
                </w:p>
              </w:tc>
            </w:tr>
          </w:tbl>
          <w:p w14:paraId="4DE2B4A6">
            <w:pPr>
              <w:adjustRightInd w:val="0"/>
              <w:snapToGrid w:val="0"/>
              <w:spacing w:before="120" w:beforeLines="50" w:line="360" w:lineRule="auto"/>
              <w:ind w:firstLine="480" w:firstLineChars="200"/>
              <w:rPr>
                <w:color w:val="auto"/>
                <w:sz w:val="24"/>
                <w:szCs w:val="32"/>
              </w:rPr>
            </w:pPr>
            <w:r>
              <w:rPr>
                <w:rFonts w:hint="eastAsia"/>
                <w:color w:val="auto"/>
                <w:sz w:val="24"/>
                <w:szCs w:val="32"/>
              </w:rPr>
              <w:t>（2）符合性分析</w:t>
            </w:r>
          </w:p>
          <w:p w14:paraId="0D3928A3">
            <w:pPr>
              <w:autoSpaceDE w:val="0"/>
              <w:autoSpaceDN w:val="0"/>
              <w:adjustRightInd w:val="0"/>
              <w:snapToGrid w:val="0"/>
              <w:spacing w:line="360" w:lineRule="auto"/>
              <w:ind w:firstLine="480" w:firstLineChars="200"/>
              <w:rPr>
                <w:color w:val="auto"/>
                <w:sz w:val="24"/>
              </w:rPr>
            </w:pPr>
            <w:r>
              <w:rPr>
                <w:rFonts w:hint="eastAsia"/>
                <w:color w:val="auto"/>
                <w:sz w:val="24"/>
              </w:rPr>
              <w:t>本项目位于浙江省湖州市南浔区</w:t>
            </w:r>
            <w:r>
              <w:rPr>
                <w:rFonts w:hint="eastAsia"/>
                <w:color w:val="auto"/>
                <w:kern w:val="0"/>
                <w:sz w:val="24"/>
              </w:rPr>
              <w:t>练市镇水口村东堡工业区</w:t>
            </w:r>
            <w:r>
              <w:rPr>
                <w:rFonts w:hint="eastAsia"/>
                <w:color w:val="auto"/>
                <w:sz w:val="24"/>
              </w:rPr>
              <w:t>，本项目距北侧方向的頔塘约11.1km，距东南侧方向的江南运河约4.2km，对照《大运河（湖州段）遗产保护规划》遗产构成总表，项目均不涉及《大运河（湖州段）遗产保护规划》的遗产构成内容。</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3"/>
            </w:tblGrid>
            <w:tr w14:paraId="680B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tcPr>
                <w:p w14:paraId="64D8B101">
                  <w:pPr>
                    <w:widowControl/>
                    <w:jc w:val="center"/>
                    <w:rPr>
                      <w:rFonts w:hint="eastAsia"/>
                      <w:color w:val="auto"/>
                      <w:kern w:val="0"/>
                      <w:szCs w:val="21"/>
                    </w:rPr>
                  </w:pPr>
                  <w:r>
                    <w:rPr>
                      <w:rFonts w:hint="eastAsia"/>
                      <w:color w:val="auto"/>
                      <w:kern w:val="0"/>
                      <w:szCs w:val="21"/>
                    </w:rPr>
                    <w:drawing>
                      <wp:inline distT="0" distB="0" distL="114300" distR="114300">
                        <wp:extent cx="4384675" cy="411353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384675" cy="4113530"/>
                                </a:xfrm>
                                <a:prstGeom prst="rect">
                                  <a:avLst/>
                                </a:prstGeom>
                                <a:noFill/>
                                <a:ln>
                                  <a:noFill/>
                                </a:ln>
                              </pic:spPr>
                            </pic:pic>
                          </a:graphicData>
                        </a:graphic>
                      </wp:inline>
                    </w:drawing>
                  </w:r>
                </w:p>
              </w:tc>
            </w:tr>
          </w:tbl>
          <w:p w14:paraId="1A1296B6">
            <w:pPr>
              <w:adjustRightInd w:val="0"/>
              <w:snapToGrid w:val="0"/>
              <w:spacing w:line="360" w:lineRule="auto"/>
              <w:jc w:val="center"/>
              <w:rPr>
                <w:b/>
                <w:color w:val="auto"/>
                <w:kern w:val="0"/>
                <w:sz w:val="24"/>
              </w:rPr>
            </w:pPr>
            <w:r>
              <w:rPr>
                <w:b/>
                <w:bCs/>
                <w:color w:val="auto"/>
                <w:sz w:val="24"/>
                <w:szCs w:val="32"/>
              </w:rPr>
              <w:t>图1-</w:t>
            </w:r>
            <w:r>
              <w:rPr>
                <w:rFonts w:hint="eastAsia"/>
                <w:b/>
                <w:bCs/>
                <w:color w:val="auto"/>
                <w:sz w:val="24"/>
                <w:szCs w:val="32"/>
              </w:rPr>
              <w:t>3</w:t>
            </w:r>
            <w:r>
              <w:rPr>
                <w:b/>
                <w:bCs/>
                <w:color w:val="auto"/>
                <w:sz w:val="24"/>
                <w:szCs w:val="32"/>
              </w:rPr>
              <w:t xml:space="preserve"> </w:t>
            </w:r>
            <w:r>
              <w:rPr>
                <w:rFonts w:hint="eastAsia"/>
                <w:b/>
                <w:bCs/>
                <w:color w:val="auto"/>
                <w:sz w:val="24"/>
                <w:szCs w:val="32"/>
              </w:rPr>
              <w:t>大运河（湖州段）遗产保护区划分图</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3"/>
            </w:tblGrid>
            <w:tr w14:paraId="0772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tcPr>
                <w:p w14:paraId="562C9590">
                  <w:pPr>
                    <w:widowControl/>
                    <w:jc w:val="center"/>
                    <w:rPr>
                      <w:rFonts w:hint="eastAsia"/>
                      <w:color w:val="auto"/>
                      <w:kern w:val="0"/>
                      <w:szCs w:val="21"/>
                    </w:rPr>
                  </w:pPr>
                  <w:r>
                    <w:rPr>
                      <w:rFonts w:hint="eastAsia"/>
                      <w:color w:val="auto"/>
                      <w:kern w:val="0"/>
                      <w:szCs w:val="21"/>
                    </w:rPr>
                    <w:drawing>
                      <wp:inline distT="0" distB="0" distL="114300" distR="114300">
                        <wp:extent cx="5049520" cy="3790315"/>
                        <wp:effectExtent l="0" t="0" r="1016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4"/>
                                <a:stretch>
                                  <a:fillRect/>
                                </a:stretch>
                              </pic:blipFill>
                              <pic:spPr>
                                <a:xfrm>
                                  <a:off x="0" y="0"/>
                                  <a:ext cx="5049520" cy="3790315"/>
                                </a:xfrm>
                                <a:prstGeom prst="rect">
                                  <a:avLst/>
                                </a:prstGeom>
                                <a:noFill/>
                                <a:ln>
                                  <a:noFill/>
                                </a:ln>
                              </pic:spPr>
                            </pic:pic>
                          </a:graphicData>
                        </a:graphic>
                      </wp:inline>
                    </w:drawing>
                  </w:r>
                </w:p>
              </w:tc>
            </w:tr>
          </w:tbl>
          <w:p w14:paraId="53771F7B">
            <w:pPr>
              <w:adjustRightInd w:val="0"/>
              <w:snapToGrid w:val="0"/>
              <w:spacing w:line="360" w:lineRule="auto"/>
              <w:jc w:val="center"/>
              <w:rPr>
                <w:b/>
                <w:color w:val="auto"/>
                <w:kern w:val="0"/>
                <w:sz w:val="24"/>
              </w:rPr>
            </w:pPr>
            <w:r>
              <w:rPr>
                <w:b/>
                <w:bCs/>
                <w:color w:val="auto"/>
                <w:sz w:val="24"/>
                <w:szCs w:val="32"/>
              </w:rPr>
              <w:t>图1-</w:t>
            </w:r>
            <w:r>
              <w:rPr>
                <w:rFonts w:hint="eastAsia"/>
                <w:b/>
                <w:bCs/>
                <w:color w:val="auto"/>
                <w:sz w:val="24"/>
                <w:szCs w:val="32"/>
              </w:rPr>
              <w:t>4</w:t>
            </w:r>
            <w:r>
              <w:rPr>
                <w:b/>
                <w:bCs/>
                <w:color w:val="auto"/>
                <w:sz w:val="24"/>
                <w:szCs w:val="32"/>
              </w:rPr>
              <w:t xml:space="preserve"> </w:t>
            </w:r>
            <w:r>
              <w:rPr>
                <w:rFonts w:hint="eastAsia"/>
                <w:b/>
                <w:bCs/>
                <w:color w:val="auto"/>
                <w:sz w:val="24"/>
                <w:szCs w:val="32"/>
              </w:rPr>
              <w:t>本项目与頔塘和江南运河的距离关系图</w:t>
            </w:r>
          </w:p>
          <w:p w14:paraId="1BFFA2AE">
            <w:pPr>
              <w:numPr>
                <w:ilvl w:val="2"/>
                <w:numId w:val="14"/>
              </w:numPr>
              <w:adjustRightInd w:val="0"/>
              <w:snapToGrid w:val="0"/>
              <w:spacing w:line="360" w:lineRule="auto"/>
              <w:ind w:firstLine="0"/>
              <w:jc w:val="left"/>
              <w:rPr>
                <w:b/>
                <w:bCs/>
                <w:color w:val="auto"/>
                <w:sz w:val="24"/>
              </w:rPr>
            </w:pPr>
            <w:r>
              <w:rPr>
                <w:rFonts w:hint="eastAsia"/>
                <w:b/>
                <w:bCs/>
                <w:color w:val="auto"/>
                <w:sz w:val="24"/>
              </w:rPr>
              <w:t>《浙江省生态环境保护“十四五”规划》符合性分析</w:t>
            </w:r>
          </w:p>
          <w:p w14:paraId="39109D64">
            <w:pPr>
              <w:autoSpaceDE w:val="0"/>
              <w:autoSpaceDN w:val="0"/>
              <w:adjustRightInd w:val="0"/>
              <w:snapToGrid w:val="0"/>
              <w:spacing w:line="360" w:lineRule="auto"/>
              <w:ind w:firstLine="480" w:firstLineChars="200"/>
              <w:rPr>
                <w:color w:val="auto"/>
                <w:sz w:val="24"/>
              </w:rPr>
            </w:pPr>
            <w:r>
              <w:rPr>
                <w:rFonts w:hint="eastAsia"/>
                <w:color w:val="auto"/>
                <w:sz w:val="24"/>
              </w:rPr>
              <w:t>浙江省于2021年5月发布了《浙江省生态环境保护“十四五”规划》（浙发改规划[2021]204号）。根据分析，本项目总体符合该规划相关条款的要求，具体详见下表。</w:t>
            </w:r>
          </w:p>
          <w:p w14:paraId="4D72D74D">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《浙江省生态环境保护“十四五”规划》符合性分析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768"/>
              <w:gridCol w:w="2460"/>
              <w:gridCol w:w="913"/>
            </w:tblGrid>
            <w:tr w14:paraId="5DCE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0" w:type="dxa"/>
                  <w:gridSpan w:val="2"/>
                  <w:vAlign w:val="center"/>
                </w:tcPr>
                <w:p w14:paraId="49BA73DF">
                  <w:pPr>
                    <w:jc w:val="center"/>
                    <w:textAlignment w:val="center"/>
                    <w:rPr>
                      <w:color w:val="auto"/>
                      <w:sz w:val="24"/>
                    </w:rPr>
                  </w:pPr>
                  <w:r>
                    <w:rPr>
                      <w:color w:val="auto"/>
                      <w:kern w:val="0"/>
                    </w:rPr>
                    <w:t>重点任务</w:t>
                  </w:r>
                </w:p>
              </w:tc>
              <w:tc>
                <w:tcPr>
                  <w:tcW w:w="2460" w:type="dxa"/>
                  <w:vAlign w:val="center"/>
                </w:tcPr>
                <w:p w14:paraId="10FC161E">
                  <w:pPr>
                    <w:jc w:val="center"/>
                    <w:textAlignment w:val="center"/>
                    <w:rPr>
                      <w:color w:val="auto"/>
                      <w:sz w:val="24"/>
                    </w:rPr>
                  </w:pPr>
                  <w:r>
                    <w:rPr>
                      <w:color w:val="auto"/>
                      <w:kern w:val="0"/>
                    </w:rPr>
                    <w:t>本项目情况</w:t>
                  </w:r>
                </w:p>
              </w:tc>
              <w:tc>
                <w:tcPr>
                  <w:tcW w:w="913" w:type="dxa"/>
                  <w:vAlign w:val="center"/>
                </w:tcPr>
                <w:p w14:paraId="31E94A27">
                  <w:pPr>
                    <w:jc w:val="center"/>
                    <w:textAlignment w:val="center"/>
                    <w:rPr>
                      <w:color w:val="auto"/>
                      <w:sz w:val="24"/>
                    </w:rPr>
                  </w:pPr>
                  <w:r>
                    <w:rPr>
                      <w:color w:val="auto"/>
                      <w:kern w:val="0"/>
                    </w:rPr>
                    <w:t>符合性</w:t>
                  </w:r>
                </w:p>
              </w:tc>
            </w:tr>
            <w:tr w14:paraId="08A8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restart"/>
                  <w:vAlign w:val="center"/>
                </w:tcPr>
                <w:p w14:paraId="54E0B2A3">
                  <w:pPr>
                    <w:textAlignment w:val="center"/>
                    <w:rPr>
                      <w:color w:val="auto"/>
                      <w:sz w:val="24"/>
                    </w:rPr>
                  </w:pPr>
                  <w:r>
                    <w:rPr>
                      <w:color w:val="auto"/>
                      <w:kern w:val="0"/>
                    </w:rPr>
                    <w:t>严格源头治理，全面推进绿色发展</w:t>
                  </w:r>
                </w:p>
              </w:tc>
              <w:tc>
                <w:tcPr>
                  <w:tcW w:w="3768" w:type="dxa"/>
                  <w:vAlign w:val="center"/>
                </w:tcPr>
                <w:p w14:paraId="4B31F33A">
                  <w:pPr>
                    <w:autoSpaceDE w:val="0"/>
                    <w:autoSpaceDN w:val="0"/>
                    <w:adjustRightInd w:val="0"/>
                    <w:rPr>
                      <w:color w:val="auto"/>
                      <w:sz w:val="24"/>
                    </w:rPr>
                  </w:pPr>
                  <w:r>
                    <w:rPr>
                      <w:b/>
                      <w:bCs/>
                      <w:color w:val="auto"/>
                      <w:kern w:val="0"/>
                    </w:rPr>
                    <w:t>优化调整产业结构。</w:t>
                  </w:r>
                  <w:r>
                    <w:rPr>
                      <w:color w:val="auto"/>
                      <w:kern w:val="0"/>
                    </w:rPr>
                    <w:t>全面实施以“三线一单”为核心的生态环境分区管控体系，开展重点区域、重点流域、重点行业和产业布局的规划环评，充分发挥生态环境功能定位在产业布局结构中的基础性约束作用。严格执行质量、环保、能耗、安全等法规标准。</w:t>
                  </w:r>
                </w:p>
              </w:tc>
              <w:tc>
                <w:tcPr>
                  <w:tcW w:w="2460" w:type="dxa"/>
                  <w:vAlign w:val="center"/>
                </w:tcPr>
                <w:p w14:paraId="564CD402">
                  <w:pPr>
                    <w:textAlignment w:val="center"/>
                    <w:rPr>
                      <w:color w:val="auto"/>
                      <w:sz w:val="24"/>
                    </w:rPr>
                  </w:pPr>
                  <w:r>
                    <w:rPr>
                      <w:color w:val="auto"/>
                      <w:kern w:val="0"/>
                    </w:rPr>
                    <w:t>本项目符合生态环境分区管控方案要求及规划环评要求。符合相关环保法规及标准。</w:t>
                  </w:r>
                </w:p>
              </w:tc>
              <w:tc>
                <w:tcPr>
                  <w:tcW w:w="913" w:type="dxa"/>
                  <w:vAlign w:val="center"/>
                </w:tcPr>
                <w:p w14:paraId="5C6E25B2">
                  <w:pPr>
                    <w:jc w:val="center"/>
                    <w:textAlignment w:val="center"/>
                    <w:rPr>
                      <w:color w:val="auto"/>
                      <w:sz w:val="24"/>
                    </w:rPr>
                  </w:pPr>
                  <w:r>
                    <w:rPr>
                      <w:snapToGrid w:val="0"/>
                      <w:color w:val="auto"/>
                      <w:kern w:val="0"/>
                    </w:rPr>
                    <w:t>符合</w:t>
                  </w:r>
                </w:p>
              </w:tc>
            </w:tr>
            <w:tr w14:paraId="1E3B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continue"/>
                  <w:vAlign w:val="center"/>
                </w:tcPr>
                <w:p w14:paraId="550F22D4">
                  <w:pPr>
                    <w:textAlignment w:val="center"/>
                    <w:rPr>
                      <w:color w:val="auto"/>
                      <w:sz w:val="24"/>
                    </w:rPr>
                  </w:pPr>
                </w:p>
              </w:tc>
              <w:tc>
                <w:tcPr>
                  <w:tcW w:w="3768" w:type="dxa"/>
                  <w:vAlign w:val="center"/>
                </w:tcPr>
                <w:p w14:paraId="40B7FB41">
                  <w:pPr>
                    <w:textAlignment w:val="center"/>
                    <w:rPr>
                      <w:color w:val="auto"/>
                      <w:sz w:val="24"/>
                    </w:rPr>
                  </w:pPr>
                  <w:r>
                    <w:rPr>
                      <w:b/>
                      <w:bCs/>
                      <w:color w:val="auto"/>
                      <w:kern w:val="0"/>
                    </w:rPr>
                    <w:t>优化调整能源结构。</w:t>
                  </w:r>
                  <w:r>
                    <w:rPr>
                      <w:color w:val="auto"/>
                      <w:kern w:val="0"/>
                    </w:rPr>
                    <w:t>严格控制高耗能项目新增规模，严格执行高耗能行业产能和能耗等量减量替代。禁止建设企业自备燃煤设施。持续实施煤改气工程，有序推进天然气分布式发展，提高天然气覆盖率和气化率。</w:t>
                  </w:r>
                </w:p>
              </w:tc>
              <w:tc>
                <w:tcPr>
                  <w:tcW w:w="2460" w:type="dxa"/>
                  <w:vAlign w:val="center"/>
                </w:tcPr>
                <w:p w14:paraId="6D2EB717">
                  <w:pPr>
                    <w:textAlignment w:val="center"/>
                    <w:rPr>
                      <w:color w:val="auto"/>
                      <w:sz w:val="24"/>
                    </w:rPr>
                  </w:pPr>
                  <w:r>
                    <w:rPr>
                      <w:color w:val="auto"/>
                      <w:kern w:val="0"/>
                    </w:rPr>
                    <w:t>本项目不属于高耗能项目，厂区内无燃煤设施，不涉及锅炉的使用。本项目不涉及天然气。</w:t>
                  </w:r>
                </w:p>
              </w:tc>
              <w:tc>
                <w:tcPr>
                  <w:tcW w:w="913" w:type="dxa"/>
                  <w:vAlign w:val="center"/>
                </w:tcPr>
                <w:p w14:paraId="3432DC53">
                  <w:pPr>
                    <w:jc w:val="center"/>
                    <w:textAlignment w:val="center"/>
                    <w:rPr>
                      <w:color w:val="auto"/>
                      <w:sz w:val="24"/>
                    </w:rPr>
                  </w:pPr>
                  <w:r>
                    <w:rPr>
                      <w:snapToGrid w:val="0"/>
                      <w:color w:val="auto"/>
                      <w:kern w:val="0"/>
                    </w:rPr>
                    <w:t>符合</w:t>
                  </w:r>
                </w:p>
              </w:tc>
            </w:tr>
            <w:tr w14:paraId="38DD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restart"/>
                  <w:vAlign w:val="center"/>
                </w:tcPr>
                <w:p w14:paraId="60A4622B">
                  <w:pPr>
                    <w:textAlignment w:val="center"/>
                    <w:rPr>
                      <w:color w:val="auto"/>
                      <w:sz w:val="24"/>
                    </w:rPr>
                  </w:pPr>
                  <w:r>
                    <w:rPr>
                      <w:color w:val="auto"/>
                      <w:kern w:val="0"/>
                    </w:rPr>
                    <w:t>加强协同治理，改善环境空气质量</w:t>
                  </w:r>
                </w:p>
              </w:tc>
              <w:tc>
                <w:tcPr>
                  <w:tcW w:w="3768" w:type="dxa"/>
                  <w:vAlign w:val="center"/>
                </w:tcPr>
                <w:p w14:paraId="1D56F2A6">
                  <w:pPr>
                    <w:textAlignment w:val="center"/>
                    <w:rPr>
                      <w:color w:val="auto"/>
                      <w:sz w:val="24"/>
                    </w:rPr>
                  </w:pPr>
                  <w:r>
                    <w:rPr>
                      <w:b/>
                      <w:bCs/>
                      <w:color w:val="auto"/>
                      <w:kern w:val="0"/>
                    </w:rPr>
                    <w:t>加强大气环境综合管理。</w:t>
                  </w:r>
                  <w:r>
                    <w:rPr>
                      <w:color w:val="auto"/>
                      <w:kern w:val="0"/>
                    </w:rPr>
                    <w:t>以环境空气质量持续改善为核心，推进“清新空气示范区”建设，深入推进VOCs、工业炉窑、柴油货车、城乡面源四大专项治理。</w:t>
                  </w:r>
                </w:p>
              </w:tc>
              <w:tc>
                <w:tcPr>
                  <w:tcW w:w="2460" w:type="dxa"/>
                  <w:vAlign w:val="center"/>
                </w:tcPr>
                <w:p w14:paraId="2BA79AC7">
                  <w:pPr>
                    <w:textAlignment w:val="center"/>
                    <w:rPr>
                      <w:color w:val="auto"/>
                      <w:sz w:val="24"/>
                    </w:rPr>
                  </w:pPr>
                  <w:r>
                    <w:rPr>
                      <w:color w:val="auto"/>
                      <w:kern w:val="0"/>
                    </w:rPr>
                    <w:t>本项目不涉及工业炉窑的使用，项目涉及VOCs，在南浔区区域总量平衡解决。</w:t>
                  </w:r>
                </w:p>
              </w:tc>
              <w:tc>
                <w:tcPr>
                  <w:tcW w:w="913" w:type="dxa"/>
                  <w:vAlign w:val="center"/>
                </w:tcPr>
                <w:p w14:paraId="57E9A147">
                  <w:pPr>
                    <w:jc w:val="center"/>
                    <w:textAlignment w:val="center"/>
                    <w:rPr>
                      <w:color w:val="auto"/>
                      <w:sz w:val="24"/>
                    </w:rPr>
                  </w:pPr>
                  <w:r>
                    <w:rPr>
                      <w:snapToGrid w:val="0"/>
                      <w:color w:val="auto"/>
                      <w:kern w:val="0"/>
                    </w:rPr>
                    <w:t>符合</w:t>
                  </w:r>
                </w:p>
              </w:tc>
            </w:tr>
            <w:tr w14:paraId="0330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continue"/>
                  <w:vAlign w:val="center"/>
                </w:tcPr>
                <w:p w14:paraId="12EC2EFB">
                  <w:pPr>
                    <w:textAlignment w:val="center"/>
                    <w:rPr>
                      <w:color w:val="auto"/>
                      <w:sz w:val="24"/>
                    </w:rPr>
                  </w:pPr>
                </w:p>
              </w:tc>
              <w:tc>
                <w:tcPr>
                  <w:tcW w:w="3768" w:type="dxa"/>
                  <w:vAlign w:val="center"/>
                </w:tcPr>
                <w:p w14:paraId="09D30AC9">
                  <w:pPr>
                    <w:textAlignment w:val="center"/>
                    <w:rPr>
                      <w:color w:val="auto"/>
                      <w:sz w:val="24"/>
                    </w:rPr>
                  </w:pPr>
                  <w:r>
                    <w:rPr>
                      <w:b/>
                      <w:bCs/>
                      <w:color w:val="auto"/>
                      <w:kern w:val="0"/>
                    </w:rPr>
                    <w:t>加强固定源污染综合治理。</w:t>
                  </w:r>
                  <w:r>
                    <w:rPr>
                      <w:color w:val="auto"/>
                      <w:kern w:val="0"/>
                    </w:rPr>
                    <w:t>深入开展锅炉综合整治，全面淘汰35蒸吨/小时以下燃煤锅炉，继续开展燃气锅炉低氮改造和建成区生物质锅炉超低排放改造或淘汰。进一步深化工业炉窑大气综合治理，基本完成使用高污染燃料的燃料类工业炉窑清洁能源替代。以石化、化工、工业涂装、包装印刷、油品储运销为重点，深化VOCs治理。出台低VOCs含量产品目录，大力推进重点行业低VOCs原辅材料源头替代，加强VOCs无组织排放控制，推进建设适宜高效的末端治理设施。</w:t>
                  </w:r>
                </w:p>
              </w:tc>
              <w:tc>
                <w:tcPr>
                  <w:tcW w:w="2460" w:type="dxa"/>
                  <w:vAlign w:val="center"/>
                </w:tcPr>
                <w:p w14:paraId="00516BF5">
                  <w:pPr>
                    <w:textAlignment w:val="center"/>
                    <w:rPr>
                      <w:color w:val="auto"/>
                      <w:sz w:val="24"/>
                    </w:rPr>
                  </w:pPr>
                  <w:r>
                    <w:rPr>
                      <w:color w:val="auto"/>
                      <w:kern w:val="0"/>
                    </w:rPr>
                    <w:t>本项目不涉及锅炉的使用、不涉及工业炉窑的使用；项目VOC排放较少，对环境影响较小。</w:t>
                  </w:r>
                </w:p>
              </w:tc>
              <w:tc>
                <w:tcPr>
                  <w:tcW w:w="913" w:type="dxa"/>
                  <w:vAlign w:val="center"/>
                </w:tcPr>
                <w:p w14:paraId="4EA74C8D">
                  <w:pPr>
                    <w:jc w:val="center"/>
                    <w:textAlignment w:val="center"/>
                    <w:rPr>
                      <w:color w:val="auto"/>
                      <w:sz w:val="24"/>
                    </w:rPr>
                  </w:pPr>
                  <w:r>
                    <w:rPr>
                      <w:snapToGrid w:val="0"/>
                      <w:color w:val="auto"/>
                      <w:kern w:val="0"/>
                    </w:rPr>
                    <w:t>符合</w:t>
                  </w:r>
                </w:p>
              </w:tc>
            </w:tr>
            <w:tr w14:paraId="642C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continue"/>
                  <w:vAlign w:val="center"/>
                </w:tcPr>
                <w:p w14:paraId="7B791159">
                  <w:pPr>
                    <w:textAlignment w:val="center"/>
                    <w:rPr>
                      <w:color w:val="auto"/>
                      <w:sz w:val="24"/>
                    </w:rPr>
                  </w:pPr>
                </w:p>
              </w:tc>
              <w:tc>
                <w:tcPr>
                  <w:tcW w:w="3768" w:type="dxa"/>
                  <w:vAlign w:val="center"/>
                </w:tcPr>
                <w:p w14:paraId="6E9B827C">
                  <w:pPr>
                    <w:textAlignment w:val="center"/>
                    <w:rPr>
                      <w:color w:val="auto"/>
                      <w:sz w:val="24"/>
                    </w:rPr>
                  </w:pPr>
                  <w:r>
                    <w:rPr>
                      <w:b/>
                      <w:bCs/>
                      <w:color w:val="auto"/>
                      <w:kern w:val="0"/>
                    </w:rPr>
                    <w:t>加强其他污染治理。</w:t>
                  </w:r>
                  <w:r>
                    <w:rPr>
                      <w:color w:val="auto"/>
                      <w:kern w:val="0"/>
                    </w:rPr>
                    <w:t>积极开展消耗臭氧层物质（ODS）管理工作。加强恶臭、有毒有害大气污染物防控，加强工业臭气异味治理，推进垃圾处理、污水处理各环节和畜禽养殖场臭气异味控制，提升恶臭治理水平。严格控制餐饮油烟，加大超标排放处罚力度。强化声环境功能区管理，地级及以上城市在声环境功能区安装噪声自动监测系统。</w:t>
                  </w:r>
                </w:p>
              </w:tc>
              <w:tc>
                <w:tcPr>
                  <w:tcW w:w="2460" w:type="dxa"/>
                  <w:vAlign w:val="center"/>
                </w:tcPr>
                <w:p w14:paraId="5EE9C941">
                  <w:pPr>
                    <w:textAlignment w:val="center"/>
                    <w:rPr>
                      <w:color w:val="auto"/>
                      <w:sz w:val="24"/>
                    </w:rPr>
                  </w:pPr>
                  <w:r>
                    <w:rPr>
                      <w:color w:val="auto"/>
                      <w:kern w:val="0"/>
                    </w:rPr>
                    <w:t>本项目不涉及消耗臭氧层物质的使用，但涉及恶臭气体排放，废气经收集处理后，对环境的影响可接收；项目噪声源强较小，可达标排放。</w:t>
                  </w:r>
                </w:p>
              </w:tc>
              <w:tc>
                <w:tcPr>
                  <w:tcW w:w="913" w:type="dxa"/>
                  <w:vAlign w:val="center"/>
                </w:tcPr>
                <w:p w14:paraId="49DAA658">
                  <w:pPr>
                    <w:jc w:val="center"/>
                    <w:textAlignment w:val="center"/>
                    <w:rPr>
                      <w:color w:val="auto"/>
                      <w:sz w:val="24"/>
                    </w:rPr>
                  </w:pPr>
                  <w:r>
                    <w:rPr>
                      <w:snapToGrid w:val="0"/>
                      <w:color w:val="auto"/>
                      <w:kern w:val="0"/>
                    </w:rPr>
                    <w:t>符合</w:t>
                  </w:r>
                </w:p>
              </w:tc>
            </w:tr>
            <w:tr w14:paraId="3041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Align w:val="center"/>
                </w:tcPr>
                <w:p w14:paraId="12D5A186">
                  <w:pPr>
                    <w:textAlignment w:val="center"/>
                    <w:rPr>
                      <w:color w:val="auto"/>
                      <w:sz w:val="24"/>
                    </w:rPr>
                  </w:pPr>
                  <w:r>
                    <w:rPr>
                      <w:color w:val="auto"/>
                      <w:kern w:val="0"/>
                    </w:rPr>
                    <w:t>深化五水共治，提升水生态环境质量</w:t>
                  </w:r>
                </w:p>
              </w:tc>
              <w:tc>
                <w:tcPr>
                  <w:tcW w:w="3768" w:type="dxa"/>
                  <w:vAlign w:val="center"/>
                </w:tcPr>
                <w:p w14:paraId="28A244A2">
                  <w:pPr>
                    <w:textAlignment w:val="center"/>
                    <w:rPr>
                      <w:color w:val="auto"/>
                      <w:sz w:val="24"/>
                    </w:rPr>
                  </w:pPr>
                  <w:r>
                    <w:rPr>
                      <w:b/>
                      <w:bCs/>
                      <w:color w:val="auto"/>
                      <w:kern w:val="0"/>
                    </w:rPr>
                    <w:t>持续深化水环境治理。</w:t>
                  </w:r>
                  <w:r>
                    <w:rPr>
                      <w:color w:val="auto"/>
                      <w:kern w:val="0"/>
                    </w:rPr>
                    <w:t>持续推进“污水零直排区”建设，加快城市排水管网、工业园区排水管网的改造、修复和完善，推进排水管网雨污分流，实现城镇建成区雨污分流全面覆盖。</w:t>
                  </w:r>
                </w:p>
              </w:tc>
              <w:tc>
                <w:tcPr>
                  <w:tcW w:w="2460" w:type="dxa"/>
                  <w:vAlign w:val="center"/>
                </w:tcPr>
                <w:p w14:paraId="742FC21B">
                  <w:pPr>
                    <w:textAlignment w:val="center"/>
                    <w:rPr>
                      <w:color w:val="auto"/>
                      <w:sz w:val="24"/>
                    </w:rPr>
                  </w:pPr>
                  <w:r>
                    <w:rPr>
                      <w:color w:val="auto"/>
                      <w:kern w:val="0"/>
                    </w:rPr>
                    <w:t>本项目生活污水由市政污水管网纳入城镇污水厂处理，厂区内已实施雨污分流。</w:t>
                  </w:r>
                </w:p>
              </w:tc>
              <w:tc>
                <w:tcPr>
                  <w:tcW w:w="913" w:type="dxa"/>
                  <w:vAlign w:val="center"/>
                </w:tcPr>
                <w:p w14:paraId="67367C0B">
                  <w:pPr>
                    <w:jc w:val="center"/>
                    <w:textAlignment w:val="center"/>
                    <w:rPr>
                      <w:color w:val="auto"/>
                      <w:sz w:val="24"/>
                    </w:rPr>
                  </w:pPr>
                  <w:r>
                    <w:rPr>
                      <w:snapToGrid w:val="0"/>
                      <w:color w:val="auto"/>
                      <w:kern w:val="0"/>
                    </w:rPr>
                    <w:t>符合</w:t>
                  </w:r>
                </w:p>
              </w:tc>
            </w:tr>
            <w:tr w14:paraId="2F9C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restart"/>
                  <w:vAlign w:val="center"/>
                </w:tcPr>
                <w:p w14:paraId="6141B883">
                  <w:pPr>
                    <w:textAlignment w:val="center"/>
                    <w:rPr>
                      <w:color w:val="auto"/>
                      <w:sz w:val="24"/>
                    </w:rPr>
                  </w:pPr>
                  <w:r>
                    <w:rPr>
                      <w:color w:val="auto"/>
                      <w:kern w:val="0"/>
                    </w:rPr>
                    <w:t>聚焦闭环管理，建设全域无废城市</w:t>
                  </w:r>
                </w:p>
              </w:tc>
              <w:tc>
                <w:tcPr>
                  <w:tcW w:w="3768" w:type="dxa"/>
                  <w:vAlign w:val="center"/>
                </w:tcPr>
                <w:p w14:paraId="31505A79">
                  <w:pPr>
                    <w:textAlignment w:val="center"/>
                    <w:rPr>
                      <w:color w:val="auto"/>
                      <w:sz w:val="24"/>
                    </w:rPr>
                  </w:pPr>
                  <w:r>
                    <w:rPr>
                      <w:b/>
                      <w:bCs/>
                      <w:color w:val="auto"/>
                      <w:kern w:val="0"/>
                    </w:rPr>
                    <w:t>推进固体废物源头减量化。</w:t>
                  </w:r>
                  <w:r>
                    <w:rPr>
                      <w:color w:val="auto"/>
                      <w:kern w:val="0"/>
                    </w:rPr>
                    <w:t>全面加强企业工艺技术改造，持续推进清洁生产，夯实产废者的主体责任，延长产废者的责任追究链条，推进源头减量。</w:t>
                  </w:r>
                </w:p>
              </w:tc>
              <w:tc>
                <w:tcPr>
                  <w:tcW w:w="2460" w:type="dxa"/>
                  <w:vAlign w:val="center"/>
                </w:tcPr>
                <w:p w14:paraId="72ABA879">
                  <w:pPr>
                    <w:textAlignment w:val="center"/>
                    <w:rPr>
                      <w:color w:val="auto"/>
                      <w:sz w:val="24"/>
                    </w:rPr>
                  </w:pPr>
                  <w:r>
                    <w:rPr>
                      <w:color w:val="auto"/>
                      <w:kern w:val="0"/>
                    </w:rPr>
                    <w:t>本项目各类固废产生量均属于正常水平，要求加强全过程监管。</w:t>
                  </w:r>
                </w:p>
              </w:tc>
              <w:tc>
                <w:tcPr>
                  <w:tcW w:w="913" w:type="dxa"/>
                  <w:vAlign w:val="center"/>
                </w:tcPr>
                <w:p w14:paraId="3E6B25F7">
                  <w:pPr>
                    <w:jc w:val="center"/>
                    <w:textAlignment w:val="center"/>
                    <w:rPr>
                      <w:color w:val="auto"/>
                      <w:sz w:val="24"/>
                    </w:rPr>
                  </w:pPr>
                  <w:r>
                    <w:rPr>
                      <w:snapToGrid w:val="0"/>
                      <w:color w:val="auto"/>
                      <w:kern w:val="0"/>
                    </w:rPr>
                    <w:t>符合</w:t>
                  </w:r>
                </w:p>
              </w:tc>
            </w:tr>
            <w:tr w14:paraId="45B4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2" w:type="dxa"/>
                  <w:vMerge w:val="continue"/>
                  <w:vAlign w:val="center"/>
                </w:tcPr>
                <w:p w14:paraId="184BA210">
                  <w:pPr>
                    <w:textAlignment w:val="center"/>
                    <w:rPr>
                      <w:color w:val="auto"/>
                      <w:sz w:val="24"/>
                    </w:rPr>
                  </w:pPr>
                </w:p>
              </w:tc>
              <w:tc>
                <w:tcPr>
                  <w:tcW w:w="3768" w:type="dxa"/>
                  <w:vAlign w:val="center"/>
                </w:tcPr>
                <w:p w14:paraId="2894F4F0">
                  <w:pPr>
                    <w:textAlignment w:val="center"/>
                    <w:rPr>
                      <w:color w:val="auto"/>
                      <w:sz w:val="24"/>
                    </w:rPr>
                  </w:pPr>
                  <w:r>
                    <w:rPr>
                      <w:b/>
                      <w:bCs/>
                      <w:color w:val="auto"/>
                      <w:kern w:val="0"/>
                    </w:rPr>
                    <w:t>加强固体废物分类收集。</w:t>
                  </w:r>
                  <w:r>
                    <w:rPr>
                      <w:color w:val="auto"/>
                      <w:kern w:val="0"/>
                    </w:rPr>
                    <w:t>建立健全精准化源头分类、专业化二次分拣、智能化高效清运、最大化资源利用、集中化统一处置的一般工业固体废物治理体系。</w:t>
                  </w:r>
                </w:p>
              </w:tc>
              <w:tc>
                <w:tcPr>
                  <w:tcW w:w="2460" w:type="dxa"/>
                  <w:vAlign w:val="center"/>
                </w:tcPr>
                <w:p w14:paraId="75856CB5">
                  <w:pPr>
                    <w:textAlignment w:val="center"/>
                    <w:rPr>
                      <w:color w:val="auto"/>
                      <w:sz w:val="24"/>
                    </w:rPr>
                  </w:pPr>
                  <w:r>
                    <w:rPr>
                      <w:color w:val="auto"/>
                      <w:kern w:val="0"/>
                    </w:rPr>
                    <w:t>本项目各类固废均能做到分类收集、妥善处置。</w:t>
                  </w:r>
                </w:p>
              </w:tc>
              <w:tc>
                <w:tcPr>
                  <w:tcW w:w="913" w:type="dxa"/>
                  <w:vAlign w:val="center"/>
                </w:tcPr>
                <w:p w14:paraId="1AA84D93">
                  <w:pPr>
                    <w:jc w:val="center"/>
                    <w:textAlignment w:val="center"/>
                    <w:rPr>
                      <w:color w:val="auto"/>
                      <w:sz w:val="24"/>
                    </w:rPr>
                  </w:pPr>
                  <w:r>
                    <w:rPr>
                      <w:snapToGrid w:val="0"/>
                      <w:color w:val="auto"/>
                      <w:kern w:val="0"/>
                    </w:rPr>
                    <w:t>符合</w:t>
                  </w:r>
                </w:p>
              </w:tc>
            </w:tr>
          </w:tbl>
          <w:p w14:paraId="3FE7161A">
            <w:pPr>
              <w:numPr>
                <w:ilvl w:val="2"/>
                <w:numId w:val="14"/>
              </w:numPr>
              <w:adjustRightInd w:val="0"/>
              <w:snapToGrid w:val="0"/>
              <w:spacing w:line="360" w:lineRule="auto"/>
              <w:ind w:firstLine="0"/>
              <w:jc w:val="left"/>
              <w:rPr>
                <w:b/>
                <w:bCs/>
                <w:color w:val="auto"/>
                <w:sz w:val="24"/>
              </w:rPr>
            </w:pPr>
            <w:r>
              <w:rPr>
                <w:rFonts w:hint="eastAsia"/>
                <w:b/>
                <w:bCs/>
                <w:color w:val="auto"/>
                <w:sz w:val="24"/>
              </w:rPr>
              <w:t>《浙江省空气质量持续改善行动计划》（浙政发[2024]11号）符合性分析</w:t>
            </w:r>
          </w:p>
          <w:p w14:paraId="1F47B259">
            <w:pPr>
              <w:autoSpaceDE w:val="0"/>
              <w:autoSpaceDN w:val="0"/>
              <w:adjustRightInd w:val="0"/>
              <w:snapToGrid w:val="0"/>
              <w:spacing w:line="360" w:lineRule="auto"/>
              <w:ind w:firstLine="480" w:firstLineChars="200"/>
              <w:rPr>
                <w:color w:val="auto"/>
                <w:sz w:val="24"/>
              </w:rPr>
            </w:pPr>
            <w:r>
              <w:rPr>
                <w:rFonts w:hint="eastAsia"/>
                <w:color w:val="auto"/>
                <w:sz w:val="24"/>
              </w:rPr>
              <w:t>对照《浙江省空气质量持续改善行动计划》（浙政发[2024]11号），具体涉及对企业的要求见下表，要求企业以降低细颗粒物（PM2.5）浓度为主线，坚持精准、科学、依法治污，强化系统治理、分类施策、协同控制，深入推进产业、能源、交通结构绿色低碳转型，积极推动生态环境领域大规模设备更新，推动形成绿色低碳生产生活方式，全链条推进大气污染防治。</w:t>
            </w:r>
          </w:p>
          <w:p w14:paraId="1C91BE13">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《浙江省空气质量持续改善行动计划》（节选）符合性分析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4776"/>
              <w:gridCol w:w="2226"/>
            </w:tblGrid>
            <w:tr w14:paraId="6813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Align w:val="center"/>
                </w:tcPr>
                <w:p w14:paraId="1E35AC28">
                  <w:pPr>
                    <w:widowControl/>
                    <w:jc w:val="center"/>
                    <w:rPr>
                      <w:color w:val="auto"/>
                      <w:sz w:val="24"/>
                    </w:rPr>
                  </w:pPr>
                  <w:r>
                    <w:rPr>
                      <w:color w:val="auto"/>
                      <w:kern w:val="0"/>
                    </w:rPr>
                    <w:t>类别</w:t>
                  </w:r>
                </w:p>
              </w:tc>
              <w:tc>
                <w:tcPr>
                  <w:tcW w:w="4776" w:type="dxa"/>
                  <w:vAlign w:val="center"/>
                </w:tcPr>
                <w:p w14:paraId="0C1A386D">
                  <w:pPr>
                    <w:widowControl/>
                    <w:jc w:val="center"/>
                    <w:rPr>
                      <w:color w:val="auto"/>
                      <w:sz w:val="24"/>
                    </w:rPr>
                  </w:pPr>
                  <w:r>
                    <w:rPr>
                      <w:color w:val="auto"/>
                      <w:kern w:val="0"/>
                    </w:rPr>
                    <w:t>要求</w:t>
                  </w:r>
                </w:p>
              </w:tc>
              <w:tc>
                <w:tcPr>
                  <w:tcW w:w="2226" w:type="dxa"/>
                  <w:vAlign w:val="center"/>
                </w:tcPr>
                <w:p w14:paraId="64F3626C">
                  <w:pPr>
                    <w:widowControl/>
                    <w:jc w:val="center"/>
                    <w:rPr>
                      <w:color w:val="auto"/>
                      <w:sz w:val="24"/>
                    </w:rPr>
                  </w:pPr>
                  <w:r>
                    <w:rPr>
                      <w:color w:val="auto"/>
                      <w:kern w:val="0"/>
                    </w:rPr>
                    <w:t>本项目情况</w:t>
                  </w:r>
                </w:p>
              </w:tc>
            </w:tr>
            <w:tr w14:paraId="7311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Merge w:val="restart"/>
                  <w:vAlign w:val="center"/>
                </w:tcPr>
                <w:p w14:paraId="54B73DD3">
                  <w:pPr>
                    <w:widowControl/>
                    <w:rPr>
                      <w:color w:val="auto"/>
                      <w:sz w:val="24"/>
                    </w:rPr>
                  </w:pPr>
                  <w:r>
                    <w:rPr>
                      <w:color w:val="auto"/>
                      <w:kern w:val="0"/>
                    </w:rPr>
                    <w:t>优化产业结构，推动产业高质量发展</w:t>
                  </w:r>
                </w:p>
              </w:tc>
              <w:tc>
                <w:tcPr>
                  <w:tcW w:w="4776" w:type="dxa"/>
                  <w:vAlign w:val="center"/>
                </w:tcPr>
                <w:p w14:paraId="14CB9CA0">
                  <w:pPr>
                    <w:widowControl/>
                    <w:rPr>
                      <w:color w:val="auto"/>
                      <w:sz w:val="24"/>
                    </w:rPr>
                  </w:pPr>
                  <w:r>
                    <w:rPr>
                      <w:b/>
                      <w:bCs/>
                      <w:color w:val="auto"/>
                      <w:kern w:val="0"/>
                    </w:rPr>
                    <w:t>（一）源头优化产业准入。</w:t>
                  </w:r>
                  <w:r>
                    <w:rPr>
                      <w:color w:val="auto"/>
                      <w:kern w:val="0"/>
                    </w:rPr>
                    <w:t>坚决遏制“两高一低”（高耗能、高排放、低水平）项目盲目上马，新改扩建“两高一低”项目严格落实国家产业规划、产业政策、生态环境分区管控方案、规划环评、项目环评、节能审查、产能置换、重点污染物总量控制、污染物排放区域削减、碳排放达峰目标等相关要求，一般应达到大气污染防治绩效A级（引领性）水平、采用清洁运输方式。新改扩建项目应对照《工业重点领域能效标杆水平和基准水平》中的能效标杆水平建设实施。涉及产能置换的项目，被置换产能及其配套设施关停后，新改扩建项目方可投产。推动石化产业链“控油增化”。</w:t>
                  </w:r>
                </w:p>
              </w:tc>
              <w:tc>
                <w:tcPr>
                  <w:tcW w:w="2226" w:type="dxa"/>
                  <w:vAlign w:val="center"/>
                </w:tcPr>
                <w:p w14:paraId="624458DA">
                  <w:pPr>
                    <w:widowControl/>
                    <w:rPr>
                      <w:color w:val="auto"/>
                      <w:sz w:val="24"/>
                    </w:rPr>
                  </w:pPr>
                  <w:r>
                    <w:rPr>
                      <w:color w:val="auto"/>
                    </w:rPr>
                    <w:t>本项目不属于高耗能项目，本项目采取了先进合理的污染防治措施，污染物排放符合国家、地方相关标准要求，不属于高排放项目，本项目工艺水平符合相应行业标准要求，不属于低水平项目，本项目符合十项准入要求。</w:t>
                  </w:r>
                </w:p>
              </w:tc>
            </w:tr>
            <w:tr w14:paraId="2363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Merge w:val="continue"/>
                  <w:vAlign w:val="center"/>
                </w:tcPr>
                <w:p w14:paraId="00CB75E3">
                  <w:pPr>
                    <w:widowControl/>
                    <w:rPr>
                      <w:color w:val="auto"/>
                      <w:sz w:val="24"/>
                    </w:rPr>
                  </w:pPr>
                </w:p>
              </w:tc>
              <w:tc>
                <w:tcPr>
                  <w:tcW w:w="4776" w:type="dxa"/>
                  <w:vAlign w:val="center"/>
                </w:tcPr>
                <w:p w14:paraId="187629A8">
                  <w:pPr>
                    <w:widowControl/>
                    <w:rPr>
                      <w:color w:val="auto"/>
                      <w:sz w:val="24"/>
                    </w:rPr>
                  </w:pPr>
                  <w:r>
                    <w:rPr>
                      <w:b/>
                      <w:bCs/>
                      <w:color w:val="auto"/>
                      <w:kern w:val="0"/>
                    </w:rPr>
                    <w:t>（二）推进产业结构调整。</w:t>
                  </w:r>
                  <w:r>
                    <w:rPr>
                      <w:color w:val="auto"/>
                      <w:kern w:val="0"/>
                    </w:rPr>
                    <w:t>严格落实《产业结构调整指导目录（2024年本）》，进一步提高落后产能能耗、环保、质量、安全、技术等要求，依法依规加快退出重点行业落后产能。鼓励现有高耗能项目参照标杆水平要求实施技术改造，加大涉气行业落后工艺装备淘汰和限制类工艺装备的改造提升。加快推进6000万标砖/年以下（不含）的烧结砖及烧结空心砌块生产线等限制类产能升级改造和退出，支持发展绿色低碳建筑材料制造产业。推动长流程炼钢企业减量置换改造，优化整合短流程炼钢和独立热轧产能，到2025年全省钢铁生产废钢比大于40%。加快推进水泥生产重点地区水泥熟料产能整合，到2025年完成不少于8条2500吨/日及以下熟料生产线整合退出。</w:t>
                  </w:r>
                </w:p>
              </w:tc>
              <w:tc>
                <w:tcPr>
                  <w:tcW w:w="2226" w:type="dxa"/>
                  <w:vAlign w:val="center"/>
                </w:tcPr>
                <w:p w14:paraId="0828E19C">
                  <w:pPr>
                    <w:widowControl/>
                    <w:rPr>
                      <w:color w:val="auto"/>
                      <w:sz w:val="24"/>
                    </w:rPr>
                  </w:pPr>
                  <w:r>
                    <w:rPr>
                      <w:color w:val="auto"/>
                      <w:kern w:val="0"/>
                    </w:rPr>
                    <w:t>项目符合《产业结构调整指导目录（2024年本）》和《绿色低碳转型产业指导目录（2024版）》相关内容，不涉及落后产能，不涉及限制类涉气行业工艺和装备。</w:t>
                  </w:r>
                </w:p>
              </w:tc>
            </w:tr>
            <w:tr w14:paraId="23C0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Align w:val="center"/>
                </w:tcPr>
                <w:p w14:paraId="4884F317">
                  <w:pPr>
                    <w:widowControl/>
                    <w:rPr>
                      <w:color w:val="auto"/>
                      <w:sz w:val="24"/>
                    </w:rPr>
                  </w:pPr>
                  <w:r>
                    <w:rPr>
                      <w:color w:val="auto"/>
                      <w:kern w:val="0"/>
                    </w:rPr>
                    <w:t>优化能源结构，加速能源低碳化转型</w:t>
                  </w:r>
                </w:p>
              </w:tc>
              <w:tc>
                <w:tcPr>
                  <w:tcW w:w="4776" w:type="dxa"/>
                  <w:vAlign w:val="center"/>
                </w:tcPr>
                <w:p w14:paraId="2F6EA165">
                  <w:pPr>
                    <w:widowControl/>
                    <w:rPr>
                      <w:color w:val="auto"/>
                      <w:sz w:val="24"/>
                    </w:rPr>
                  </w:pPr>
                  <w:r>
                    <w:rPr>
                      <w:b/>
                      <w:bCs/>
                      <w:color w:val="auto"/>
                      <w:kern w:val="0"/>
                    </w:rPr>
                    <w:t>（一）大力发展清洁低碳能源。</w:t>
                  </w:r>
                  <w:r>
                    <w:rPr>
                      <w:color w:val="auto"/>
                      <w:kern w:val="0"/>
                    </w:rPr>
                    <w:t>到2025年，非化石能源消费比重达到24%，电能占终端能源消费比重达到40%左右，新能源电力装机增至4500万千瓦以上，天然气消费量达到200亿立方米左右。</w:t>
                  </w:r>
                </w:p>
              </w:tc>
              <w:tc>
                <w:tcPr>
                  <w:tcW w:w="2226" w:type="dxa"/>
                  <w:vAlign w:val="center"/>
                </w:tcPr>
                <w:p w14:paraId="42326E5E">
                  <w:pPr>
                    <w:widowControl/>
                    <w:rPr>
                      <w:color w:val="auto"/>
                      <w:sz w:val="24"/>
                    </w:rPr>
                  </w:pPr>
                  <w:r>
                    <w:rPr>
                      <w:color w:val="auto"/>
                      <w:kern w:val="0"/>
                    </w:rPr>
                    <w:t>本项目仅涉及水、电等清洁能源。</w:t>
                  </w:r>
                </w:p>
              </w:tc>
            </w:tr>
            <w:tr w14:paraId="3641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Align w:val="center"/>
                </w:tcPr>
                <w:p w14:paraId="38ABBEF2">
                  <w:pPr>
                    <w:widowControl/>
                    <w:rPr>
                      <w:color w:val="auto"/>
                      <w:sz w:val="24"/>
                    </w:rPr>
                  </w:pPr>
                  <w:r>
                    <w:rPr>
                      <w:color w:val="auto"/>
                      <w:kern w:val="0"/>
                    </w:rPr>
                    <w:t>强化面源综合治理，推进智慧化监管</w:t>
                  </w:r>
                </w:p>
              </w:tc>
              <w:tc>
                <w:tcPr>
                  <w:tcW w:w="4776" w:type="dxa"/>
                  <w:vAlign w:val="center"/>
                </w:tcPr>
                <w:p w14:paraId="2FC92D0C">
                  <w:pPr>
                    <w:widowControl/>
                    <w:rPr>
                      <w:color w:val="auto"/>
                      <w:sz w:val="24"/>
                    </w:rPr>
                  </w:pPr>
                  <w:r>
                    <w:rPr>
                      <w:b/>
                      <w:bCs/>
                      <w:color w:val="auto"/>
                      <w:kern w:val="0"/>
                    </w:rPr>
                    <w:t>（四）加强重点领域恶臭异味治理。</w:t>
                  </w:r>
                  <w:r>
                    <w:rPr>
                      <w:color w:val="auto"/>
                      <w:kern w:val="0"/>
                    </w:rPr>
                    <w:t>开展工业园区、重点企业、市政设施和畜禽养殖领域恶臭异味排查整治，加快解决群众反映强烈的恶臭异味扰民问题；投诉集中的工业园区、重点企业要安装运行在线监测系统。控制农业源氨排放，研究推广氮肥减量增效技术，加强氮肥等行业大气氨排放治理，加大畜禽养殖粪污资源化利用和无害化处理力度。严格居民楼附近餐饮服务单位布局管理，拟开设餐饮服务单位的建筑应设计建设专用烟道，鼓励有条件的地方实施治理设施第三方运维管理和在线监控。</w:t>
                  </w:r>
                </w:p>
              </w:tc>
              <w:tc>
                <w:tcPr>
                  <w:tcW w:w="2226" w:type="dxa"/>
                  <w:vAlign w:val="center"/>
                </w:tcPr>
                <w:p w14:paraId="53D1E4BF">
                  <w:pPr>
                    <w:widowControl/>
                    <w:rPr>
                      <w:color w:val="auto"/>
                      <w:sz w:val="24"/>
                    </w:rPr>
                  </w:pPr>
                  <w:r>
                    <w:rPr>
                      <w:color w:val="auto"/>
                      <w:kern w:val="0"/>
                    </w:rPr>
                    <w:t>本项目恶臭气体收集后通过两级活性炭吸附装置处理后通过</w:t>
                  </w:r>
                  <w:r>
                    <w:rPr>
                      <w:rFonts w:hint="eastAsia"/>
                      <w:color w:val="auto"/>
                      <w:kern w:val="0"/>
                    </w:rPr>
                    <w:t>1</w:t>
                  </w:r>
                  <w:r>
                    <w:rPr>
                      <w:color w:val="auto"/>
                      <w:kern w:val="0"/>
                    </w:rPr>
                    <w:t>5m高排气筒高空排放。</w:t>
                  </w:r>
                </w:p>
              </w:tc>
            </w:tr>
            <w:tr w14:paraId="40D6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Merge w:val="restart"/>
                  <w:vAlign w:val="center"/>
                </w:tcPr>
                <w:p w14:paraId="06138F84">
                  <w:pPr>
                    <w:widowControl/>
                    <w:rPr>
                      <w:color w:val="auto"/>
                      <w:sz w:val="24"/>
                    </w:rPr>
                  </w:pPr>
                  <w:r>
                    <w:rPr>
                      <w:color w:val="auto"/>
                      <w:kern w:val="0"/>
                    </w:rPr>
                    <w:t>强化多污染物减排，提升废气治理绩效</w:t>
                  </w:r>
                </w:p>
              </w:tc>
              <w:tc>
                <w:tcPr>
                  <w:tcW w:w="4776" w:type="dxa"/>
                  <w:vAlign w:val="center"/>
                </w:tcPr>
                <w:p w14:paraId="37757805">
                  <w:pPr>
                    <w:widowControl/>
                    <w:rPr>
                      <w:color w:val="auto"/>
                      <w:sz w:val="24"/>
                    </w:rPr>
                  </w:pPr>
                  <w:r>
                    <w:rPr>
                      <w:b/>
                      <w:bCs/>
                      <w:color w:val="auto"/>
                      <w:kern w:val="0"/>
                    </w:rPr>
                    <w:t>（二）全面推进含VOCs原辅材料和产品源头替代。</w:t>
                  </w:r>
                  <w:r>
                    <w:rPr>
                      <w:color w:val="auto"/>
                      <w:kern w:val="0"/>
                    </w:rPr>
                    <w:t>新改扩建项目优先生产、使用非溶剂型VOCs含量涂料、油墨、胶粘剂、清洗剂等产品和原辅材料，原则上不得人为添加卤代烃物质。生产、销售、进口、使用等环节严格执行VOCs含量限值标准。钢结构、房屋建筑、市政工程、交通工程等领域全面推广使用非溶剂型VOCs含量产品。全面推进重点行业VOCs源头替代，汽车整车、工程机械、车辆零部件、木质家具、船舶制造等行业，以及吸收性承印物凹版印刷、软包装复合、纺织品复合、家具胶粘等工序，实现溶剂型原辅材料“应替尽替”。</w:t>
                  </w:r>
                </w:p>
              </w:tc>
              <w:tc>
                <w:tcPr>
                  <w:tcW w:w="2226" w:type="dxa"/>
                  <w:vAlign w:val="center"/>
                </w:tcPr>
                <w:p w14:paraId="308A3315">
                  <w:pPr>
                    <w:widowControl/>
                    <w:rPr>
                      <w:color w:val="auto"/>
                      <w:sz w:val="24"/>
                    </w:rPr>
                  </w:pPr>
                  <w:r>
                    <w:rPr>
                      <w:color w:val="auto"/>
                      <w:kern w:val="0"/>
                    </w:rPr>
                    <w:t>本项目不涉及涂料、油墨、胶粘剂、清洗剂。</w:t>
                  </w:r>
                </w:p>
              </w:tc>
            </w:tr>
            <w:tr w14:paraId="118D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1" w:type="dxa"/>
                  <w:vMerge w:val="continue"/>
                  <w:vAlign w:val="center"/>
                </w:tcPr>
                <w:p w14:paraId="7C906DB3">
                  <w:pPr>
                    <w:widowControl/>
                    <w:rPr>
                      <w:color w:val="auto"/>
                      <w:sz w:val="24"/>
                    </w:rPr>
                  </w:pPr>
                </w:p>
              </w:tc>
              <w:tc>
                <w:tcPr>
                  <w:tcW w:w="4776" w:type="dxa"/>
                  <w:vAlign w:val="center"/>
                </w:tcPr>
                <w:p w14:paraId="4BCD67BC">
                  <w:pPr>
                    <w:widowControl/>
                    <w:rPr>
                      <w:color w:val="auto"/>
                      <w:sz w:val="24"/>
                    </w:rPr>
                  </w:pPr>
                  <w:r>
                    <w:rPr>
                      <w:b/>
                      <w:bCs/>
                      <w:color w:val="auto"/>
                      <w:kern w:val="0"/>
                    </w:rPr>
                    <w:t>（三）深化VOCs综合治理。</w:t>
                  </w:r>
                  <w:r>
                    <w:rPr>
                      <w:color w:val="auto"/>
                      <w:kern w:val="0"/>
                    </w:rPr>
                    <w:t>持续开展低效失效VOCs治理设施排查整治，除恶臭异味治理外，全面淘汰低温等离子、光氧化、光催化废气治理设施。推进储罐使用低泄漏的呼吸阀、紧急泄压阀，定期开展密封性检测。污水处理场所高浓度有机废气单独收集处理，含VOCs有机废水储罐、装置区集水井（池）有机废气密闭收集处理。石化、化工、化纤、油品仓储等企业开停工、检维修期间，及时收集处理退料、清洗、吹扫等作业产生的VOCs废气；不得将火炬燃烧装置作为日常大气污染治理设施。2024年底前，石化、化工行业集中的县（市、区）实现统一的泄漏检测与修复（LDAR）数字化管理，各设区市建立VOCs治理用活性炭集中再生监管服务平台。</w:t>
                  </w:r>
                </w:p>
              </w:tc>
              <w:tc>
                <w:tcPr>
                  <w:tcW w:w="2226" w:type="dxa"/>
                  <w:vAlign w:val="center"/>
                </w:tcPr>
                <w:p w14:paraId="22116CF1">
                  <w:pPr>
                    <w:widowControl/>
                    <w:rPr>
                      <w:color w:val="auto"/>
                      <w:sz w:val="24"/>
                    </w:rPr>
                  </w:pPr>
                  <w:r>
                    <w:rPr>
                      <w:color w:val="auto"/>
                      <w:kern w:val="0"/>
                    </w:rPr>
                    <w:t>本项目挤出废气收集后经1套两级活性炭吸附装置处理后通过</w:t>
                  </w:r>
                  <w:r>
                    <w:rPr>
                      <w:rFonts w:hint="eastAsia"/>
                      <w:color w:val="auto"/>
                      <w:kern w:val="0"/>
                    </w:rPr>
                    <w:t>1</w:t>
                  </w:r>
                  <w:r>
                    <w:rPr>
                      <w:color w:val="auto"/>
                      <w:kern w:val="0"/>
                    </w:rPr>
                    <w:t>5m高排气筒高空排放。</w:t>
                  </w:r>
                </w:p>
              </w:tc>
            </w:tr>
          </w:tbl>
          <w:p w14:paraId="6EC30E7A">
            <w:pPr>
              <w:numPr>
                <w:ilvl w:val="2"/>
                <w:numId w:val="14"/>
              </w:numPr>
              <w:adjustRightInd w:val="0"/>
              <w:snapToGrid w:val="0"/>
              <w:spacing w:line="360" w:lineRule="auto"/>
              <w:ind w:firstLine="0"/>
              <w:jc w:val="left"/>
              <w:rPr>
                <w:b/>
                <w:bCs/>
                <w:color w:val="auto"/>
                <w:sz w:val="24"/>
              </w:rPr>
            </w:pPr>
            <w:r>
              <w:rPr>
                <w:rFonts w:hint="eastAsia"/>
                <w:b/>
                <w:bCs/>
                <w:color w:val="auto"/>
                <w:sz w:val="24"/>
              </w:rPr>
              <w:t>《浙江省臭氧污染防治攻坚三年行动方案》符合性分析</w:t>
            </w:r>
          </w:p>
          <w:p w14:paraId="4C0F3DEE">
            <w:pPr>
              <w:autoSpaceDE w:val="0"/>
              <w:autoSpaceDN w:val="0"/>
              <w:adjustRightInd w:val="0"/>
              <w:snapToGrid w:val="0"/>
              <w:spacing w:line="360" w:lineRule="auto"/>
              <w:ind w:firstLine="480" w:firstLineChars="200"/>
              <w:rPr>
                <w:color w:val="auto"/>
                <w:sz w:val="24"/>
                <w:szCs w:val="32"/>
              </w:rPr>
            </w:pPr>
            <w:r>
              <w:rPr>
                <w:color w:val="auto"/>
                <w:sz w:val="24"/>
              </w:rPr>
              <w:t>为深入打好蓝天保卫战，有效遏制臭氧污染，省美丽浙江建设领导小组办公室于2022年12月发布了《浙江省臭氧污染防治攻坚三年行动方案》。根据分析，本项目总体符合该行动方案相关条款的要求，具体详见</w:t>
            </w:r>
            <w:r>
              <w:rPr>
                <w:rFonts w:hint="eastAsia"/>
                <w:color w:val="auto"/>
                <w:sz w:val="24"/>
              </w:rPr>
              <w:t>下表。</w:t>
            </w:r>
          </w:p>
          <w:p w14:paraId="7FC7A49B">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《浙江省臭氧污染防治攻坚三年行动方案》符合性分析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4620"/>
              <w:gridCol w:w="2076"/>
              <w:gridCol w:w="1044"/>
            </w:tblGrid>
            <w:tr w14:paraId="2CDE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53" w:type="dxa"/>
                  <w:gridSpan w:val="2"/>
                  <w:vAlign w:val="center"/>
                </w:tcPr>
                <w:p w14:paraId="2902C3A6">
                  <w:pPr>
                    <w:jc w:val="center"/>
                    <w:textAlignment w:val="center"/>
                    <w:rPr>
                      <w:color w:val="auto"/>
                      <w:sz w:val="24"/>
                      <w:szCs w:val="32"/>
                    </w:rPr>
                  </w:pPr>
                  <w:r>
                    <w:rPr>
                      <w:color w:val="auto"/>
                      <w:kern w:val="0"/>
                    </w:rPr>
                    <w:t>重点任务</w:t>
                  </w:r>
                </w:p>
              </w:tc>
              <w:tc>
                <w:tcPr>
                  <w:tcW w:w="2076" w:type="dxa"/>
                  <w:vAlign w:val="center"/>
                </w:tcPr>
                <w:p w14:paraId="6A187C29">
                  <w:pPr>
                    <w:jc w:val="center"/>
                    <w:textAlignment w:val="center"/>
                    <w:rPr>
                      <w:color w:val="auto"/>
                      <w:sz w:val="24"/>
                      <w:szCs w:val="32"/>
                    </w:rPr>
                  </w:pPr>
                  <w:r>
                    <w:rPr>
                      <w:color w:val="auto"/>
                      <w:kern w:val="0"/>
                    </w:rPr>
                    <w:t>本项目情况</w:t>
                  </w:r>
                </w:p>
              </w:tc>
              <w:tc>
                <w:tcPr>
                  <w:tcW w:w="1044" w:type="dxa"/>
                  <w:vAlign w:val="center"/>
                </w:tcPr>
                <w:p w14:paraId="48602E53">
                  <w:pPr>
                    <w:jc w:val="center"/>
                    <w:textAlignment w:val="center"/>
                    <w:rPr>
                      <w:color w:val="auto"/>
                      <w:sz w:val="24"/>
                      <w:szCs w:val="32"/>
                    </w:rPr>
                  </w:pPr>
                  <w:r>
                    <w:rPr>
                      <w:color w:val="auto"/>
                      <w:kern w:val="0"/>
                    </w:rPr>
                    <w:t>符合性</w:t>
                  </w:r>
                </w:p>
              </w:tc>
            </w:tr>
            <w:tr w14:paraId="0919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5C14408C">
                  <w:pPr>
                    <w:jc w:val="center"/>
                    <w:textAlignment w:val="center"/>
                    <w:rPr>
                      <w:color w:val="auto"/>
                      <w:sz w:val="24"/>
                      <w:szCs w:val="32"/>
                    </w:rPr>
                  </w:pPr>
                  <w:r>
                    <w:rPr>
                      <w:color w:val="auto"/>
                      <w:kern w:val="0"/>
                    </w:rPr>
                    <w:t>1</w:t>
                  </w:r>
                </w:p>
              </w:tc>
              <w:tc>
                <w:tcPr>
                  <w:tcW w:w="4620" w:type="dxa"/>
                  <w:vAlign w:val="center"/>
                </w:tcPr>
                <w:p w14:paraId="0FFD2197">
                  <w:pPr>
                    <w:autoSpaceDE w:val="0"/>
                    <w:autoSpaceDN w:val="0"/>
                    <w:adjustRightInd w:val="0"/>
                    <w:rPr>
                      <w:color w:val="auto"/>
                      <w:sz w:val="24"/>
                      <w:szCs w:val="32"/>
                    </w:rPr>
                  </w:pPr>
                  <w:r>
                    <w:rPr>
                      <w:b/>
                      <w:bCs/>
                      <w:color w:val="auto"/>
                      <w:kern w:val="0"/>
                    </w:rPr>
                    <w:t>低效治理设施升级改造行动。</w:t>
                  </w:r>
                  <w:r>
                    <w:rPr>
                      <w:color w:val="auto"/>
                      <w:kern w:val="0"/>
                    </w:rPr>
                    <w:t>各县（市、区）生态环境部门组织开展企业挥发性有机物（VOCs）治理设施排查，对涉及使用低温等离子、光氧化、光催化技术的废气治理设施，以及非水溶性VOCs废气采用单一喷淋吸收等治理技术的设施，逐一登记入册。</w:t>
                  </w:r>
                </w:p>
              </w:tc>
              <w:tc>
                <w:tcPr>
                  <w:tcW w:w="2076" w:type="dxa"/>
                  <w:vAlign w:val="center"/>
                </w:tcPr>
                <w:p w14:paraId="7CFE5274">
                  <w:pPr>
                    <w:textAlignment w:val="center"/>
                    <w:rPr>
                      <w:color w:val="auto"/>
                      <w:sz w:val="24"/>
                      <w:szCs w:val="32"/>
                    </w:rPr>
                  </w:pPr>
                  <w:r>
                    <w:rPr>
                      <w:color w:val="auto"/>
                      <w:kern w:val="0"/>
                    </w:rPr>
                    <w:t>本项目挤出废气采用两级活性炭吸附处理，不属于低效的治理设施。</w:t>
                  </w:r>
                </w:p>
              </w:tc>
              <w:tc>
                <w:tcPr>
                  <w:tcW w:w="1044" w:type="dxa"/>
                  <w:vAlign w:val="center"/>
                </w:tcPr>
                <w:p w14:paraId="43AE199C">
                  <w:pPr>
                    <w:jc w:val="center"/>
                    <w:textAlignment w:val="center"/>
                    <w:rPr>
                      <w:color w:val="auto"/>
                      <w:sz w:val="24"/>
                      <w:szCs w:val="32"/>
                    </w:rPr>
                  </w:pPr>
                  <w:r>
                    <w:rPr>
                      <w:snapToGrid w:val="0"/>
                      <w:color w:val="auto"/>
                      <w:kern w:val="0"/>
                    </w:rPr>
                    <w:t>符合</w:t>
                  </w:r>
                </w:p>
              </w:tc>
            </w:tr>
            <w:tr w14:paraId="0BB7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2D39CD2D">
                  <w:pPr>
                    <w:jc w:val="center"/>
                    <w:textAlignment w:val="center"/>
                    <w:rPr>
                      <w:color w:val="auto"/>
                      <w:sz w:val="24"/>
                      <w:szCs w:val="32"/>
                    </w:rPr>
                  </w:pPr>
                  <w:r>
                    <w:rPr>
                      <w:color w:val="auto"/>
                      <w:kern w:val="0"/>
                    </w:rPr>
                    <w:t>2</w:t>
                  </w:r>
                </w:p>
              </w:tc>
              <w:tc>
                <w:tcPr>
                  <w:tcW w:w="4620" w:type="dxa"/>
                  <w:vAlign w:val="center"/>
                </w:tcPr>
                <w:p w14:paraId="1D80F085">
                  <w:pPr>
                    <w:autoSpaceDE w:val="0"/>
                    <w:autoSpaceDN w:val="0"/>
                    <w:adjustRightInd w:val="0"/>
                    <w:rPr>
                      <w:color w:val="auto"/>
                      <w:sz w:val="24"/>
                      <w:szCs w:val="32"/>
                    </w:rPr>
                  </w:pPr>
                  <w:r>
                    <w:rPr>
                      <w:b/>
                      <w:bCs/>
                      <w:color w:val="auto"/>
                      <w:kern w:val="0"/>
                    </w:rPr>
                    <w:t>重点行业VOCs源头替代行动。</w:t>
                  </w:r>
                  <w:r>
                    <w:rPr>
                      <w:color w:val="auto"/>
                      <w:kern w:val="0"/>
                    </w:rPr>
                    <w:t>各地结合产业特点和《低VOCs含量原辅材料源头替代指导目录》（浙环发[2021]10号文附件1），制定实施重点行业VOCs源头替代计划，确保本行政区域“到2025年，溶剂型工业涂料、油墨使用比例分别降低20个百分点、10个百分点，溶剂型胶粘剂使用量降低20%”。</w:t>
                  </w:r>
                </w:p>
              </w:tc>
              <w:tc>
                <w:tcPr>
                  <w:tcW w:w="2076" w:type="dxa"/>
                  <w:vAlign w:val="center"/>
                </w:tcPr>
                <w:p w14:paraId="7697E87E">
                  <w:pPr>
                    <w:textAlignment w:val="center"/>
                    <w:rPr>
                      <w:color w:val="auto"/>
                      <w:sz w:val="24"/>
                      <w:szCs w:val="32"/>
                    </w:rPr>
                  </w:pPr>
                  <w:r>
                    <w:rPr>
                      <w:color w:val="auto"/>
                      <w:kern w:val="0"/>
                    </w:rPr>
                    <w:t>本项目不涉及溶剂型工业涂料、油墨和溶剂型胶粘剂。</w:t>
                  </w:r>
                </w:p>
              </w:tc>
              <w:tc>
                <w:tcPr>
                  <w:tcW w:w="1044" w:type="dxa"/>
                  <w:vAlign w:val="center"/>
                </w:tcPr>
                <w:p w14:paraId="3CBF233C">
                  <w:pPr>
                    <w:jc w:val="center"/>
                    <w:textAlignment w:val="center"/>
                    <w:rPr>
                      <w:color w:val="auto"/>
                      <w:sz w:val="24"/>
                      <w:szCs w:val="32"/>
                    </w:rPr>
                  </w:pPr>
                  <w:r>
                    <w:rPr>
                      <w:snapToGrid w:val="0"/>
                      <w:color w:val="auto"/>
                      <w:kern w:val="0"/>
                    </w:rPr>
                    <w:t>符合</w:t>
                  </w:r>
                </w:p>
              </w:tc>
            </w:tr>
            <w:tr w14:paraId="769B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3" w:type="dxa"/>
                  <w:vAlign w:val="center"/>
                </w:tcPr>
                <w:p w14:paraId="18B1B9E0">
                  <w:pPr>
                    <w:jc w:val="center"/>
                    <w:textAlignment w:val="center"/>
                    <w:rPr>
                      <w:color w:val="auto"/>
                      <w:sz w:val="24"/>
                      <w:szCs w:val="32"/>
                    </w:rPr>
                  </w:pPr>
                  <w:r>
                    <w:rPr>
                      <w:color w:val="auto"/>
                      <w:kern w:val="0"/>
                    </w:rPr>
                    <w:t>3</w:t>
                  </w:r>
                </w:p>
              </w:tc>
              <w:tc>
                <w:tcPr>
                  <w:tcW w:w="4620" w:type="dxa"/>
                  <w:vAlign w:val="center"/>
                </w:tcPr>
                <w:p w14:paraId="7534951F">
                  <w:pPr>
                    <w:autoSpaceDE w:val="0"/>
                    <w:autoSpaceDN w:val="0"/>
                    <w:adjustRightInd w:val="0"/>
                    <w:rPr>
                      <w:color w:val="auto"/>
                      <w:sz w:val="24"/>
                      <w:szCs w:val="32"/>
                    </w:rPr>
                  </w:pPr>
                  <w:r>
                    <w:rPr>
                      <w:b/>
                      <w:bCs/>
                      <w:color w:val="auto"/>
                      <w:kern w:val="0"/>
                    </w:rPr>
                    <w:t>治气公共基础设施建设行动。</w:t>
                  </w:r>
                  <w:r>
                    <w:rPr>
                      <w:color w:val="auto"/>
                      <w:kern w:val="0"/>
                    </w:rPr>
                    <w:t>各地摸清需求，规划建设一批活性炭集中再生设施，2023年底前，全省废气治理活性炭集中再生设施规模力争达到30万吨/年以上，2025底前力争达到60万吨/年，远期提升至100万吨/年以上。</w:t>
                  </w:r>
                </w:p>
              </w:tc>
              <w:tc>
                <w:tcPr>
                  <w:tcW w:w="2076" w:type="dxa"/>
                  <w:vAlign w:val="center"/>
                </w:tcPr>
                <w:p w14:paraId="7D49C2CA">
                  <w:pPr>
                    <w:textAlignment w:val="center"/>
                    <w:rPr>
                      <w:color w:val="auto"/>
                      <w:sz w:val="24"/>
                      <w:szCs w:val="32"/>
                    </w:rPr>
                  </w:pPr>
                  <w:r>
                    <w:rPr>
                      <w:color w:val="auto"/>
                      <w:kern w:val="0"/>
                    </w:rPr>
                    <w:t>本项目活性炭采用颗粒活性炭，活性炭脱附将委托集中再生。</w:t>
                  </w:r>
                </w:p>
              </w:tc>
              <w:tc>
                <w:tcPr>
                  <w:tcW w:w="1044" w:type="dxa"/>
                  <w:vAlign w:val="center"/>
                </w:tcPr>
                <w:p w14:paraId="11C2BB64">
                  <w:pPr>
                    <w:jc w:val="center"/>
                    <w:textAlignment w:val="center"/>
                    <w:rPr>
                      <w:color w:val="auto"/>
                      <w:sz w:val="24"/>
                      <w:szCs w:val="32"/>
                    </w:rPr>
                  </w:pPr>
                  <w:r>
                    <w:rPr>
                      <w:snapToGrid w:val="0"/>
                      <w:color w:val="auto"/>
                      <w:kern w:val="0"/>
                    </w:rPr>
                    <w:t>符合</w:t>
                  </w:r>
                </w:p>
              </w:tc>
            </w:tr>
            <w:tr w14:paraId="16EA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4EB46DA4">
                  <w:pPr>
                    <w:jc w:val="center"/>
                    <w:textAlignment w:val="center"/>
                    <w:rPr>
                      <w:color w:val="auto"/>
                      <w:sz w:val="24"/>
                      <w:szCs w:val="32"/>
                    </w:rPr>
                  </w:pPr>
                  <w:r>
                    <w:rPr>
                      <w:color w:val="auto"/>
                      <w:kern w:val="0"/>
                    </w:rPr>
                    <w:t>4</w:t>
                  </w:r>
                </w:p>
              </w:tc>
              <w:tc>
                <w:tcPr>
                  <w:tcW w:w="4620" w:type="dxa"/>
                  <w:vAlign w:val="center"/>
                </w:tcPr>
                <w:p w14:paraId="7ADF0836">
                  <w:pPr>
                    <w:autoSpaceDE w:val="0"/>
                    <w:autoSpaceDN w:val="0"/>
                    <w:adjustRightInd w:val="0"/>
                    <w:rPr>
                      <w:color w:val="auto"/>
                      <w:sz w:val="24"/>
                      <w:szCs w:val="32"/>
                    </w:rPr>
                  </w:pPr>
                  <w:r>
                    <w:rPr>
                      <w:b/>
                      <w:bCs/>
                      <w:color w:val="auto"/>
                      <w:kern w:val="0"/>
                    </w:rPr>
                    <w:t>化工园区绿色发展行动。</w:t>
                  </w:r>
                  <w:r>
                    <w:rPr>
                      <w:color w:val="auto"/>
                      <w:kern w:val="0"/>
                    </w:rPr>
                    <w:t>加强化工园区治理监管，规范园区及周边大气环境监测站点建设，以园区环境空气质量和企业大气污染防治绩效评级为核心指标，开展全省化工园区大气环境管理等级评价和晾晒。</w:t>
                  </w:r>
                </w:p>
              </w:tc>
              <w:tc>
                <w:tcPr>
                  <w:tcW w:w="2076" w:type="dxa"/>
                  <w:vAlign w:val="center"/>
                </w:tcPr>
                <w:p w14:paraId="594B0570">
                  <w:pPr>
                    <w:textAlignment w:val="center"/>
                    <w:rPr>
                      <w:color w:val="auto"/>
                      <w:sz w:val="24"/>
                      <w:szCs w:val="32"/>
                    </w:rPr>
                  </w:pPr>
                  <w:r>
                    <w:rPr>
                      <w:color w:val="auto"/>
                      <w:kern w:val="0"/>
                    </w:rPr>
                    <w:t>本项目拟建址不属于化工园区。</w:t>
                  </w:r>
                </w:p>
              </w:tc>
              <w:tc>
                <w:tcPr>
                  <w:tcW w:w="1044" w:type="dxa"/>
                  <w:vAlign w:val="center"/>
                </w:tcPr>
                <w:p w14:paraId="2E1C836A">
                  <w:pPr>
                    <w:jc w:val="center"/>
                    <w:textAlignment w:val="center"/>
                    <w:rPr>
                      <w:color w:val="auto"/>
                      <w:sz w:val="24"/>
                      <w:szCs w:val="32"/>
                    </w:rPr>
                  </w:pPr>
                  <w:r>
                    <w:rPr>
                      <w:snapToGrid w:val="0"/>
                      <w:color w:val="auto"/>
                      <w:kern w:val="0"/>
                    </w:rPr>
                    <w:t>符合</w:t>
                  </w:r>
                </w:p>
              </w:tc>
            </w:tr>
            <w:tr w14:paraId="50CA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3" w:type="dxa"/>
                  <w:vAlign w:val="center"/>
                </w:tcPr>
                <w:p w14:paraId="327E9DB1">
                  <w:pPr>
                    <w:jc w:val="center"/>
                    <w:textAlignment w:val="center"/>
                    <w:rPr>
                      <w:color w:val="auto"/>
                      <w:sz w:val="24"/>
                      <w:szCs w:val="32"/>
                    </w:rPr>
                  </w:pPr>
                  <w:r>
                    <w:rPr>
                      <w:color w:val="auto"/>
                      <w:kern w:val="0"/>
                    </w:rPr>
                    <w:t>5</w:t>
                  </w:r>
                </w:p>
              </w:tc>
              <w:tc>
                <w:tcPr>
                  <w:tcW w:w="4620" w:type="dxa"/>
                  <w:vAlign w:val="center"/>
                </w:tcPr>
                <w:p w14:paraId="3E746039">
                  <w:pPr>
                    <w:autoSpaceDE w:val="0"/>
                    <w:autoSpaceDN w:val="0"/>
                    <w:adjustRightInd w:val="0"/>
                    <w:rPr>
                      <w:color w:val="auto"/>
                      <w:sz w:val="24"/>
                      <w:szCs w:val="32"/>
                    </w:rPr>
                  </w:pPr>
                  <w:r>
                    <w:rPr>
                      <w:b/>
                      <w:bCs/>
                      <w:color w:val="auto"/>
                      <w:kern w:val="0"/>
                    </w:rPr>
                    <w:t>产业集群综合整治行动。</w:t>
                  </w:r>
                  <w:r>
                    <w:rPr>
                      <w:color w:val="auto"/>
                      <w:kern w:val="0"/>
                    </w:rPr>
                    <w:t>重点排查使用溶剂型工业涂料、油墨、胶粘剂、涂层剂或其他有机溶剂的家具制造、门窗制造、五金制品制造、零部件制造、包装印刷、纺织后整理、制鞋等产业集群。</w:t>
                  </w:r>
                </w:p>
              </w:tc>
              <w:tc>
                <w:tcPr>
                  <w:tcW w:w="2076" w:type="dxa"/>
                  <w:vAlign w:val="center"/>
                </w:tcPr>
                <w:p w14:paraId="119C4B25">
                  <w:pPr>
                    <w:textAlignment w:val="center"/>
                    <w:rPr>
                      <w:color w:val="auto"/>
                      <w:sz w:val="24"/>
                      <w:szCs w:val="32"/>
                    </w:rPr>
                  </w:pPr>
                  <w:r>
                    <w:rPr>
                      <w:color w:val="auto"/>
                      <w:kern w:val="0"/>
                    </w:rPr>
                    <w:t>本项目不属于所列须重点排查的行业企业。</w:t>
                  </w:r>
                </w:p>
              </w:tc>
              <w:tc>
                <w:tcPr>
                  <w:tcW w:w="1044" w:type="dxa"/>
                  <w:vAlign w:val="center"/>
                </w:tcPr>
                <w:p w14:paraId="33FB7527">
                  <w:pPr>
                    <w:jc w:val="center"/>
                    <w:textAlignment w:val="center"/>
                    <w:rPr>
                      <w:color w:val="auto"/>
                      <w:sz w:val="24"/>
                      <w:szCs w:val="32"/>
                    </w:rPr>
                  </w:pPr>
                  <w:r>
                    <w:rPr>
                      <w:snapToGrid w:val="0"/>
                      <w:color w:val="auto"/>
                      <w:kern w:val="0"/>
                    </w:rPr>
                    <w:t>符合</w:t>
                  </w:r>
                </w:p>
              </w:tc>
            </w:tr>
            <w:tr w14:paraId="7292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7567842D">
                  <w:pPr>
                    <w:jc w:val="center"/>
                    <w:textAlignment w:val="center"/>
                    <w:rPr>
                      <w:color w:val="auto"/>
                      <w:sz w:val="24"/>
                      <w:szCs w:val="32"/>
                    </w:rPr>
                  </w:pPr>
                  <w:r>
                    <w:rPr>
                      <w:color w:val="auto"/>
                      <w:kern w:val="0"/>
                    </w:rPr>
                    <w:t>6</w:t>
                  </w:r>
                </w:p>
              </w:tc>
              <w:tc>
                <w:tcPr>
                  <w:tcW w:w="4620" w:type="dxa"/>
                  <w:vAlign w:val="center"/>
                </w:tcPr>
                <w:p w14:paraId="1F46A178">
                  <w:pPr>
                    <w:autoSpaceDE w:val="0"/>
                    <w:autoSpaceDN w:val="0"/>
                    <w:adjustRightInd w:val="0"/>
                    <w:rPr>
                      <w:color w:val="auto"/>
                      <w:sz w:val="24"/>
                      <w:szCs w:val="32"/>
                    </w:rPr>
                  </w:pPr>
                  <w:r>
                    <w:rPr>
                      <w:b/>
                      <w:bCs/>
                      <w:color w:val="auto"/>
                      <w:kern w:val="0"/>
                    </w:rPr>
                    <w:t>氮氧化物深度治理行动。</w:t>
                  </w:r>
                  <w:r>
                    <w:rPr>
                      <w:color w:val="auto"/>
                      <w:kern w:val="0"/>
                    </w:rPr>
                    <w:t>钢铁、水泥行业加快实施超低排放改造。</w:t>
                  </w:r>
                </w:p>
              </w:tc>
              <w:tc>
                <w:tcPr>
                  <w:tcW w:w="2076" w:type="dxa"/>
                  <w:vAlign w:val="center"/>
                </w:tcPr>
                <w:p w14:paraId="73AD3A74">
                  <w:pPr>
                    <w:textAlignment w:val="center"/>
                    <w:rPr>
                      <w:color w:val="auto"/>
                      <w:sz w:val="24"/>
                      <w:szCs w:val="32"/>
                    </w:rPr>
                  </w:pPr>
                  <w:r>
                    <w:rPr>
                      <w:color w:val="auto"/>
                      <w:kern w:val="0"/>
                    </w:rPr>
                    <w:t>本项目不属于钢铁、水泥行业，且不涉及氮氧化物。</w:t>
                  </w:r>
                </w:p>
              </w:tc>
              <w:tc>
                <w:tcPr>
                  <w:tcW w:w="1044" w:type="dxa"/>
                  <w:vAlign w:val="center"/>
                </w:tcPr>
                <w:p w14:paraId="57A86761">
                  <w:pPr>
                    <w:jc w:val="center"/>
                    <w:textAlignment w:val="center"/>
                    <w:rPr>
                      <w:color w:val="auto"/>
                      <w:sz w:val="24"/>
                      <w:szCs w:val="32"/>
                    </w:rPr>
                  </w:pPr>
                  <w:r>
                    <w:rPr>
                      <w:snapToGrid w:val="0"/>
                      <w:color w:val="auto"/>
                      <w:kern w:val="0"/>
                    </w:rPr>
                    <w:t>符合</w:t>
                  </w:r>
                </w:p>
              </w:tc>
            </w:tr>
            <w:tr w14:paraId="15E5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07150EA1">
                  <w:pPr>
                    <w:jc w:val="center"/>
                    <w:textAlignment w:val="center"/>
                    <w:rPr>
                      <w:color w:val="auto"/>
                      <w:sz w:val="24"/>
                      <w:szCs w:val="32"/>
                    </w:rPr>
                  </w:pPr>
                  <w:r>
                    <w:rPr>
                      <w:color w:val="auto"/>
                      <w:kern w:val="0"/>
                    </w:rPr>
                    <w:t>7</w:t>
                  </w:r>
                </w:p>
              </w:tc>
              <w:tc>
                <w:tcPr>
                  <w:tcW w:w="4620" w:type="dxa"/>
                  <w:vAlign w:val="center"/>
                </w:tcPr>
                <w:p w14:paraId="4DDEE22C">
                  <w:pPr>
                    <w:autoSpaceDE w:val="0"/>
                    <w:autoSpaceDN w:val="0"/>
                    <w:adjustRightInd w:val="0"/>
                    <w:rPr>
                      <w:color w:val="auto"/>
                      <w:sz w:val="24"/>
                      <w:szCs w:val="32"/>
                    </w:rPr>
                  </w:pPr>
                  <w:r>
                    <w:rPr>
                      <w:b/>
                      <w:bCs/>
                      <w:color w:val="auto"/>
                      <w:kern w:val="0"/>
                    </w:rPr>
                    <w:t>企业污染防治提级行动。</w:t>
                  </w:r>
                  <w:r>
                    <w:rPr>
                      <w:color w:val="auto"/>
                      <w:kern w:val="0"/>
                    </w:rPr>
                    <w:t>以绩效评级为抓手，推动工业企业对标重点行业大气污染防治绩效B级及以上要求，开展工艺装备、有组织排放控制、无组织排放控制、污染治理技术、监测监控、大气环境管理、清洁运输方式等提级改造，整体提升全省工业企业的大气污染防治水平。</w:t>
                  </w:r>
                </w:p>
              </w:tc>
              <w:tc>
                <w:tcPr>
                  <w:tcW w:w="2076" w:type="dxa"/>
                  <w:vAlign w:val="center"/>
                </w:tcPr>
                <w:p w14:paraId="7A9787D9">
                  <w:pPr>
                    <w:textAlignment w:val="center"/>
                    <w:rPr>
                      <w:color w:val="auto"/>
                      <w:sz w:val="24"/>
                      <w:szCs w:val="32"/>
                    </w:rPr>
                  </w:pPr>
                  <w:r>
                    <w:rPr>
                      <w:color w:val="auto"/>
                      <w:kern w:val="0"/>
                    </w:rPr>
                    <w:t>本项目不属于有关重点行业，项目各类废气经收集处理后均能达标排放，对周边环境影响较小。</w:t>
                  </w:r>
                </w:p>
              </w:tc>
              <w:tc>
                <w:tcPr>
                  <w:tcW w:w="1044" w:type="dxa"/>
                  <w:vAlign w:val="center"/>
                </w:tcPr>
                <w:p w14:paraId="2243962E">
                  <w:pPr>
                    <w:jc w:val="center"/>
                    <w:textAlignment w:val="center"/>
                    <w:rPr>
                      <w:color w:val="auto"/>
                      <w:sz w:val="24"/>
                      <w:szCs w:val="32"/>
                    </w:rPr>
                  </w:pPr>
                  <w:r>
                    <w:rPr>
                      <w:snapToGrid w:val="0"/>
                      <w:color w:val="auto"/>
                      <w:kern w:val="0"/>
                    </w:rPr>
                    <w:t>符合</w:t>
                  </w:r>
                </w:p>
              </w:tc>
            </w:tr>
            <w:tr w14:paraId="1F2C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147F13D9">
                  <w:pPr>
                    <w:jc w:val="center"/>
                    <w:textAlignment w:val="center"/>
                    <w:rPr>
                      <w:color w:val="auto"/>
                      <w:sz w:val="24"/>
                      <w:szCs w:val="32"/>
                    </w:rPr>
                  </w:pPr>
                  <w:r>
                    <w:rPr>
                      <w:color w:val="auto"/>
                      <w:kern w:val="0"/>
                    </w:rPr>
                    <w:t>8</w:t>
                  </w:r>
                </w:p>
              </w:tc>
              <w:tc>
                <w:tcPr>
                  <w:tcW w:w="4620" w:type="dxa"/>
                  <w:vAlign w:val="center"/>
                </w:tcPr>
                <w:p w14:paraId="6A292E4B">
                  <w:pPr>
                    <w:autoSpaceDE w:val="0"/>
                    <w:autoSpaceDN w:val="0"/>
                    <w:adjustRightInd w:val="0"/>
                    <w:rPr>
                      <w:color w:val="auto"/>
                      <w:sz w:val="24"/>
                      <w:szCs w:val="32"/>
                    </w:rPr>
                  </w:pPr>
                  <w:r>
                    <w:rPr>
                      <w:b/>
                      <w:bCs/>
                      <w:color w:val="auto"/>
                      <w:kern w:val="0"/>
                    </w:rPr>
                    <w:t>污染源强化监管行动。</w:t>
                  </w:r>
                  <w:r>
                    <w:rPr>
                      <w:color w:val="auto"/>
                      <w:kern w:val="0"/>
                    </w:rPr>
                    <w:t>涉VOCs和氮氧化物排放的重点排污单位依据排污许可等管理要求安装自动监测设备，并与生态环境主管部门联网。</w:t>
                  </w:r>
                </w:p>
              </w:tc>
              <w:tc>
                <w:tcPr>
                  <w:tcW w:w="2076" w:type="dxa"/>
                  <w:vAlign w:val="center"/>
                </w:tcPr>
                <w:p w14:paraId="48E1D181">
                  <w:pPr>
                    <w:textAlignment w:val="center"/>
                    <w:rPr>
                      <w:color w:val="auto"/>
                      <w:sz w:val="24"/>
                      <w:szCs w:val="32"/>
                    </w:rPr>
                  </w:pPr>
                  <w:r>
                    <w:rPr>
                      <w:color w:val="auto"/>
                      <w:kern w:val="0"/>
                    </w:rPr>
                    <w:t>本项目涉VOCs，但企业不属于重点排污单位。</w:t>
                  </w:r>
                </w:p>
              </w:tc>
              <w:tc>
                <w:tcPr>
                  <w:tcW w:w="1044" w:type="dxa"/>
                  <w:vAlign w:val="center"/>
                </w:tcPr>
                <w:p w14:paraId="1A2F2F09">
                  <w:pPr>
                    <w:jc w:val="center"/>
                    <w:textAlignment w:val="center"/>
                    <w:rPr>
                      <w:color w:val="auto"/>
                      <w:sz w:val="24"/>
                      <w:szCs w:val="32"/>
                    </w:rPr>
                  </w:pPr>
                  <w:r>
                    <w:rPr>
                      <w:snapToGrid w:val="0"/>
                      <w:color w:val="auto"/>
                      <w:kern w:val="0"/>
                    </w:rPr>
                    <w:t>符合</w:t>
                  </w:r>
                </w:p>
              </w:tc>
            </w:tr>
            <w:tr w14:paraId="3CE9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3" w:type="dxa"/>
                  <w:vAlign w:val="center"/>
                </w:tcPr>
                <w:p w14:paraId="7E87E8FD">
                  <w:pPr>
                    <w:jc w:val="center"/>
                    <w:textAlignment w:val="center"/>
                    <w:rPr>
                      <w:color w:val="auto"/>
                      <w:sz w:val="24"/>
                      <w:szCs w:val="32"/>
                    </w:rPr>
                  </w:pPr>
                  <w:r>
                    <w:rPr>
                      <w:color w:val="auto"/>
                      <w:kern w:val="0"/>
                    </w:rPr>
                    <w:t>9</w:t>
                  </w:r>
                </w:p>
              </w:tc>
              <w:tc>
                <w:tcPr>
                  <w:tcW w:w="4620" w:type="dxa"/>
                  <w:vAlign w:val="center"/>
                </w:tcPr>
                <w:p w14:paraId="3F023A6E">
                  <w:pPr>
                    <w:autoSpaceDE w:val="0"/>
                    <w:autoSpaceDN w:val="0"/>
                    <w:adjustRightInd w:val="0"/>
                    <w:rPr>
                      <w:color w:val="auto"/>
                      <w:sz w:val="24"/>
                      <w:szCs w:val="32"/>
                    </w:rPr>
                  </w:pPr>
                  <w:r>
                    <w:rPr>
                      <w:b/>
                      <w:bCs/>
                      <w:color w:val="auto"/>
                      <w:kern w:val="0"/>
                    </w:rPr>
                    <w:t>大气污染区域联防联控行动。</w:t>
                  </w:r>
                  <w:r>
                    <w:rPr>
                      <w:color w:val="auto"/>
                      <w:kern w:val="0"/>
                    </w:rPr>
                    <w:t>建立覆盖省—市—县的污染天气应对体系。</w:t>
                  </w:r>
                </w:p>
              </w:tc>
              <w:tc>
                <w:tcPr>
                  <w:tcW w:w="2076" w:type="dxa"/>
                  <w:vAlign w:val="center"/>
                </w:tcPr>
                <w:p w14:paraId="53886600">
                  <w:pPr>
                    <w:textAlignment w:val="center"/>
                    <w:rPr>
                      <w:color w:val="auto"/>
                      <w:sz w:val="24"/>
                      <w:szCs w:val="32"/>
                    </w:rPr>
                  </w:pPr>
                  <w:r>
                    <w:rPr>
                      <w:color w:val="auto"/>
                      <w:kern w:val="0"/>
                    </w:rPr>
                    <w:t>属于政府工作内容，企业须予以配合。</w:t>
                  </w:r>
                </w:p>
              </w:tc>
              <w:tc>
                <w:tcPr>
                  <w:tcW w:w="1044" w:type="dxa"/>
                  <w:vAlign w:val="center"/>
                </w:tcPr>
                <w:p w14:paraId="32BDF840">
                  <w:pPr>
                    <w:jc w:val="center"/>
                    <w:textAlignment w:val="center"/>
                    <w:rPr>
                      <w:color w:val="auto"/>
                      <w:sz w:val="24"/>
                      <w:szCs w:val="32"/>
                    </w:rPr>
                  </w:pPr>
                  <w:r>
                    <w:rPr>
                      <w:snapToGrid w:val="0"/>
                      <w:color w:val="auto"/>
                      <w:kern w:val="0"/>
                    </w:rPr>
                    <w:t>符合</w:t>
                  </w:r>
                </w:p>
              </w:tc>
            </w:tr>
            <w:tr w14:paraId="7E30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3" w:type="dxa"/>
                  <w:vAlign w:val="center"/>
                </w:tcPr>
                <w:p w14:paraId="63BEE5BC">
                  <w:pPr>
                    <w:jc w:val="center"/>
                    <w:textAlignment w:val="center"/>
                    <w:rPr>
                      <w:color w:val="auto"/>
                      <w:sz w:val="24"/>
                      <w:szCs w:val="32"/>
                    </w:rPr>
                  </w:pPr>
                  <w:r>
                    <w:rPr>
                      <w:color w:val="auto"/>
                      <w:kern w:val="0"/>
                    </w:rPr>
                    <w:t>10</w:t>
                  </w:r>
                </w:p>
              </w:tc>
              <w:tc>
                <w:tcPr>
                  <w:tcW w:w="4620" w:type="dxa"/>
                  <w:vAlign w:val="center"/>
                </w:tcPr>
                <w:p w14:paraId="2D805735">
                  <w:pPr>
                    <w:autoSpaceDE w:val="0"/>
                    <w:autoSpaceDN w:val="0"/>
                    <w:adjustRightInd w:val="0"/>
                    <w:rPr>
                      <w:color w:val="auto"/>
                      <w:sz w:val="24"/>
                      <w:szCs w:val="32"/>
                    </w:rPr>
                  </w:pPr>
                  <w:r>
                    <w:rPr>
                      <w:b/>
                      <w:bCs/>
                      <w:color w:val="auto"/>
                      <w:kern w:val="0"/>
                    </w:rPr>
                    <w:t>精准管控能力提升行动。</w:t>
                  </w:r>
                  <w:r>
                    <w:rPr>
                      <w:color w:val="auto"/>
                      <w:kern w:val="0"/>
                    </w:rPr>
                    <w:t>加强臭氧污染成因分析和传输规律研究，组织开展全省统一的臭氧源解析工作。</w:t>
                  </w:r>
                </w:p>
              </w:tc>
              <w:tc>
                <w:tcPr>
                  <w:tcW w:w="2076" w:type="dxa"/>
                  <w:vAlign w:val="center"/>
                </w:tcPr>
                <w:p w14:paraId="2F9E5409">
                  <w:pPr>
                    <w:textAlignment w:val="center"/>
                    <w:rPr>
                      <w:color w:val="auto"/>
                      <w:sz w:val="24"/>
                      <w:szCs w:val="32"/>
                    </w:rPr>
                  </w:pPr>
                  <w:r>
                    <w:rPr>
                      <w:color w:val="auto"/>
                      <w:kern w:val="0"/>
                    </w:rPr>
                    <w:t>属于政府工作内容。</w:t>
                  </w:r>
                </w:p>
              </w:tc>
              <w:tc>
                <w:tcPr>
                  <w:tcW w:w="1044" w:type="dxa"/>
                  <w:vAlign w:val="center"/>
                </w:tcPr>
                <w:p w14:paraId="680AB78E">
                  <w:pPr>
                    <w:jc w:val="center"/>
                    <w:textAlignment w:val="center"/>
                    <w:rPr>
                      <w:color w:val="auto"/>
                      <w:sz w:val="24"/>
                      <w:szCs w:val="32"/>
                    </w:rPr>
                  </w:pPr>
                  <w:r>
                    <w:rPr>
                      <w:snapToGrid w:val="0"/>
                      <w:color w:val="auto"/>
                      <w:kern w:val="0"/>
                    </w:rPr>
                    <w:t>符合</w:t>
                  </w:r>
                </w:p>
              </w:tc>
            </w:tr>
          </w:tbl>
          <w:p w14:paraId="2EF87934">
            <w:pPr>
              <w:numPr>
                <w:ilvl w:val="2"/>
                <w:numId w:val="14"/>
              </w:numPr>
              <w:adjustRightInd w:val="0"/>
              <w:snapToGrid w:val="0"/>
              <w:spacing w:line="360" w:lineRule="auto"/>
              <w:ind w:firstLine="0"/>
              <w:jc w:val="left"/>
              <w:rPr>
                <w:b/>
                <w:bCs/>
                <w:color w:val="auto"/>
                <w:sz w:val="24"/>
              </w:rPr>
            </w:pPr>
            <w:r>
              <w:rPr>
                <w:rFonts w:hint="eastAsia"/>
                <w:b/>
                <w:bCs/>
                <w:color w:val="auto"/>
                <w:sz w:val="24"/>
              </w:rPr>
              <w:t>《浙江省“十四五”挥发性有机物综合治理方案》符合性分析</w:t>
            </w:r>
          </w:p>
          <w:p w14:paraId="0D4E9071">
            <w:pPr>
              <w:autoSpaceDE w:val="0"/>
              <w:autoSpaceDN w:val="0"/>
              <w:adjustRightInd w:val="0"/>
              <w:snapToGrid w:val="0"/>
              <w:spacing w:line="360" w:lineRule="auto"/>
              <w:ind w:firstLine="480" w:firstLineChars="200"/>
              <w:rPr>
                <w:color w:val="auto"/>
                <w:sz w:val="24"/>
                <w:szCs w:val="32"/>
              </w:rPr>
            </w:pPr>
            <w:r>
              <w:rPr>
                <w:rFonts w:hint="eastAsia"/>
                <w:color w:val="auto"/>
                <w:sz w:val="24"/>
              </w:rPr>
              <w:t>本项目与《浙江省“十四五”挥发性有机物综合治理方案》符合性分析见下表。</w:t>
            </w:r>
          </w:p>
          <w:p w14:paraId="1A07FCA5">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《浙江省“十四五”挥发性有机物综合治理方案》符合性分析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4728"/>
              <w:gridCol w:w="2052"/>
              <w:gridCol w:w="727"/>
            </w:tblGrid>
            <w:tr w14:paraId="1981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740542">
                  <w:pPr>
                    <w:pStyle w:val="196"/>
                    <w:spacing w:line="240" w:lineRule="auto"/>
                    <w:ind w:firstLine="0" w:firstLineChars="0"/>
                    <w:rPr>
                      <w:rFonts w:hint="eastAsia"/>
                      <w:color w:val="auto"/>
                      <w:szCs w:val="32"/>
                    </w:rPr>
                  </w:pPr>
                  <w:r>
                    <w:rPr>
                      <w:rFonts w:hAnsi="Times New Roman"/>
                      <w:color w:val="auto"/>
                      <w:kern w:val="0"/>
                      <w:sz w:val="21"/>
                      <w:szCs w:val="21"/>
                    </w:rPr>
                    <w:t>序号</w:t>
                  </w:r>
                </w:p>
              </w:tc>
              <w:tc>
                <w:tcPr>
                  <w:tcW w:w="4728" w:type="dxa"/>
                  <w:vAlign w:val="center"/>
                </w:tcPr>
                <w:p w14:paraId="60FA7B1C">
                  <w:pPr>
                    <w:pStyle w:val="196"/>
                    <w:spacing w:line="240" w:lineRule="auto"/>
                    <w:ind w:firstLine="0" w:firstLineChars="0"/>
                    <w:rPr>
                      <w:rFonts w:hint="eastAsia"/>
                      <w:color w:val="auto"/>
                      <w:szCs w:val="32"/>
                    </w:rPr>
                  </w:pPr>
                  <w:r>
                    <w:rPr>
                      <w:rFonts w:hAnsi="Times New Roman"/>
                      <w:color w:val="auto"/>
                      <w:kern w:val="0"/>
                      <w:sz w:val="21"/>
                      <w:szCs w:val="21"/>
                    </w:rPr>
                    <w:t>要求</w:t>
                  </w:r>
                </w:p>
              </w:tc>
              <w:tc>
                <w:tcPr>
                  <w:tcW w:w="2052" w:type="dxa"/>
                  <w:vAlign w:val="center"/>
                </w:tcPr>
                <w:p w14:paraId="0451BB9D">
                  <w:pPr>
                    <w:pStyle w:val="196"/>
                    <w:spacing w:line="240" w:lineRule="auto"/>
                    <w:ind w:firstLine="0" w:firstLineChars="0"/>
                    <w:rPr>
                      <w:rFonts w:hint="eastAsia"/>
                      <w:color w:val="auto"/>
                      <w:szCs w:val="32"/>
                    </w:rPr>
                  </w:pPr>
                  <w:r>
                    <w:rPr>
                      <w:rFonts w:hAnsi="Times New Roman"/>
                      <w:color w:val="auto"/>
                      <w:kern w:val="0"/>
                      <w:sz w:val="21"/>
                      <w:szCs w:val="21"/>
                    </w:rPr>
                    <w:t>项目情况</w:t>
                  </w:r>
                </w:p>
              </w:tc>
              <w:tc>
                <w:tcPr>
                  <w:tcW w:w="727" w:type="dxa"/>
                  <w:vAlign w:val="center"/>
                </w:tcPr>
                <w:p w14:paraId="4E9732BA">
                  <w:pPr>
                    <w:pStyle w:val="196"/>
                    <w:spacing w:line="240" w:lineRule="auto"/>
                    <w:ind w:firstLine="0" w:firstLineChars="0"/>
                    <w:rPr>
                      <w:rFonts w:hint="eastAsia"/>
                      <w:color w:val="auto"/>
                      <w:szCs w:val="32"/>
                    </w:rPr>
                  </w:pPr>
                  <w:r>
                    <w:rPr>
                      <w:rFonts w:hAnsi="Times New Roman"/>
                      <w:color w:val="auto"/>
                      <w:kern w:val="0"/>
                      <w:sz w:val="21"/>
                      <w:szCs w:val="21"/>
                    </w:rPr>
                    <w:t>是否符合</w:t>
                  </w:r>
                </w:p>
              </w:tc>
            </w:tr>
            <w:tr w14:paraId="4257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7BBBC48">
                  <w:pPr>
                    <w:pStyle w:val="196"/>
                    <w:spacing w:line="240" w:lineRule="auto"/>
                    <w:ind w:firstLine="0" w:firstLineChars="0"/>
                    <w:rPr>
                      <w:rFonts w:hint="eastAsia"/>
                      <w:color w:val="auto"/>
                      <w:szCs w:val="32"/>
                    </w:rPr>
                  </w:pPr>
                  <w:r>
                    <w:rPr>
                      <w:rFonts w:hAnsi="Times New Roman"/>
                      <w:color w:val="auto"/>
                      <w:kern w:val="0"/>
                      <w:sz w:val="21"/>
                      <w:szCs w:val="21"/>
                    </w:rPr>
                    <w:t>1</w:t>
                  </w:r>
                </w:p>
              </w:tc>
              <w:tc>
                <w:tcPr>
                  <w:tcW w:w="4728" w:type="dxa"/>
                  <w:vAlign w:val="center"/>
                </w:tcPr>
                <w:p w14:paraId="6832EC19">
                  <w:pPr>
                    <w:pStyle w:val="196"/>
                    <w:spacing w:line="240" w:lineRule="auto"/>
                    <w:ind w:firstLine="0" w:firstLineChars="0"/>
                    <w:jc w:val="both"/>
                    <w:rPr>
                      <w:rFonts w:hint="eastAsia"/>
                      <w:color w:val="auto"/>
                      <w:szCs w:val="32"/>
                    </w:rPr>
                  </w:pPr>
                  <w:r>
                    <w:rPr>
                      <w:rFonts w:hAnsi="Times New Roman"/>
                      <w:color w:val="auto"/>
                      <w:kern w:val="0"/>
                      <w:sz w:val="21"/>
                      <w:szCs w:val="21"/>
                    </w:rPr>
                    <w:t>优化产业结构。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2052" w:type="dxa"/>
                  <w:vAlign w:val="center"/>
                </w:tcPr>
                <w:p w14:paraId="0498620A">
                  <w:pPr>
                    <w:widowControl/>
                    <w:rPr>
                      <w:color w:val="auto"/>
                      <w:sz w:val="24"/>
                      <w:szCs w:val="32"/>
                    </w:rPr>
                  </w:pPr>
                  <w:r>
                    <w:rPr>
                      <w:color w:val="auto"/>
                    </w:rPr>
                    <w:t>本项目属于</w:t>
                  </w:r>
                  <w:r>
                    <w:rPr>
                      <w:rFonts w:hint="eastAsia"/>
                      <w:color w:val="auto"/>
                      <w:kern w:val="0"/>
                      <w:lang w:bidi="ar"/>
                    </w:rPr>
                    <w:t>塑料家具制造（C2140）</w:t>
                  </w:r>
                  <w:r>
                    <w:rPr>
                      <w:color w:val="auto"/>
                      <w:kern w:val="0"/>
                      <w:lang w:bidi="ar"/>
                    </w:rPr>
                    <w:t>，</w:t>
                  </w:r>
                  <w:r>
                    <w:rPr>
                      <w:color w:val="auto"/>
                    </w:rPr>
                    <w:t>不属于</w:t>
                  </w:r>
                  <w:r>
                    <w:rPr>
                      <w:color w:val="auto"/>
                      <w:kern w:val="0"/>
                    </w:rPr>
                    <w:t>石化、化工、工业涂装、包装印刷、合成革、化纤、纺织印染等重点行业</w:t>
                  </w:r>
                  <w:r>
                    <w:rPr>
                      <w:color w:val="auto"/>
                    </w:rPr>
                    <w:t>；不属于</w:t>
                  </w:r>
                  <w:r>
                    <w:rPr>
                      <w:color w:val="auto"/>
                      <w:kern w:val="0"/>
                    </w:rPr>
                    <w:t>生产和使用VOCs含量限值不符合国家标准的涂料、油墨、胶粘剂、清洗剂等项目</w:t>
                  </w:r>
                  <w:r>
                    <w:rPr>
                      <w:color w:val="auto"/>
                    </w:rPr>
                    <w:t>；项目不涉及淘汰类、限制类工艺和装备。</w:t>
                  </w:r>
                </w:p>
              </w:tc>
              <w:tc>
                <w:tcPr>
                  <w:tcW w:w="727" w:type="dxa"/>
                  <w:vAlign w:val="center"/>
                </w:tcPr>
                <w:p w14:paraId="64F5BCC6">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4E5B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2E17B2">
                  <w:pPr>
                    <w:pStyle w:val="196"/>
                    <w:spacing w:line="240" w:lineRule="auto"/>
                    <w:ind w:firstLine="0" w:firstLineChars="0"/>
                    <w:rPr>
                      <w:rFonts w:hint="eastAsia"/>
                      <w:color w:val="auto"/>
                      <w:szCs w:val="32"/>
                    </w:rPr>
                  </w:pPr>
                  <w:r>
                    <w:rPr>
                      <w:rFonts w:hAnsi="Times New Roman"/>
                      <w:color w:val="auto"/>
                      <w:kern w:val="0"/>
                      <w:sz w:val="21"/>
                      <w:szCs w:val="21"/>
                    </w:rPr>
                    <w:t>2</w:t>
                  </w:r>
                </w:p>
              </w:tc>
              <w:tc>
                <w:tcPr>
                  <w:tcW w:w="4728" w:type="dxa"/>
                  <w:vAlign w:val="center"/>
                </w:tcPr>
                <w:p w14:paraId="664FD0F1">
                  <w:pPr>
                    <w:pStyle w:val="196"/>
                    <w:spacing w:line="240" w:lineRule="auto"/>
                    <w:ind w:firstLine="0" w:firstLineChars="0"/>
                    <w:jc w:val="both"/>
                    <w:rPr>
                      <w:rFonts w:hint="eastAsia"/>
                      <w:color w:val="auto"/>
                      <w:szCs w:val="32"/>
                    </w:rPr>
                  </w:pPr>
                  <w:r>
                    <w:rPr>
                      <w:rFonts w:hAnsi="Times New Roman"/>
                      <w:color w:val="auto"/>
                      <w:kern w:val="0"/>
                      <w:sz w:val="21"/>
                      <w:szCs w:val="21"/>
                    </w:rPr>
                    <w:t>严格环境准入。严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2052" w:type="dxa"/>
                  <w:vAlign w:val="center"/>
                </w:tcPr>
                <w:p w14:paraId="1F0FA01E">
                  <w:pPr>
                    <w:widowControl/>
                    <w:rPr>
                      <w:color w:val="auto"/>
                      <w:sz w:val="24"/>
                      <w:szCs w:val="32"/>
                    </w:rPr>
                  </w:pPr>
                  <w:r>
                    <w:rPr>
                      <w:color w:val="auto"/>
                      <w:kern w:val="0"/>
                    </w:rPr>
                    <w:t>项目符合《南浔区生态环境分区管控动态更新方案》，新增VOCs按要求进行替代。</w:t>
                  </w:r>
                </w:p>
              </w:tc>
              <w:tc>
                <w:tcPr>
                  <w:tcW w:w="727" w:type="dxa"/>
                  <w:vAlign w:val="center"/>
                </w:tcPr>
                <w:p w14:paraId="357E6E53">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2933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0C6378">
                  <w:pPr>
                    <w:pStyle w:val="196"/>
                    <w:spacing w:line="240" w:lineRule="auto"/>
                    <w:ind w:firstLine="0" w:firstLineChars="0"/>
                    <w:rPr>
                      <w:rFonts w:hint="eastAsia"/>
                      <w:color w:val="auto"/>
                      <w:szCs w:val="32"/>
                    </w:rPr>
                  </w:pPr>
                  <w:r>
                    <w:rPr>
                      <w:rFonts w:hAnsi="Times New Roman"/>
                      <w:color w:val="auto"/>
                      <w:kern w:val="0"/>
                      <w:sz w:val="21"/>
                      <w:szCs w:val="21"/>
                    </w:rPr>
                    <w:t>3</w:t>
                  </w:r>
                </w:p>
              </w:tc>
              <w:tc>
                <w:tcPr>
                  <w:tcW w:w="4728" w:type="dxa"/>
                  <w:vAlign w:val="center"/>
                </w:tcPr>
                <w:p w14:paraId="4550B31B">
                  <w:pPr>
                    <w:pStyle w:val="196"/>
                    <w:spacing w:line="240" w:lineRule="auto"/>
                    <w:ind w:firstLine="0" w:firstLineChars="0"/>
                    <w:jc w:val="both"/>
                    <w:rPr>
                      <w:rFonts w:hint="eastAsia"/>
                      <w:color w:val="auto"/>
                      <w:szCs w:val="32"/>
                    </w:rPr>
                  </w:pPr>
                  <w:r>
                    <w:rPr>
                      <w:rFonts w:hAnsi="Times New Roman"/>
                      <w:color w:val="auto"/>
                      <w:kern w:val="0"/>
                      <w:sz w:val="21"/>
                      <w:szCs w:val="21"/>
                    </w:rPr>
                    <w:t>全面提升生产工艺绿色化水平。石化、化工等行业应采用原辅材料利用率高、废弃物产生量少的生产工艺，提升生产装备水平，采用密闭化、连续化、自动化、管道化等生产技术，鼓励工艺装置采取重力流布置，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2052" w:type="dxa"/>
                  <w:vAlign w:val="center"/>
                </w:tcPr>
                <w:p w14:paraId="43F3FBB5">
                  <w:pPr>
                    <w:widowControl/>
                    <w:rPr>
                      <w:color w:val="auto"/>
                      <w:sz w:val="24"/>
                      <w:szCs w:val="32"/>
                    </w:rPr>
                  </w:pPr>
                  <w:r>
                    <w:rPr>
                      <w:color w:val="auto"/>
                      <w:kern w:val="0"/>
                    </w:rPr>
                    <w:t>本项目生产工艺符合绿色化水平。本项目不属于石化、化工等行业，不属于工业涂装、包装印刷行业。</w:t>
                  </w:r>
                </w:p>
              </w:tc>
              <w:tc>
                <w:tcPr>
                  <w:tcW w:w="727" w:type="dxa"/>
                  <w:vAlign w:val="center"/>
                </w:tcPr>
                <w:p w14:paraId="020C33FC">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7FCC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68F839A">
                  <w:pPr>
                    <w:pStyle w:val="196"/>
                    <w:spacing w:line="240" w:lineRule="auto"/>
                    <w:ind w:firstLine="0" w:firstLineChars="0"/>
                    <w:rPr>
                      <w:rFonts w:hint="eastAsia"/>
                      <w:color w:val="auto"/>
                      <w:szCs w:val="32"/>
                    </w:rPr>
                  </w:pPr>
                  <w:r>
                    <w:rPr>
                      <w:rFonts w:hAnsi="Times New Roman"/>
                      <w:color w:val="auto"/>
                      <w:kern w:val="0"/>
                      <w:sz w:val="21"/>
                      <w:szCs w:val="21"/>
                    </w:rPr>
                    <w:t>4</w:t>
                  </w:r>
                </w:p>
              </w:tc>
              <w:tc>
                <w:tcPr>
                  <w:tcW w:w="4728" w:type="dxa"/>
                  <w:vAlign w:val="center"/>
                </w:tcPr>
                <w:p w14:paraId="6AB87C64">
                  <w:pPr>
                    <w:pStyle w:val="196"/>
                    <w:spacing w:line="240" w:lineRule="auto"/>
                    <w:ind w:firstLine="0" w:firstLineChars="0"/>
                    <w:jc w:val="both"/>
                    <w:rPr>
                      <w:rFonts w:hint="eastAsia"/>
                      <w:color w:val="auto"/>
                      <w:szCs w:val="32"/>
                    </w:rPr>
                  </w:pPr>
                  <w:r>
                    <w:rPr>
                      <w:rFonts w:hAnsi="Times New Roman"/>
                      <w:color w:val="auto"/>
                      <w:kern w:val="0"/>
                      <w:sz w:val="21"/>
                      <w:szCs w:val="21"/>
                    </w:rPr>
                    <w:t>大力推进低VOCs含量原辅材料的源头替代。全面排查使用溶剂型工业涂料、油墨、胶粘剂、清洗剂等原辅材料的企业，各地应结合本地产业特点和本方案指导目录，制定低VOCs含量原辅材料源头替代实施计划，明确分行业源头替代时间表，按照“可替尽替、应代尽代”的原则，实施一批替代溶剂型原辅材料的项目。加快低VOCs含量原辅材料研发、生产和应用，在更多技术成熟领域逐渐推广使用低VOCs含量原辅材料，到2025年，溶剂型工业涂料、油墨、胶粘剂等使用量下降比例达到国家要求。</w:t>
                  </w:r>
                </w:p>
              </w:tc>
              <w:tc>
                <w:tcPr>
                  <w:tcW w:w="2052" w:type="dxa"/>
                  <w:vAlign w:val="center"/>
                </w:tcPr>
                <w:p w14:paraId="4288F32D">
                  <w:pPr>
                    <w:pStyle w:val="196"/>
                    <w:spacing w:line="240" w:lineRule="auto"/>
                    <w:ind w:firstLine="0" w:firstLineChars="0"/>
                    <w:jc w:val="both"/>
                    <w:rPr>
                      <w:rFonts w:hint="eastAsia"/>
                      <w:color w:val="auto"/>
                      <w:szCs w:val="32"/>
                    </w:rPr>
                  </w:pPr>
                  <w:r>
                    <w:rPr>
                      <w:rFonts w:hAnsi="Times New Roman"/>
                      <w:color w:val="auto"/>
                      <w:kern w:val="0"/>
                      <w:sz w:val="21"/>
                      <w:szCs w:val="21"/>
                    </w:rPr>
                    <w:t>本项目不使用溶剂型工业涂料、油墨、胶粘剂、清洗剂等原辅材料。</w:t>
                  </w:r>
                </w:p>
              </w:tc>
              <w:tc>
                <w:tcPr>
                  <w:tcW w:w="727" w:type="dxa"/>
                  <w:vAlign w:val="center"/>
                </w:tcPr>
                <w:p w14:paraId="1AE5DFF0">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05EF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DA75C77">
                  <w:pPr>
                    <w:pStyle w:val="196"/>
                    <w:spacing w:line="240" w:lineRule="auto"/>
                    <w:ind w:firstLine="0" w:firstLineChars="0"/>
                    <w:rPr>
                      <w:rFonts w:hint="eastAsia"/>
                      <w:color w:val="auto"/>
                      <w:szCs w:val="32"/>
                    </w:rPr>
                  </w:pPr>
                  <w:r>
                    <w:rPr>
                      <w:rFonts w:hAnsi="Times New Roman"/>
                      <w:color w:val="auto"/>
                      <w:kern w:val="0"/>
                      <w:sz w:val="21"/>
                      <w:szCs w:val="21"/>
                    </w:rPr>
                    <w:t>5</w:t>
                  </w:r>
                </w:p>
              </w:tc>
              <w:tc>
                <w:tcPr>
                  <w:tcW w:w="4728" w:type="dxa"/>
                  <w:vAlign w:val="center"/>
                </w:tcPr>
                <w:p w14:paraId="489339A4">
                  <w:pPr>
                    <w:pStyle w:val="196"/>
                    <w:spacing w:line="240" w:lineRule="auto"/>
                    <w:ind w:firstLine="0" w:firstLineChars="0"/>
                    <w:jc w:val="both"/>
                    <w:rPr>
                      <w:rFonts w:hint="eastAsia"/>
                      <w:color w:val="auto"/>
                      <w:szCs w:val="32"/>
                    </w:rPr>
                  </w:pPr>
                  <w:r>
                    <w:rPr>
                      <w:rFonts w:hAnsi="Times New Roman"/>
                      <w:color w:val="auto"/>
                      <w:kern w:val="0"/>
                      <w:sz w:val="21"/>
                      <w:szCs w:val="21"/>
                    </w:rP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2052" w:type="dxa"/>
                  <w:vAlign w:val="center"/>
                </w:tcPr>
                <w:p w14:paraId="53171E85">
                  <w:pPr>
                    <w:pStyle w:val="196"/>
                    <w:spacing w:line="240" w:lineRule="auto"/>
                    <w:ind w:firstLine="0" w:firstLineChars="0"/>
                    <w:jc w:val="both"/>
                    <w:rPr>
                      <w:rFonts w:hint="eastAsia"/>
                      <w:color w:val="auto"/>
                      <w:szCs w:val="32"/>
                    </w:rPr>
                  </w:pPr>
                  <w:r>
                    <w:rPr>
                      <w:rFonts w:hAnsi="Times New Roman"/>
                      <w:color w:val="auto"/>
                      <w:kern w:val="0"/>
                      <w:sz w:val="21"/>
                      <w:szCs w:val="21"/>
                    </w:rPr>
                    <w:t>本项目严格控制无组织排放。加强含VOCs物料全方位、全链条、全环节密闭管理，做好VOCs物料储存、转移和输送，以及工艺过程等无组织排放环节的管理。</w:t>
                  </w:r>
                  <w:r>
                    <w:rPr>
                      <w:rFonts w:hAnsi="Times New Roman"/>
                      <w:color w:val="auto"/>
                      <w:sz w:val="21"/>
                      <w:szCs w:val="21"/>
                    </w:rPr>
                    <w:t>项目对所有产生VOCs的环节进行废气收集与处理，并</w:t>
                  </w:r>
                  <w:r>
                    <w:rPr>
                      <w:rFonts w:hAnsi="Times New Roman"/>
                      <w:color w:val="auto"/>
                      <w:kern w:val="0"/>
                      <w:sz w:val="21"/>
                      <w:szCs w:val="21"/>
                    </w:rPr>
                    <w:t>按规范进行废气处理工程设计。</w:t>
                  </w:r>
                </w:p>
              </w:tc>
              <w:tc>
                <w:tcPr>
                  <w:tcW w:w="727" w:type="dxa"/>
                  <w:vAlign w:val="center"/>
                </w:tcPr>
                <w:p w14:paraId="38FABB45">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67CB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F353526">
                  <w:pPr>
                    <w:pStyle w:val="196"/>
                    <w:spacing w:line="240" w:lineRule="auto"/>
                    <w:ind w:firstLine="0" w:firstLineChars="0"/>
                    <w:rPr>
                      <w:rFonts w:hint="eastAsia"/>
                      <w:color w:val="auto"/>
                      <w:szCs w:val="32"/>
                    </w:rPr>
                  </w:pPr>
                  <w:r>
                    <w:rPr>
                      <w:rFonts w:hAnsi="Times New Roman"/>
                      <w:color w:val="auto"/>
                      <w:kern w:val="0"/>
                      <w:sz w:val="21"/>
                      <w:szCs w:val="21"/>
                    </w:rPr>
                    <w:t>6</w:t>
                  </w:r>
                </w:p>
              </w:tc>
              <w:tc>
                <w:tcPr>
                  <w:tcW w:w="4728" w:type="dxa"/>
                  <w:vAlign w:val="center"/>
                </w:tcPr>
                <w:p w14:paraId="7744B5DD">
                  <w:pPr>
                    <w:pStyle w:val="196"/>
                    <w:spacing w:line="240" w:lineRule="auto"/>
                    <w:ind w:firstLine="0" w:firstLineChars="0"/>
                    <w:jc w:val="both"/>
                    <w:rPr>
                      <w:rFonts w:hint="eastAsia"/>
                      <w:color w:val="auto"/>
                      <w:szCs w:val="32"/>
                    </w:rPr>
                  </w:pPr>
                  <w:r>
                    <w:rPr>
                      <w:rFonts w:hAnsi="Times New Roman"/>
                      <w:color w:val="auto"/>
                      <w:kern w:val="0"/>
                      <w:sz w:val="21"/>
                      <w:szCs w:val="21"/>
                    </w:rPr>
                    <w:t>建设适宜高效的治理设施。企业新建治理设施或对现有治理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到2025年，</w:t>
                  </w:r>
                  <w:r>
                    <w:rPr>
                      <w:rFonts w:hAnsi="Times New Roman"/>
                      <w:bCs/>
                      <w:color w:val="auto"/>
                      <w:kern w:val="0"/>
                      <w:sz w:val="21"/>
                      <w:szCs w:val="21"/>
                    </w:rPr>
                    <w:t>完成5000家低效</w:t>
                  </w:r>
                  <w:r>
                    <w:rPr>
                      <w:rFonts w:hAnsi="Times New Roman"/>
                      <w:color w:val="auto"/>
                      <w:kern w:val="0"/>
                      <w:sz w:val="21"/>
                      <w:szCs w:val="21"/>
                    </w:rPr>
                    <w:t>VOCs</w:t>
                  </w:r>
                  <w:r>
                    <w:rPr>
                      <w:rFonts w:hAnsi="Times New Roman"/>
                      <w:bCs/>
                      <w:color w:val="auto"/>
                      <w:kern w:val="0"/>
                      <w:sz w:val="21"/>
                      <w:szCs w:val="21"/>
                    </w:rPr>
                    <w:t>治理设施改造升级。</w:t>
                  </w:r>
                </w:p>
              </w:tc>
              <w:tc>
                <w:tcPr>
                  <w:tcW w:w="2052" w:type="dxa"/>
                  <w:vAlign w:val="center"/>
                </w:tcPr>
                <w:p w14:paraId="2201CEEE">
                  <w:pPr>
                    <w:pStyle w:val="196"/>
                    <w:spacing w:line="240" w:lineRule="auto"/>
                    <w:ind w:firstLine="0" w:firstLineChars="0"/>
                    <w:jc w:val="both"/>
                    <w:rPr>
                      <w:rFonts w:hint="eastAsia"/>
                      <w:color w:val="auto"/>
                      <w:szCs w:val="32"/>
                    </w:rPr>
                  </w:pPr>
                  <w:r>
                    <w:rPr>
                      <w:rFonts w:hAnsi="Times New Roman"/>
                      <w:color w:val="auto"/>
                      <w:kern w:val="0"/>
                      <w:sz w:val="21"/>
                      <w:szCs w:val="21"/>
                    </w:rPr>
                    <w:t>本项目挤出废气收集后经1套两级活性炭吸附装置处理后通过</w:t>
                  </w:r>
                  <w:r>
                    <w:rPr>
                      <w:rFonts w:hint="eastAsia" w:hAnsi="Times New Roman"/>
                      <w:color w:val="auto"/>
                      <w:kern w:val="0"/>
                      <w:sz w:val="21"/>
                      <w:szCs w:val="21"/>
                    </w:rPr>
                    <w:t>15</w:t>
                  </w:r>
                  <w:r>
                    <w:rPr>
                      <w:rFonts w:hAnsi="Times New Roman"/>
                      <w:color w:val="auto"/>
                      <w:kern w:val="0"/>
                      <w:sz w:val="21"/>
                      <w:szCs w:val="21"/>
                    </w:rPr>
                    <w:t>m高排气筒高空排放</w:t>
                  </w:r>
                  <w:r>
                    <w:rPr>
                      <w:rFonts w:hAnsi="Times New Roman"/>
                      <w:color w:val="auto"/>
                      <w:spacing w:val="-3"/>
                      <w:sz w:val="21"/>
                      <w:szCs w:val="21"/>
                    </w:rPr>
                    <w:t>。活性炭</w:t>
                  </w:r>
                  <w:r>
                    <w:rPr>
                      <w:rFonts w:hAnsi="Times New Roman"/>
                      <w:color w:val="auto"/>
                      <w:kern w:val="0"/>
                      <w:sz w:val="21"/>
                      <w:szCs w:val="21"/>
                    </w:rPr>
                    <w:t>吸附装置符合相关技术要求，并按要求足量添加、定期更换活性炭。</w:t>
                  </w:r>
                </w:p>
              </w:tc>
              <w:tc>
                <w:tcPr>
                  <w:tcW w:w="727" w:type="dxa"/>
                  <w:vAlign w:val="center"/>
                </w:tcPr>
                <w:p w14:paraId="3A6C4CD0">
                  <w:pPr>
                    <w:pStyle w:val="196"/>
                    <w:spacing w:line="240" w:lineRule="auto"/>
                    <w:ind w:firstLine="0" w:firstLineChars="0"/>
                    <w:rPr>
                      <w:rFonts w:hint="eastAsia"/>
                      <w:color w:val="auto"/>
                      <w:szCs w:val="32"/>
                    </w:rPr>
                  </w:pPr>
                  <w:r>
                    <w:rPr>
                      <w:rFonts w:hAnsi="Times New Roman"/>
                      <w:color w:val="auto"/>
                      <w:kern w:val="0"/>
                      <w:sz w:val="21"/>
                      <w:szCs w:val="21"/>
                    </w:rPr>
                    <w:t>符合</w:t>
                  </w:r>
                </w:p>
              </w:tc>
            </w:tr>
            <w:tr w14:paraId="2530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A82D804">
                  <w:pPr>
                    <w:pStyle w:val="196"/>
                    <w:spacing w:line="240" w:lineRule="auto"/>
                    <w:ind w:firstLine="0" w:firstLineChars="0"/>
                    <w:rPr>
                      <w:rFonts w:hint="eastAsia"/>
                      <w:color w:val="auto"/>
                      <w:szCs w:val="32"/>
                    </w:rPr>
                  </w:pPr>
                  <w:r>
                    <w:rPr>
                      <w:rFonts w:hAnsi="Times New Roman"/>
                      <w:color w:val="auto"/>
                      <w:kern w:val="0"/>
                      <w:sz w:val="21"/>
                      <w:szCs w:val="21"/>
                    </w:rPr>
                    <w:t>7</w:t>
                  </w:r>
                </w:p>
              </w:tc>
              <w:tc>
                <w:tcPr>
                  <w:tcW w:w="4728" w:type="dxa"/>
                  <w:vAlign w:val="center"/>
                </w:tcPr>
                <w:p w14:paraId="58A5C29B">
                  <w:pPr>
                    <w:widowControl/>
                    <w:rPr>
                      <w:color w:val="auto"/>
                      <w:sz w:val="24"/>
                      <w:szCs w:val="32"/>
                    </w:rPr>
                  </w:pPr>
                  <w:r>
                    <w:rPr>
                      <w:color w:val="auto"/>
                      <w:kern w:val="0"/>
                    </w:rPr>
                    <w:t>加强治理设施运行管理。按照治理设施较生产设备“先启后停”的原则提升治理设施投运率。根据处理工艺要求，在治理设施达到正常运行条件后方可启动生产设备，在生产设备停止、残留VOCs收集处理完毕后，方可停运治理设施。VOCs治理设施发生故障或检修时，对应生产设备应停止运行，待检修完毕后投入使用；因安全等因素生产设备不能停止或不能及时停止运行的，应设置废气应急处理设施或采取其他替代措施。</w:t>
                  </w:r>
                </w:p>
              </w:tc>
              <w:tc>
                <w:tcPr>
                  <w:tcW w:w="2052" w:type="dxa"/>
                  <w:vAlign w:val="center"/>
                </w:tcPr>
                <w:p w14:paraId="6A279424">
                  <w:pPr>
                    <w:widowControl/>
                    <w:rPr>
                      <w:color w:val="auto"/>
                      <w:sz w:val="24"/>
                      <w:szCs w:val="32"/>
                    </w:rPr>
                  </w:pPr>
                  <w:r>
                    <w:rPr>
                      <w:color w:val="auto"/>
                    </w:rPr>
                    <w:t>本</w:t>
                  </w:r>
                  <w:r>
                    <w:rPr>
                      <w:bCs/>
                      <w:color w:val="auto"/>
                    </w:rPr>
                    <w:t>项目实施后将按要求</w:t>
                  </w:r>
                  <w:r>
                    <w:rPr>
                      <w:color w:val="auto"/>
                    </w:rPr>
                    <w:t>加强治理设施运行管理</w:t>
                  </w:r>
                  <w:r>
                    <w:rPr>
                      <w:bCs/>
                      <w:color w:val="auto"/>
                    </w:rPr>
                    <w:t>。</w:t>
                  </w:r>
                </w:p>
              </w:tc>
              <w:tc>
                <w:tcPr>
                  <w:tcW w:w="727" w:type="dxa"/>
                  <w:vAlign w:val="center"/>
                </w:tcPr>
                <w:p w14:paraId="0B6B0F22">
                  <w:pPr>
                    <w:widowControl/>
                    <w:jc w:val="center"/>
                    <w:rPr>
                      <w:color w:val="auto"/>
                      <w:sz w:val="24"/>
                      <w:szCs w:val="32"/>
                    </w:rPr>
                  </w:pPr>
                  <w:r>
                    <w:rPr>
                      <w:color w:val="auto"/>
                      <w:kern w:val="0"/>
                    </w:rPr>
                    <w:t>符合</w:t>
                  </w:r>
                </w:p>
              </w:tc>
            </w:tr>
          </w:tbl>
          <w:p w14:paraId="492BC290">
            <w:pPr>
              <w:adjustRightInd w:val="0"/>
              <w:snapToGrid w:val="0"/>
              <w:spacing w:before="120" w:beforeLines="50" w:line="360" w:lineRule="auto"/>
              <w:ind w:firstLine="420" w:firstLineChars="200"/>
              <w:rPr>
                <w:color w:val="auto"/>
                <w:sz w:val="24"/>
                <w:szCs w:val="32"/>
              </w:rPr>
            </w:pPr>
            <w:r>
              <w:rPr>
                <w:rFonts w:hint="eastAsia"/>
                <w:color w:val="auto"/>
                <w:szCs w:val="21"/>
              </w:rPr>
              <w:t>综上，本项目的生产情况能满足《浙江省“十四五”挥发性有机物综合治理方案》的各项要</w:t>
            </w:r>
            <w:r>
              <w:rPr>
                <w:rFonts w:hint="eastAsia"/>
                <w:color w:val="auto"/>
                <w:sz w:val="24"/>
                <w:szCs w:val="32"/>
              </w:rPr>
              <w:t>求。</w:t>
            </w:r>
          </w:p>
          <w:p w14:paraId="2ED3F33E">
            <w:pPr>
              <w:numPr>
                <w:ilvl w:val="2"/>
                <w:numId w:val="14"/>
              </w:numPr>
              <w:adjustRightInd w:val="0"/>
              <w:snapToGrid w:val="0"/>
              <w:spacing w:line="360" w:lineRule="auto"/>
              <w:ind w:firstLine="0"/>
              <w:jc w:val="left"/>
              <w:rPr>
                <w:b/>
                <w:bCs/>
                <w:color w:val="auto"/>
                <w:sz w:val="24"/>
              </w:rPr>
            </w:pPr>
            <w:r>
              <w:rPr>
                <w:rFonts w:hint="eastAsia"/>
                <w:b/>
                <w:bCs/>
                <w:color w:val="auto"/>
                <w:sz w:val="24"/>
              </w:rPr>
              <w:t>《浙江省工业企业恶臭异味管控技术指南（试行）》符合性分析</w:t>
            </w:r>
          </w:p>
          <w:p w14:paraId="14275EB4">
            <w:pPr>
              <w:autoSpaceDE w:val="0"/>
              <w:autoSpaceDN w:val="0"/>
              <w:adjustRightInd w:val="0"/>
              <w:snapToGrid w:val="0"/>
              <w:spacing w:line="360" w:lineRule="auto"/>
              <w:ind w:firstLine="480" w:firstLineChars="200"/>
              <w:rPr>
                <w:color w:val="auto"/>
                <w:sz w:val="24"/>
              </w:rPr>
            </w:pPr>
            <w:r>
              <w:rPr>
                <w:rFonts w:hint="eastAsia"/>
                <w:color w:val="auto"/>
                <w:sz w:val="24"/>
              </w:rPr>
              <w:t>浙江省生态环境厅于2021年11月发布了《浙江省工业企业恶臭异味管控技术指南（试行）》，要求浙江省涉挥发性有机物（VOCs）企业、农副食品企业、铸造企业、涉酸洗工序企业及其他涉异味企业，在实现大气污染物达标排放的基础上，进一步采取污染预防措施、污染治理措施、环境管理措施等，进行恶臭异味管控，以降低臭气强度等级。根据分析，本项目总体符合相关条款要求，具体详见下表。</w:t>
            </w:r>
          </w:p>
          <w:p w14:paraId="4568D650">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《浙江省工业企业恶臭异味管控技术指南（试行）》符合性分析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924"/>
              <w:gridCol w:w="3506"/>
              <w:gridCol w:w="2554"/>
              <w:gridCol w:w="716"/>
            </w:tblGrid>
            <w:tr w14:paraId="3174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61F29A5F">
                  <w:pPr>
                    <w:pStyle w:val="82"/>
                    <w:tabs>
                      <w:tab w:val="left" w:pos="420"/>
                    </w:tabs>
                    <w:spacing w:before="0" w:beforeAutospacing="0" w:after="0" w:afterAutospacing="0"/>
                    <w:jc w:val="center"/>
                    <w:rPr>
                      <w:rFonts w:hint="eastAsia"/>
                      <w:color w:val="auto"/>
                      <w:kern w:val="2"/>
                      <w:szCs w:val="32"/>
                    </w:rPr>
                  </w:pPr>
                  <w:r>
                    <w:rPr>
                      <w:rFonts w:ascii="Times New Roman" w:hAnsi="Times New Roman"/>
                      <w:color w:val="auto"/>
                      <w:sz w:val="21"/>
                      <w:szCs w:val="21"/>
                    </w:rPr>
                    <w:t>序号</w:t>
                  </w:r>
                </w:p>
              </w:tc>
              <w:tc>
                <w:tcPr>
                  <w:tcW w:w="924" w:type="dxa"/>
                  <w:vAlign w:val="center"/>
                </w:tcPr>
                <w:p w14:paraId="33190A26">
                  <w:pPr>
                    <w:jc w:val="center"/>
                    <w:rPr>
                      <w:color w:val="auto"/>
                      <w:sz w:val="24"/>
                      <w:szCs w:val="32"/>
                    </w:rPr>
                  </w:pPr>
                  <w:r>
                    <w:rPr>
                      <w:color w:val="auto"/>
                    </w:rPr>
                    <w:t>排查重点</w:t>
                  </w:r>
                </w:p>
              </w:tc>
              <w:tc>
                <w:tcPr>
                  <w:tcW w:w="3506" w:type="dxa"/>
                  <w:vAlign w:val="center"/>
                </w:tcPr>
                <w:p w14:paraId="62A73343">
                  <w:pPr>
                    <w:jc w:val="center"/>
                    <w:rPr>
                      <w:color w:val="auto"/>
                      <w:sz w:val="24"/>
                      <w:szCs w:val="32"/>
                    </w:rPr>
                  </w:pPr>
                  <w:r>
                    <w:rPr>
                      <w:color w:val="auto"/>
                    </w:rPr>
                    <w:t>防治措施</w:t>
                  </w:r>
                </w:p>
              </w:tc>
              <w:tc>
                <w:tcPr>
                  <w:tcW w:w="2554" w:type="dxa"/>
                  <w:vAlign w:val="center"/>
                </w:tcPr>
                <w:p w14:paraId="43667AEA">
                  <w:pPr>
                    <w:pStyle w:val="82"/>
                    <w:tabs>
                      <w:tab w:val="left" w:pos="420"/>
                    </w:tabs>
                    <w:spacing w:before="0" w:beforeAutospacing="0" w:after="0" w:afterAutospacing="0"/>
                    <w:jc w:val="center"/>
                    <w:rPr>
                      <w:rFonts w:hint="eastAsia"/>
                      <w:color w:val="auto"/>
                      <w:kern w:val="2"/>
                      <w:szCs w:val="32"/>
                    </w:rPr>
                  </w:pPr>
                  <w:r>
                    <w:rPr>
                      <w:rFonts w:ascii="Times New Roman" w:hAnsi="Times New Roman"/>
                      <w:color w:val="auto"/>
                      <w:sz w:val="21"/>
                      <w:szCs w:val="21"/>
                    </w:rPr>
                    <w:t>本项目情况</w:t>
                  </w:r>
                </w:p>
              </w:tc>
              <w:tc>
                <w:tcPr>
                  <w:tcW w:w="716" w:type="dxa"/>
                  <w:vAlign w:val="center"/>
                </w:tcPr>
                <w:p w14:paraId="4D863A39">
                  <w:pPr>
                    <w:pStyle w:val="82"/>
                    <w:tabs>
                      <w:tab w:val="left" w:pos="420"/>
                    </w:tabs>
                    <w:spacing w:before="0" w:beforeAutospacing="0" w:after="0" w:afterAutospacing="0"/>
                    <w:jc w:val="center"/>
                    <w:rPr>
                      <w:rFonts w:hint="eastAsia"/>
                      <w:color w:val="auto"/>
                      <w:kern w:val="2"/>
                      <w:szCs w:val="32"/>
                    </w:rPr>
                  </w:pPr>
                  <w:r>
                    <w:rPr>
                      <w:rFonts w:ascii="Times New Roman" w:hAnsi="Times New Roman"/>
                      <w:color w:val="auto"/>
                      <w:sz w:val="21"/>
                      <w:szCs w:val="21"/>
                    </w:rPr>
                    <w:t>是否符合</w:t>
                  </w:r>
                </w:p>
              </w:tc>
            </w:tr>
            <w:tr w14:paraId="18C1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gridSpan w:val="5"/>
                  <w:vAlign w:val="center"/>
                </w:tcPr>
                <w:p w14:paraId="5E6D0E14">
                  <w:pPr>
                    <w:jc w:val="center"/>
                    <w:rPr>
                      <w:color w:val="auto"/>
                      <w:sz w:val="24"/>
                      <w:szCs w:val="32"/>
                    </w:rPr>
                  </w:pPr>
                  <w:r>
                    <w:rPr>
                      <w:color w:val="auto"/>
                    </w:rPr>
                    <w:t>塑料行业</w:t>
                  </w:r>
                </w:p>
              </w:tc>
            </w:tr>
            <w:tr w14:paraId="66D0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6509D8F1">
                  <w:pPr>
                    <w:jc w:val="center"/>
                    <w:rPr>
                      <w:color w:val="auto"/>
                      <w:sz w:val="24"/>
                      <w:szCs w:val="32"/>
                    </w:rPr>
                  </w:pPr>
                  <w:r>
                    <w:rPr>
                      <w:color w:val="auto"/>
                      <w:kern w:val="0"/>
                    </w:rPr>
                    <w:t>1</w:t>
                  </w:r>
                </w:p>
              </w:tc>
              <w:tc>
                <w:tcPr>
                  <w:tcW w:w="924" w:type="dxa"/>
                  <w:vAlign w:val="center"/>
                </w:tcPr>
                <w:p w14:paraId="45D4802C">
                  <w:pPr>
                    <w:widowControl/>
                    <w:jc w:val="center"/>
                    <w:rPr>
                      <w:color w:val="auto"/>
                      <w:sz w:val="24"/>
                      <w:szCs w:val="32"/>
                    </w:rPr>
                  </w:pPr>
                  <w:r>
                    <w:rPr>
                      <w:color w:val="auto"/>
                      <w:kern w:val="0"/>
                      <w:lang w:bidi="ar"/>
                    </w:rPr>
                    <w:t>生产工艺环保先进性</w:t>
                  </w:r>
                </w:p>
              </w:tc>
              <w:tc>
                <w:tcPr>
                  <w:tcW w:w="3506" w:type="dxa"/>
                  <w:vAlign w:val="center"/>
                </w:tcPr>
                <w:p w14:paraId="04460409">
                  <w:pPr>
                    <w:widowControl/>
                    <w:rPr>
                      <w:color w:val="auto"/>
                      <w:sz w:val="24"/>
                      <w:szCs w:val="32"/>
                    </w:rPr>
                  </w:pPr>
                  <w:r>
                    <w:rPr>
                      <w:color w:val="auto"/>
                      <w:kern w:val="0"/>
                      <w:lang w:bidi="ar"/>
                    </w:rPr>
                    <w:t>采用水冷替代技术，减少使用或完全替代风冷设备；</w:t>
                  </w:r>
                </w:p>
              </w:tc>
              <w:tc>
                <w:tcPr>
                  <w:tcW w:w="2554" w:type="dxa"/>
                  <w:vAlign w:val="center"/>
                </w:tcPr>
                <w:p w14:paraId="0D157DE7">
                  <w:pPr>
                    <w:rPr>
                      <w:color w:val="auto"/>
                      <w:sz w:val="24"/>
                      <w:szCs w:val="32"/>
                    </w:rPr>
                  </w:pPr>
                  <w:r>
                    <w:rPr>
                      <w:color w:val="auto"/>
                      <w:kern w:val="0"/>
                      <w:lang w:bidi="ar"/>
                    </w:rPr>
                    <w:t>本项目挤出采用水冷技术。</w:t>
                  </w:r>
                </w:p>
              </w:tc>
              <w:tc>
                <w:tcPr>
                  <w:tcW w:w="716" w:type="dxa"/>
                  <w:vAlign w:val="center"/>
                </w:tcPr>
                <w:p w14:paraId="0C8BB5FA">
                  <w:pPr>
                    <w:jc w:val="center"/>
                    <w:rPr>
                      <w:color w:val="auto"/>
                      <w:sz w:val="24"/>
                      <w:szCs w:val="32"/>
                    </w:rPr>
                  </w:pPr>
                  <w:r>
                    <w:rPr>
                      <w:color w:val="auto"/>
                    </w:rPr>
                    <w:t>是</w:t>
                  </w:r>
                </w:p>
              </w:tc>
            </w:tr>
            <w:tr w14:paraId="161B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78470F9F">
                  <w:pPr>
                    <w:jc w:val="center"/>
                    <w:rPr>
                      <w:color w:val="auto"/>
                      <w:sz w:val="24"/>
                      <w:szCs w:val="32"/>
                    </w:rPr>
                  </w:pPr>
                  <w:r>
                    <w:rPr>
                      <w:color w:val="auto"/>
                      <w:kern w:val="0"/>
                    </w:rPr>
                    <w:t>2</w:t>
                  </w:r>
                </w:p>
              </w:tc>
              <w:tc>
                <w:tcPr>
                  <w:tcW w:w="924" w:type="dxa"/>
                  <w:vAlign w:val="center"/>
                </w:tcPr>
                <w:p w14:paraId="592F4B9C">
                  <w:pPr>
                    <w:widowControl/>
                    <w:jc w:val="center"/>
                    <w:rPr>
                      <w:color w:val="auto"/>
                      <w:sz w:val="24"/>
                      <w:szCs w:val="32"/>
                    </w:rPr>
                  </w:pPr>
                  <w:r>
                    <w:rPr>
                      <w:color w:val="auto"/>
                      <w:kern w:val="0"/>
                      <w:lang w:bidi="ar"/>
                    </w:rPr>
                    <w:t>生产设施密闭性</w:t>
                  </w:r>
                </w:p>
              </w:tc>
              <w:tc>
                <w:tcPr>
                  <w:tcW w:w="3506" w:type="dxa"/>
                  <w:vAlign w:val="center"/>
                </w:tcPr>
                <w:p w14:paraId="06747B76">
                  <w:pPr>
                    <w:widowControl/>
                    <w:rPr>
                      <w:color w:val="auto"/>
                      <w:sz w:val="24"/>
                      <w:szCs w:val="32"/>
                    </w:rPr>
                  </w:pPr>
                  <w:r>
                    <w:rPr>
                      <w:color w:val="auto"/>
                      <w:kern w:val="0"/>
                      <w:lang w:bidi="ar"/>
                    </w:rPr>
                    <w:t>造粒、成型等工序废气，可采取整体或局部气体收集措施；</w:t>
                  </w:r>
                </w:p>
              </w:tc>
              <w:tc>
                <w:tcPr>
                  <w:tcW w:w="2554" w:type="dxa"/>
                  <w:vAlign w:val="center"/>
                </w:tcPr>
                <w:p w14:paraId="3DB124E6">
                  <w:pPr>
                    <w:rPr>
                      <w:color w:val="auto"/>
                      <w:sz w:val="24"/>
                      <w:szCs w:val="32"/>
                    </w:rPr>
                  </w:pPr>
                  <w:r>
                    <w:rPr>
                      <w:color w:val="auto"/>
                    </w:rPr>
                    <w:t>本项目挤出工序将采用较密闭集气方式进行废气收集，将按照要求进行设计。</w:t>
                  </w:r>
                </w:p>
              </w:tc>
              <w:tc>
                <w:tcPr>
                  <w:tcW w:w="716" w:type="dxa"/>
                  <w:vAlign w:val="center"/>
                </w:tcPr>
                <w:p w14:paraId="4FE16CE3">
                  <w:pPr>
                    <w:jc w:val="center"/>
                    <w:rPr>
                      <w:color w:val="auto"/>
                      <w:sz w:val="24"/>
                      <w:szCs w:val="32"/>
                    </w:rPr>
                  </w:pPr>
                  <w:r>
                    <w:rPr>
                      <w:color w:val="auto"/>
                    </w:rPr>
                    <w:t>是</w:t>
                  </w:r>
                </w:p>
              </w:tc>
            </w:tr>
            <w:tr w14:paraId="275C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2885173E">
                  <w:pPr>
                    <w:jc w:val="center"/>
                    <w:rPr>
                      <w:color w:val="auto"/>
                      <w:sz w:val="24"/>
                      <w:szCs w:val="32"/>
                    </w:rPr>
                  </w:pPr>
                  <w:r>
                    <w:rPr>
                      <w:color w:val="auto"/>
                      <w:kern w:val="0"/>
                    </w:rPr>
                    <w:t>3</w:t>
                  </w:r>
                </w:p>
              </w:tc>
              <w:tc>
                <w:tcPr>
                  <w:tcW w:w="924" w:type="dxa"/>
                  <w:vAlign w:val="center"/>
                </w:tcPr>
                <w:p w14:paraId="14D972DA">
                  <w:pPr>
                    <w:widowControl/>
                    <w:jc w:val="center"/>
                    <w:rPr>
                      <w:color w:val="auto"/>
                      <w:sz w:val="24"/>
                      <w:szCs w:val="32"/>
                    </w:rPr>
                  </w:pPr>
                  <w:r>
                    <w:rPr>
                      <w:color w:val="auto"/>
                      <w:kern w:val="0"/>
                      <w:lang w:bidi="ar"/>
                    </w:rPr>
                    <w:t>废气收集方式</w:t>
                  </w:r>
                </w:p>
              </w:tc>
              <w:tc>
                <w:tcPr>
                  <w:tcW w:w="3506" w:type="dxa"/>
                  <w:vAlign w:val="center"/>
                </w:tcPr>
                <w:p w14:paraId="7517DA0D">
                  <w:pPr>
                    <w:widowControl/>
                    <w:rPr>
                      <w:color w:val="auto"/>
                      <w:sz w:val="24"/>
                      <w:szCs w:val="32"/>
                    </w:rPr>
                  </w:pPr>
                  <w:r>
                    <w:rPr>
                      <w:color w:val="auto"/>
                      <w:kern w:val="0"/>
                      <w:lang w:bidi="ar"/>
                    </w:rPr>
                    <w:t>采取局部气体收集措施的，废气产生点位控制风速不低于0.3m/s；</w:t>
                  </w:r>
                </w:p>
              </w:tc>
              <w:tc>
                <w:tcPr>
                  <w:tcW w:w="2554" w:type="dxa"/>
                  <w:vAlign w:val="center"/>
                </w:tcPr>
                <w:p w14:paraId="2F152227">
                  <w:pPr>
                    <w:rPr>
                      <w:color w:val="auto"/>
                      <w:sz w:val="24"/>
                      <w:szCs w:val="32"/>
                    </w:rPr>
                  </w:pPr>
                  <w:r>
                    <w:rPr>
                      <w:color w:val="auto"/>
                    </w:rPr>
                    <w:t>本项目将按此要求进行。</w:t>
                  </w:r>
                </w:p>
              </w:tc>
              <w:tc>
                <w:tcPr>
                  <w:tcW w:w="716" w:type="dxa"/>
                  <w:vAlign w:val="center"/>
                </w:tcPr>
                <w:p w14:paraId="58CC0EB4">
                  <w:pPr>
                    <w:jc w:val="center"/>
                    <w:rPr>
                      <w:color w:val="auto"/>
                      <w:sz w:val="24"/>
                      <w:szCs w:val="32"/>
                    </w:rPr>
                  </w:pPr>
                  <w:r>
                    <w:rPr>
                      <w:color w:val="auto"/>
                    </w:rPr>
                    <w:t>是</w:t>
                  </w:r>
                </w:p>
              </w:tc>
            </w:tr>
            <w:tr w14:paraId="4B8E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344C5882">
                  <w:pPr>
                    <w:jc w:val="center"/>
                    <w:rPr>
                      <w:color w:val="auto"/>
                      <w:sz w:val="24"/>
                      <w:szCs w:val="32"/>
                    </w:rPr>
                  </w:pPr>
                  <w:r>
                    <w:rPr>
                      <w:color w:val="auto"/>
                      <w:kern w:val="0"/>
                    </w:rPr>
                    <w:t>4</w:t>
                  </w:r>
                </w:p>
              </w:tc>
              <w:tc>
                <w:tcPr>
                  <w:tcW w:w="924" w:type="dxa"/>
                  <w:vAlign w:val="center"/>
                </w:tcPr>
                <w:p w14:paraId="6FEC4EF0">
                  <w:pPr>
                    <w:widowControl/>
                    <w:jc w:val="center"/>
                    <w:rPr>
                      <w:color w:val="auto"/>
                      <w:sz w:val="24"/>
                      <w:szCs w:val="32"/>
                    </w:rPr>
                  </w:pPr>
                  <w:r>
                    <w:rPr>
                      <w:color w:val="auto"/>
                      <w:kern w:val="0"/>
                      <w:lang w:bidi="ar"/>
                    </w:rPr>
                    <w:t>危废库异味管控</w:t>
                  </w:r>
                </w:p>
              </w:tc>
              <w:tc>
                <w:tcPr>
                  <w:tcW w:w="3506" w:type="dxa"/>
                  <w:vAlign w:val="center"/>
                </w:tcPr>
                <w:p w14:paraId="579D339D">
                  <w:pPr>
                    <w:widowControl/>
                    <w:rPr>
                      <w:color w:val="auto"/>
                    </w:rPr>
                  </w:pPr>
                  <w:r>
                    <w:rPr>
                      <w:color w:val="auto"/>
                      <w:kern w:val="0"/>
                      <w:lang w:bidi="ar"/>
                    </w:rPr>
                    <w:t>①涉异味的危废采用密闭容器包装并及时清理，确保异味气体不外逸；</w:t>
                  </w:r>
                </w:p>
                <w:p w14:paraId="44D1F390">
                  <w:pPr>
                    <w:widowControl/>
                    <w:rPr>
                      <w:color w:val="auto"/>
                      <w:sz w:val="24"/>
                      <w:szCs w:val="32"/>
                    </w:rPr>
                  </w:pPr>
                  <w:r>
                    <w:rPr>
                      <w:color w:val="auto"/>
                      <w:kern w:val="0"/>
                      <w:lang w:bidi="ar"/>
                    </w:rPr>
                    <w:t>②对库房内异味较重的危废库采取有效的废气收集、处理措施；</w:t>
                  </w:r>
                </w:p>
              </w:tc>
              <w:tc>
                <w:tcPr>
                  <w:tcW w:w="2554" w:type="dxa"/>
                  <w:vAlign w:val="center"/>
                </w:tcPr>
                <w:p w14:paraId="4579B9DF">
                  <w:pPr>
                    <w:rPr>
                      <w:color w:val="auto"/>
                      <w:sz w:val="24"/>
                      <w:szCs w:val="32"/>
                    </w:rPr>
                  </w:pPr>
                  <w:r>
                    <w:rPr>
                      <w:color w:val="auto"/>
                    </w:rPr>
                    <w:t>本项目</w:t>
                  </w:r>
                  <w:r>
                    <w:rPr>
                      <w:color w:val="auto"/>
                      <w:kern w:val="0"/>
                      <w:lang w:bidi="ar"/>
                    </w:rPr>
                    <w:t>涉异味的危废采用密闭容器包装并及时清理。</w:t>
                  </w:r>
                </w:p>
              </w:tc>
              <w:tc>
                <w:tcPr>
                  <w:tcW w:w="716" w:type="dxa"/>
                  <w:vAlign w:val="center"/>
                </w:tcPr>
                <w:p w14:paraId="69DC82B1">
                  <w:pPr>
                    <w:jc w:val="center"/>
                    <w:rPr>
                      <w:color w:val="auto"/>
                      <w:sz w:val="24"/>
                      <w:szCs w:val="32"/>
                    </w:rPr>
                  </w:pPr>
                  <w:r>
                    <w:rPr>
                      <w:color w:val="auto"/>
                    </w:rPr>
                    <w:t>是</w:t>
                  </w:r>
                </w:p>
              </w:tc>
            </w:tr>
            <w:tr w14:paraId="061F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3A00FA23">
                  <w:pPr>
                    <w:jc w:val="center"/>
                    <w:rPr>
                      <w:color w:val="auto"/>
                      <w:sz w:val="24"/>
                      <w:szCs w:val="32"/>
                    </w:rPr>
                  </w:pPr>
                  <w:r>
                    <w:rPr>
                      <w:color w:val="auto"/>
                      <w:kern w:val="0"/>
                    </w:rPr>
                    <w:t>5</w:t>
                  </w:r>
                </w:p>
              </w:tc>
              <w:tc>
                <w:tcPr>
                  <w:tcW w:w="924" w:type="dxa"/>
                  <w:vAlign w:val="center"/>
                </w:tcPr>
                <w:p w14:paraId="5288E4C9">
                  <w:pPr>
                    <w:widowControl/>
                    <w:jc w:val="center"/>
                    <w:rPr>
                      <w:color w:val="auto"/>
                      <w:sz w:val="24"/>
                      <w:szCs w:val="32"/>
                    </w:rPr>
                  </w:pPr>
                  <w:r>
                    <w:rPr>
                      <w:color w:val="auto"/>
                      <w:kern w:val="0"/>
                      <w:lang w:bidi="ar"/>
                    </w:rPr>
                    <w:t>废气处理工艺适配性</w:t>
                  </w:r>
                </w:p>
              </w:tc>
              <w:tc>
                <w:tcPr>
                  <w:tcW w:w="3506" w:type="dxa"/>
                  <w:vAlign w:val="center"/>
                </w:tcPr>
                <w:p w14:paraId="68BDC537">
                  <w:pPr>
                    <w:widowControl/>
                    <w:rPr>
                      <w:color w:val="auto"/>
                    </w:rPr>
                  </w:pPr>
                  <w:r>
                    <w:rPr>
                      <w:color w:val="auto"/>
                      <w:kern w:val="0"/>
                      <w:lang w:bidi="ar"/>
                    </w:rPr>
                    <w:t>①采用吸附法处理含尘、含气溶胶、高湿废气、高温废气，事先采用高效除尘、除雾装置、冷却装置等进行预处理；</w:t>
                  </w:r>
                </w:p>
                <w:p w14:paraId="5343B2C9">
                  <w:pPr>
                    <w:widowControl/>
                    <w:rPr>
                      <w:color w:val="auto"/>
                      <w:sz w:val="24"/>
                      <w:szCs w:val="32"/>
                    </w:rPr>
                  </w:pPr>
                  <w:r>
                    <w:rPr>
                      <w:color w:val="auto"/>
                      <w:kern w:val="0"/>
                      <w:lang w:bidi="ar"/>
                    </w:rPr>
                    <w:t>②高压静电法适用增塑剂及其他助剂产生的高沸点油烟废气处理；臭氧氧化法适用于CDS、POM、EVC等塑料制造废气除臭；光氧化技术适用于CDS、POM、EVC等塑料制造废气除臭，且仅可作为除臭组合单元之一；</w:t>
                  </w:r>
                </w:p>
              </w:tc>
              <w:tc>
                <w:tcPr>
                  <w:tcW w:w="2554" w:type="dxa"/>
                  <w:vAlign w:val="center"/>
                </w:tcPr>
                <w:p w14:paraId="672EA0C2">
                  <w:pPr>
                    <w:rPr>
                      <w:color w:val="auto"/>
                      <w:sz w:val="24"/>
                      <w:szCs w:val="32"/>
                    </w:rPr>
                  </w:pPr>
                  <w:r>
                    <w:rPr>
                      <w:color w:val="auto"/>
                    </w:rPr>
                    <w:t>本项目采用适宜高效的废气治理工艺，挤出废气接入两级活性炭吸附装置处理。</w:t>
                  </w:r>
                </w:p>
              </w:tc>
              <w:tc>
                <w:tcPr>
                  <w:tcW w:w="716" w:type="dxa"/>
                  <w:vAlign w:val="center"/>
                </w:tcPr>
                <w:p w14:paraId="02DA2738">
                  <w:pPr>
                    <w:jc w:val="center"/>
                    <w:rPr>
                      <w:color w:val="auto"/>
                      <w:sz w:val="24"/>
                      <w:szCs w:val="32"/>
                    </w:rPr>
                  </w:pPr>
                  <w:r>
                    <w:rPr>
                      <w:color w:val="auto"/>
                    </w:rPr>
                    <w:t>是</w:t>
                  </w:r>
                </w:p>
              </w:tc>
            </w:tr>
            <w:tr w14:paraId="6B85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dxa"/>
                  <w:vAlign w:val="center"/>
                </w:tcPr>
                <w:p w14:paraId="784D8438">
                  <w:pPr>
                    <w:jc w:val="center"/>
                    <w:rPr>
                      <w:color w:val="auto"/>
                      <w:sz w:val="24"/>
                      <w:szCs w:val="32"/>
                    </w:rPr>
                  </w:pPr>
                  <w:r>
                    <w:rPr>
                      <w:color w:val="auto"/>
                      <w:kern w:val="0"/>
                    </w:rPr>
                    <w:t>6</w:t>
                  </w:r>
                </w:p>
              </w:tc>
              <w:tc>
                <w:tcPr>
                  <w:tcW w:w="924" w:type="dxa"/>
                  <w:vAlign w:val="center"/>
                </w:tcPr>
                <w:p w14:paraId="50D650F8">
                  <w:pPr>
                    <w:widowControl/>
                    <w:jc w:val="center"/>
                    <w:rPr>
                      <w:color w:val="auto"/>
                      <w:sz w:val="24"/>
                      <w:szCs w:val="32"/>
                    </w:rPr>
                  </w:pPr>
                  <w:r>
                    <w:rPr>
                      <w:color w:val="auto"/>
                      <w:kern w:val="0"/>
                      <w:lang w:bidi="ar"/>
                    </w:rPr>
                    <w:t>环境管理措施</w:t>
                  </w:r>
                </w:p>
              </w:tc>
              <w:tc>
                <w:tcPr>
                  <w:tcW w:w="3506" w:type="dxa"/>
                  <w:vAlign w:val="center"/>
                </w:tcPr>
                <w:p w14:paraId="48ED15BB">
                  <w:pPr>
                    <w:widowControl/>
                    <w:rPr>
                      <w:color w:val="auto"/>
                      <w:sz w:val="24"/>
                      <w:szCs w:val="32"/>
                    </w:rPr>
                  </w:pPr>
                  <w:r>
                    <w:rPr>
                      <w:color w:val="auto"/>
                      <w:kern w:val="0"/>
                      <w:lang w:bidi="ar"/>
                    </w:rPr>
                    <w:t>根据实际情况优先采用污染预防技术，并采用适合的末端治理技术。按照HJ944的要求建立台账，记录含VOCs原辅材料的名称、采购量、使用量、回收量、废弃量、去向、VOCs含量，污染治理设施的工艺流程、设计参数、投运时间、启停时间、温度、风量，过滤材料更换时间和更换量，吸附剂脱附周期、更换时间和更换量，催化剂更换时间和更换量等信息。台账保存期限不少于三年。</w:t>
                  </w:r>
                </w:p>
              </w:tc>
              <w:tc>
                <w:tcPr>
                  <w:tcW w:w="2554" w:type="dxa"/>
                  <w:vAlign w:val="center"/>
                </w:tcPr>
                <w:p w14:paraId="4A678664">
                  <w:pPr>
                    <w:rPr>
                      <w:color w:val="auto"/>
                      <w:sz w:val="24"/>
                      <w:szCs w:val="32"/>
                    </w:rPr>
                  </w:pPr>
                  <w:r>
                    <w:rPr>
                      <w:color w:val="auto"/>
                    </w:rPr>
                    <w:t>本项目将按此要求进行。</w:t>
                  </w:r>
                </w:p>
              </w:tc>
              <w:tc>
                <w:tcPr>
                  <w:tcW w:w="716" w:type="dxa"/>
                  <w:vAlign w:val="center"/>
                </w:tcPr>
                <w:p w14:paraId="009B93E8">
                  <w:pPr>
                    <w:jc w:val="center"/>
                    <w:rPr>
                      <w:color w:val="auto"/>
                      <w:sz w:val="24"/>
                      <w:szCs w:val="32"/>
                    </w:rPr>
                  </w:pPr>
                  <w:r>
                    <w:rPr>
                      <w:color w:val="auto"/>
                    </w:rPr>
                    <w:t>是</w:t>
                  </w:r>
                </w:p>
              </w:tc>
            </w:tr>
          </w:tbl>
          <w:p w14:paraId="095AEEAE">
            <w:pPr>
              <w:numPr>
                <w:ilvl w:val="2"/>
                <w:numId w:val="14"/>
              </w:numPr>
              <w:adjustRightInd w:val="0"/>
              <w:snapToGrid w:val="0"/>
              <w:spacing w:line="360" w:lineRule="auto"/>
              <w:ind w:firstLine="0"/>
              <w:jc w:val="left"/>
              <w:rPr>
                <w:b/>
                <w:bCs/>
                <w:color w:val="auto"/>
                <w:sz w:val="24"/>
              </w:rPr>
            </w:pPr>
            <w:r>
              <w:rPr>
                <w:rFonts w:hint="eastAsia"/>
                <w:b/>
                <w:bCs/>
                <w:color w:val="auto"/>
                <w:sz w:val="24"/>
              </w:rPr>
              <w:t>《浙江省应急管理厅浙江省生态环境厅关于加强工业企业环保设施安全生产工作的指导意见》（浙应急基础[2022]143号）符合性分析</w:t>
            </w:r>
          </w:p>
          <w:p w14:paraId="00833EA4">
            <w:pPr>
              <w:autoSpaceDE w:val="0"/>
              <w:autoSpaceDN w:val="0"/>
              <w:adjustRightInd w:val="0"/>
              <w:snapToGrid w:val="0"/>
              <w:spacing w:line="360" w:lineRule="auto"/>
              <w:ind w:firstLine="480" w:firstLineChars="200"/>
              <w:rPr>
                <w:color w:val="auto"/>
                <w:sz w:val="24"/>
              </w:rPr>
            </w:pPr>
            <w:r>
              <w:rPr>
                <w:rFonts w:hint="eastAsia"/>
                <w:color w:val="auto"/>
                <w:sz w:val="24"/>
              </w:rPr>
              <w:t>对照《浙江省应急管理厅浙江省生态环境厅关于加强工业企业环保设施安全生产工作的指导意见》（浙应急基础[2022]143号），本项目环保设施环境风险源主要在粉尘、VOCs废气装置。要求企业加强对粉尘治理、VOCs废气装置等重点环保设施的安全管理，预防和减少安全事故的发生。</w:t>
            </w:r>
          </w:p>
          <w:p w14:paraId="4606BA3F">
            <w:pPr>
              <w:autoSpaceDE w:val="0"/>
              <w:autoSpaceDN w:val="0"/>
              <w:adjustRightInd w:val="0"/>
              <w:snapToGrid w:val="0"/>
              <w:spacing w:line="360" w:lineRule="auto"/>
              <w:ind w:firstLine="480" w:firstLineChars="200"/>
              <w:rPr>
                <w:color w:val="auto"/>
                <w:sz w:val="24"/>
                <w:szCs w:val="32"/>
              </w:rPr>
            </w:pPr>
            <w:r>
              <w:rPr>
                <w:rFonts w:hint="eastAsia"/>
                <w:color w:val="auto"/>
                <w:sz w:val="24"/>
              </w:rPr>
              <w:t>要求企业要把环保设施安全落实到生产经营工作全过程各方面，建立环保设施台账和维护管理制度，对环保设施操作、危险作业等相关岗位人员开展安全操作规程、风险管控、应急处置等专项安全培训教育。要依法依规开展环保设施安全风险辨识管控和隐患排查治理，定期进行安全可靠性鉴定，设置必要的安全监测监控系统和联锁保护，严格日常安全检查。要严格执行吊装、动火、登高、有限空间、检维修等危险作业审批制度，落实安全隔离措施，实施现场安全监护，配齐应急处置装备，确保环保设施安全、稳定、有效运行。要求企业定期排查环保设施环境风险，加强风险管控，具体包括对废气处理设施表面温度的检查，对密闭空间进行检测，包括氧含量、有毒气体浓度等检测。将重点环保设施，包括废气处理设施、危废仓库纳入安全风险评估清单。要求废气处理设施委托具备住建部门颁发的设计资质的单位进行设计。综上，项目建设与运行过程中需要严格落实相应安全管理等措施，确保满足“浙应急基础[2022]143号”中相关要求。</w:t>
            </w:r>
          </w:p>
          <w:p w14:paraId="0B23E439">
            <w:pPr>
              <w:numPr>
                <w:ilvl w:val="2"/>
                <w:numId w:val="14"/>
              </w:numPr>
              <w:adjustRightInd w:val="0"/>
              <w:snapToGrid w:val="0"/>
              <w:spacing w:line="360" w:lineRule="auto"/>
              <w:ind w:firstLine="0"/>
              <w:jc w:val="left"/>
              <w:rPr>
                <w:b/>
                <w:bCs/>
                <w:color w:val="auto"/>
                <w:sz w:val="24"/>
              </w:rPr>
            </w:pPr>
            <w:r>
              <w:rPr>
                <w:rFonts w:hint="eastAsia"/>
                <w:b/>
                <w:bCs/>
                <w:color w:val="auto"/>
                <w:sz w:val="24"/>
              </w:rPr>
              <w:t>《湖州市木业、漆包线及塑料行业废气整治规范》（塑料行业）符合性分析</w:t>
            </w:r>
          </w:p>
          <w:p w14:paraId="7AF71BC5">
            <w:pPr>
              <w:autoSpaceDE w:val="0"/>
              <w:autoSpaceDN w:val="0"/>
              <w:adjustRightInd w:val="0"/>
              <w:snapToGrid w:val="0"/>
              <w:spacing w:line="360" w:lineRule="auto"/>
              <w:ind w:firstLine="480" w:firstLineChars="200"/>
              <w:rPr>
                <w:color w:val="auto"/>
                <w:sz w:val="24"/>
              </w:rPr>
            </w:pPr>
            <w:r>
              <w:rPr>
                <w:rFonts w:hint="eastAsia"/>
                <w:color w:val="auto"/>
                <w:sz w:val="24"/>
              </w:rPr>
              <w:t>本项目与《湖州市木业、漆包线及塑料行业废气整治规范》符合性分析见下表。</w:t>
            </w:r>
          </w:p>
          <w:p w14:paraId="74F15631">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《湖州市木业、漆包线及塑料行业废气整治规范》符合性分析</w:t>
            </w:r>
          </w:p>
          <w:tbl>
            <w:tblPr>
              <w:tblStyle w:val="89"/>
              <w:tblW w:w="8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32"/>
              <w:gridCol w:w="4044"/>
              <w:gridCol w:w="2604"/>
              <w:gridCol w:w="675"/>
            </w:tblGrid>
            <w:tr w14:paraId="6C94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gridSpan w:val="2"/>
                  <w:vAlign w:val="center"/>
                </w:tcPr>
                <w:p w14:paraId="698478EE">
                  <w:pPr>
                    <w:pStyle w:val="59"/>
                    <w:pBdr>
                      <w:bottom w:val="none" w:color="auto" w:sz="0" w:space="0"/>
                    </w:pBdr>
                    <w:tabs>
                      <w:tab w:val="clear" w:pos="4153"/>
                      <w:tab w:val="clear" w:pos="8306"/>
                    </w:tabs>
                    <w:snapToGrid/>
                    <w:rPr>
                      <w:bCs/>
                      <w:color w:val="auto"/>
                      <w:kern w:val="2"/>
                      <w:sz w:val="24"/>
                      <w:szCs w:val="32"/>
                    </w:rPr>
                  </w:pPr>
                  <w:r>
                    <w:rPr>
                      <w:bCs/>
                      <w:color w:val="auto"/>
                      <w:sz w:val="21"/>
                      <w:szCs w:val="21"/>
                    </w:rPr>
                    <w:t>类别</w:t>
                  </w:r>
                </w:p>
              </w:tc>
              <w:tc>
                <w:tcPr>
                  <w:tcW w:w="4044" w:type="dxa"/>
                  <w:vAlign w:val="center"/>
                </w:tcPr>
                <w:p w14:paraId="1A20284B">
                  <w:pPr>
                    <w:pStyle w:val="59"/>
                    <w:pBdr>
                      <w:bottom w:val="none" w:color="auto" w:sz="0" w:space="0"/>
                    </w:pBdr>
                    <w:tabs>
                      <w:tab w:val="clear" w:pos="4153"/>
                      <w:tab w:val="clear" w:pos="8306"/>
                    </w:tabs>
                    <w:snapToGrid/>
                    <w:rPr>
                      <w:bCs/>
                      <w:color w:val="auto"/>
                      <w:kern w:val="2"/>
                      <w:sz w:val="24"/>
                      <w:szCs w:val="32"/>
                    </w:rPr>
                  </w:pPr>
                  <w:r>
                    <w:rPr>
                      <w:bCs/>
                      <w:color w:val="auto"/>
                      <w:sz w:val="21"/>
                      <w:szCs w:val="21"/>
                    </w:rPr>
                    <w:t>标准内容</w:t>
                  </w:r>
                </w:p>
              </w:tc>
              <w:tc>
                <w:tcPr>
                  <w:tcW w:w="2604" w:type="dxa"/>
                  <w:vAlign w:val="center"/>
                </w:tcPr>
                <w:p w14:paraId="5EB672F3">
                  <w:pPr>
                    <w:pStyle w:val="59"/>
                    <w:pBdr>
                      <w:bottom w:val="none" w:color="auto" w:sz="0" w:space="0"/>
                    </w:pBdr>
                    <w:tabs>
                      <w:tab w:val="clear" w:pos="4153"/>
                      <w:tab w:val="clear" w:pos="8306"/>
                    </w:tabs>
                    <w:snapToGrid/>
                    <w:rPr>
                      <w:bCs/>
                      <w:color w:val="auto"/>
                      <w:kern w:val="2"/>
                      <w:sz w:val="24"/>
                      <w:szCs w:val="32"/>
                    </w:rPr>
                  </w:pPr>
                  <w:r>
                    <w:rPr>
                      <w:bCs/>
                      <w:color w:val="auto"/>
                      <w:sz w:val="21"/>
                      <w:szCs w:val="21"/>
                    </w:rPr>
                    <w:t>实际情况</w:t>
                  </w:r>
                </w:p>
              </w:tc>
              <w:tc>
                <w:tcPr>
                  <w:tcW w:w="675" w:type="dxa"/>
                  <w:vAlign w:val="center"/>
                </w:tcPr>
                <w:p w14:paraId="1864CCD7">
                  <w:pPr>
                    <w:pStyle w:val="59"/>
                    <w:pBdr>
                      <w:bottom w:val="none" w:color="auto" w:sz="0" w:space="0"/>
                    </w:pBdr>
                    <w:tabs>
                      <w:tab w:val="clear" w:pos="4153"/>
                      <w:tab w:val="clear" w:pos="8306"/>
                    </w:tabs>
                    <w:snapToGrid/>
                    <w:rPr>
                      <w:bCs/>
                      <w:color w:val="auto"/>
                      <w:sz w:val="21"/>
                      <w:szCs w:val="21"/>
                    </w:rPr>
                  </w:pPr>
                  <w:r>
                    <w:rPr>
                      <w:bCs/>
                      <w:color w:val="auto"/>
                      <w:sz w:val="21"/>
                      <w:szCs w:val="21"/>
                    </w:rPr>
                    <w:t>是否</w:t>
                  </w:r>
                </w:p>
                <w:p w14:paraId="6E13118B">
                  <w:pPr>
                    <w:pStyle w:val="59"/>
                    <w:pBdr>
                      <w:bottom w:val="none" w:color="auto" w:sz="0" w:space="0"/>
                    </w:pBdr>
                    <w:tabs>
                      <w:tab w:val="clear" w:pos="4153"/>
                      <w:tab w:val="clear" w:pos="8306"/>
                    </w:tabs>
                    <w:snapToGrid/>
                    <w:rPr>
                      <w:bCs/>
                      <w:color w:val="auto"/>
                      <w:kern w:val="2"/>
                      <w:sz w:val="24"/>
                      <w:szCs w:val="32"/>
                    </w:rPr>
                  </w:pPr>
                  <w:r>
                    <w:rPr>
                      <w:bCs/>
                      <w:color w:val="auto"/>
                      <w:sz w:val="21"/>
                      <w:szCs w:val="21"/>
                    </w:rPr>
                    <w:t>符合</w:t>
                  </w:r>
                </w:p>
              </w:tc>
            </w:tr>
            <w:tr w14:paraId="3682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restart"/>
                  <w:vAlign w:val="center"/>
                </w:tcPr>
                <w:p w14:paraId="2B1E8566">
                  <w:pPr>
                    <w:jc w:val="center"/>
                    <w:rPr>
                      <w:color w:val="auto"/>
                      <w:sz w:val="24"/>
                      <w:szCs w:val="32"/>
                    </w:rPr>
                  </w:pPr>
                  <w:r>
                    <w:rPr>
                      <w:color w:val="auto"/>
                      <w:kern w:val="0"/>
                    </w:rPr>
                    <w:t>加强源头控制</w:t>
                  </w:r>
                </w:p>
              </w:tc>
              <w:tc>
                <w:tcPr>
                  <w:tcW w:w="432" w:type="dxa"/>
                  <w:vMerge w:val="restart"/>
                  <w:vAlign w:val="center"/>
                </w:tcPr>
                <w:p w14:paraId="4CF0546C">
                  <w:pPr>
                    <w:jc w:val="center"/>
                    <w:rPr>
                      <w:color w:val="auto"/>
                      <w:sz w:val="24"/>
                      <w:szCs w:val="32"/>
                    </w:rPr>
                  </w:pPr>
                  <w:r>
                    <w:rPr>
                      <w:color w:val="auto"/>
                      <w:kern w:val="0"/>
                    </w:rPr>
                    <w:t>采用环境友好型原辅材料</w:t>
                  </w:r>
                </w:p>
              </w:tc>
              <w:tc>
                <w:tcPr>
                  <w:tcW w:w="4044" w:type="dxa"/>
                  <w:vAlign w:val="center"/>
                </w:tcPr>
                <w:p w14:paraId="3AE3A02E">
                  <w:pPr>
                    <w:rPr>
                      <w:color w:val="auto"/>
                      <w:sz w:val="24"/>
                      <w:szCs w:val="32"/>
                    </w:rPr>
                  </w:pPr>
                  <w:r>
                    <w:rPr>
                      <w:color w:val="auto"/>
                      <w:kern w:val="0"/>
                    </w:rPr>
                    <w:t>1、严格落实《环境保护部发展改革委商务部关于发布&lt;废塑料加工利用污染防治管理规定&gt;》（2012年第55号）、《废塑料回收与再生利用污染控制技术规范（试行）》（HJ/T364-2007）等有关要求。</w:t>
                  </w:r>
                </w:p>
              </w:tc>
              <w:tc>
                <w:tcPr>
                  <w:tcW w:w="2604" w:type="dxa"/>
                  <w:vAlign w:val="center"/>
                </w:tcPr>
                <w:p w14:paraId="4984E299">
                  <w:pPr>
                    <w:rPr>
                      <w:color w:val="auto"/>
                      <w:sz w:val="24"/>
                      <w:szCs w:val="32"/>
                    </w:rPr>
                  </w:pPr>
                  <w:r>
                    <w:rPr>
                      <w:color w:val="auto"/>
                    </w:rPr>
                    <w:t>本项目采用的原辅料均为新料，不涉及废塑料使用。</w:t>
                  </w:r>
                </w:p>
              </w:tc>
              <w:tc>
                <w:tcPr>
                  <w:tcW w:w="675" w:type="dxa"/>
                  <w:vAlign w:val="center"/>
                </w:tcPr>
                <w:p w14:paraId="09F5D1EA">
                  <w:pPr>
                    <w:jc w:val="center"/>
                    <w:rPr>
                      <w:color w:val="auto"/>
                      <w:sz w:val="24"/>
                      <w:szCs w:val="32"/>
                    </w:rPr>
                  </w:pPr>
                  <w:r>
                    <w:rPr>
                      <w:color w:val="auto"/>
                      <w:kern w:val="0"/>
                    </w:rPr>
                    <w:t>是</w:t>
                  </w:r>
                </w:p>
              </w:tc>
            </w:tr>
            <w:tr w14:paraId="5BFF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4FF3A74E">
                  <w:pPr>
                    <w:jc w:val="center"/>
                    <w:rPr>
                      <w:color w:val="auto"/>
                      <w:sz w:val="24"/>
                      <w:szCs w:val="32"/>
                    </w:rPr>
                  </w:pPr>
                </w:p>
              </w:tc>
              <w:tc>
                <w:tcPr>
                  <w:tcW w:w="432" w:type="dxa"/>
                  <w:vMerge w:val="continue"/>
                  <w:vAlign w:val="center"/>
                </w:tcPr>
                <w:p w14:paraId="516628BC">
                  <w:pPr>
                    <w:jc w:val="center"/>
                    <w:rPr>
                      <w:color w:val="auto"/>
                      <w:sz w:val="24"/>
                      <w:szCs w:val="32"/>
                    </w:rPr>
                  </w:pPr>
                </w:p>
              </w:tc>
              <w:tc>
                <w:tcPr>
                  <w:tcW w:w="4044" w:type="dxa"/>
                  <w:vAlign w:val="center"/>
                </w:tcPr>
                <w:p w14:paraId="5735A67D">
                  <w:pPr>
                    <w:rPr>
                      <w:color w:val="auto"/>
                      <w:sz w:val="24"/>
                      <w:szCs w:val="32"/>
                    </w:rPr>
                  </w:pPr>
                  <w:r>
                    <w:rPr>
                      <w:color w:val="auto"/>
                      <w:kern w:val="0"/>
                    </w:rPr>
                    <w:t>2、禁止使用附带生物污染、有毒有害物质的废塑料作为生产原辅材料。鼓励企业对造粒前的废塑料采用节水、节能、高效、低污染的技术进行清理清洗，减少其中的固体杂质，降低造粒机过滤网的更换频率。</w:t>
                  </w:r>
                </w:p>
              </w:tc>
              <w:tc>
                <w:tcPr>
                  <w:tcW w:w="2604" w:type="dxa"/>
                  <w:vAlign w:val="center"/>
                </w:tcPr>
                <w:p w14:paraId="4040DC5B">
                  <w:pPr>
                    <w:rPr>
                      <w:color w:val="auto"/>
                      <w:sz w:val="24"/>
                      <w:szCs w:val="32"/>
                    </w:rPr>
                  </w:pPr>
                  <w:r>
                    <w:rPr>
                      <w:color w:val="auto"/>
                    </w:rPr>
                    <w:t>本项目使用的原辅料都是新料，不涉及废塑料使用</w:t>
                  </w:r>
                </w:p>
              </w:tc>
              <w:tc>
                <w:tcPr>
                  <w:tcW w:w="675" w:type="dxa"/>
                  <w:vAlign w:val="center"/>
                </w:tcPr>
                <w:p w14:paraId="13526BD3">
                  <w:pPr>
                    <w:jc w:val="center"/>
                    <w:rPr>
                      <w:color w:val="auto"/>
                      <w:sz w:val="24"/>
                      <w:szCs w:val="32"/>
                    </w:rPr>
                  </w:pPr>
                  <w:r>
                    <w:rPr>
                      <w:color w:val="auto"/>
                      <w:kern w:val="0"/>
                    </w:rPr>
                    <w:t>是</w:t>
                  </w:r>
                </w:p>
              </w:tc>
            </w:tr>
            <w:tr w14:paraId="1675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674ED932">
                  <w:pPr>
                    <w:jc w:val="center"/>
                    <w:rPr>
                      <w:color w:val="auto"/>
                      <w:sz w:val="24"/>
                      <w:szCs w:val="32"/>
                    </w:rPr>
                  </w:pPr>
                </w:p>
              </w:tc>
              <w:tc>
                <w:tcPr>
                  <w:tcW w:w="432" w:type="dxa"/>
                  <w:vMerge w:val="continue"/>
                  <w:vAlign w:val="center"/>
                </w:tcPr>
                <w:p w14:paraId="56EF3000">
                  <w:pPr>
                    <w:jc w:val="center"/>
                    <w:rPr>
                      <w:color w:val="auto"/>
                      <w:sz w:val="24"/>
                      <w:szCs w:val="32"/>
                    </w:rPr>
                  </w:pPr>
                </w:p>
              </w:tc>
              <w:tc>
                <w:tcPr>
                  <w:tcW w:w="4044" w:type="dxa"/>
                  <w:vAlign w:val="center"/>
                </w:tcPr>
                <w:p w14:paraId="31114BDD">
                  <w:pPr>
                    <w:rPr>
                      <w:color w:val="auto"/>
                      <w:sz w:val="24"/>
                      <w:szCs w:val="32"/>
                    </w:rPr>
                  </w:pPr>
                  <w:r>
                    <w:rPr>
                      <w:color w:val="auto"/>
                      <w:kern w:val="0"/>
                    </w:rPr>
                    <w:t>3、禁止使用抛料和加工过程中产生较大臭味的原料（如聚甲醛、聚氯乙烯等）。压膜复合材料检查井盖生产企业再生利用塑料应使用已经粉碎、分选（拣）的清洁原料。</w:t>
                  </w:r>
                </w:p>
              </w:tc>
              <w:tc>
                <w:tcPr>
                  <w:tcW w:w="2604" w:type="dxa"/>
                  <w:vAlign w:val="center"/>
                </w:tcPr>
                <w:p w14:paraId="7F982B48">
                  <w:pPr>
                    <w:pStyle w:val="46"/>
                    <w:rPr>
                      <w:rFonts w:cs="Times New Roman"/>
                      <w:color w:val="auto"/>
                      <w:sz w:val="24"/>
                      <w:szCs w:val="32"/>
                    </w:rPr>
                  </w:pPr>
                  <w:r>
                    <w:rPr>
                      <w:rFonts w:hint="eastAsia" w:ascii="Times New Roman" w:hAnsi="Times New Roman" w:cs="Times New Roman"/>
                      <w:color w:val="auto"/>
                    </w:rPr>
                    <w:t>原料不涉及抛料，本项目使用的PVC原料均为采购新料，并不会产生较大臭味，该整治规范主要是针对回收料。</w:t>
                  </w:r>
                  <w:r>
                    <w:rPr>
                      <w:rFonts w:ascii="Times New Roman" w:hAnsi="Times New Roman" w:cs="Times New Roman"/>
                      <w:color w:val="auto"/>
                    </w:rPr>
                    <w:t>企业非</w:t>
                  </w:r>
                  <w:r>
                    <w:rPr>
                      <w:rFonts w:ascii="Times New Roman" w:hAnsi="Times New Roman" w:cs="Times New Roman"/>
                      <w:color w:val="auto"/>
                      <w:lang w:val="zh-CN"/>
                    </w:rPr>
                    <w:t>模压复合材料检查井盖生产企业。</w:t>
                  </w:r>
                </w:p>
              </w:tc>
              <w:tc>
                <w:tcPr>
                  <w:tcW w:w="675" w:type="dxa"/>
                  <w:vAlign w:val="center"/>
                </w:tcPr>
                <w:p w14:paraId="0BC16CBC">
                  <w:pPr>
                    <w:jc w:val="center"/>
                    <w:rPr>
                      <w:color w:val="auto"/>
                      <w:sz w:val="24"/>
                      <w:szCs w:val="32"/>
                    </w:rPr>
                  </w:pPr>
                  <w:r>
                    <w:rPr>
                      <w:color w:val="auto"/>
                      <w:kern w:val="0"/>
                    </w:rPr>
                    <w:t>是</w:t>
                  </w:r>
                </w:p>
              </w:tc>
            </w:tr>
            <w:tr w14:paraId="1C12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257DCF31">
                  <w:pPr>
                    <w:jc w:val="center"/>
                    <w:rPr>
                      <w:color w:val="auto"/>
                      <w:sz w:val="24"/>
                      <w:szCs w:val="32"/>
                    </w:rPr>
                  </w:pPr>
                </w:p>
              </w:tc>
              <w:tc>
                <w:tcPr>
                  <w:tcW w:w="432" w:type="dxa"/>
                  <w:vMerge w:val="continue"/>
                  <w:vAlign w:val="center"/>
                </w:tcPr>
                <w:p w14:paraId="66824385">
                  <w:pPr>
                    <w:jc w:val="center"/>
                    <w:rPr>
                      <w:color w:val="auto"/>
                      <w:sz w:val="24"/>
                      <w:szCs w:val="32"/>
                    </w:rPr>
                  </w:pPr>
                </w:p>
              </w:tc>
              <w:tc>
                <w:tcPr>
                  <w:tcW w:w="4044" w:type="dxa"/>
                  <w:vAlign w:val="center"/>
                </w:tcPr>
                <w:p w14:paraId="2E65326A">
                  <w:pPr>
                    <w:rPr>
                      <w:color w:val="auto"/>
                      <w:sz w:val="24"/>
                      <w:szCs w:val="32"/>
                    </w:rPr>
                  </w:pPr>
                  <w:r>
                    <w:rPr>
                      <w:color w:val="auto"/>
                      <w:kern w:val="0"/>
                    </w:rPr>
                    <w:t>4、不饱和树脂、苯乙烯等含VOCs 的有机液体原料应提供正规厂家的供货信息、化学品安全说明书（MSDS）等材料，并建立管理台账。</w:t>
                  </w:r>
                </w:p>
              </w:tc>
              <w:tc>
                <w:tcPr>
                  <w:tcW w:w="2604" w:type="dxa"/>
                  <w:vAlign w:val="center"/>
                </w:tcPr>
                <w:p w14:paraId="7B4BD1F7">
                  <w:pPr>
                    <w:rPr>
                      <w:color w:val="auto"/>
                      <w:sz w:val="24"/>
                      <w:szCs w:val="32"/>
                    </w:rPr>
                  </w:pPr>
                  <w:r>
                    <w:rPr>
                      <w:color w:val="auto"/>
                      <w:kern w:val="0"/>
                    </w:rPr>
                    <w:t>本项目不涉及含VOCs的有机液体原料。</w:t>
                  </w:r>
                </w:p>
              </w:tc>
              <w:tc>
                <w:tcPr>
                  <w:tcW w:w="675" w:type="dxa"/>
                  <w:vAlign w:val="center"/>
                </w:tcPr>
                <w:p w14:paraId="26C2D92F">
                  <w:pPr>
                    <w:jc w:val="center"/>
                    <w:rPr>
                      <w:color w:val="auto"/>
                      <w:sz w:val="24"/>
                      <w:szCs w:val="32"/>
                    </w:rPr>
                  </w:pPr>
                  <w:r>
                    <w:rPr>
                      <w:color w:val="auto"/>
                      <w:kern w:val="0"/>
                    </w:rPr>
                    <w:t>是</w:t>
                  </w:r>
                </w:p>
              </w:tc>
            </w:tr>
            <w:tr w14:paraId="7288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10E9CBEE">
                  <w:pPr>
                    <w:jc w:val="center"/>
                    <w:rPr>
                      <w:color w:val="auto"/>
                      <w:sz w:val="24"/>
                      <w:szCs w:val="32"/>
                    </w:rPr>
                  </w:pPr>
                </w:p>
              </w:tc>
              <w:tc>
                <w:tcPr>
                  <w:tcW w:w="432" w:type="dxa"/>
                  <w:vMerge w:val="restart"/>
                  <w:vAlign w:val="center"/>
                </w:tcPr>
                <w:p w14:paraId="74412BC5">
                  <w:pPr>
                    <w:jc w:val="center"/>
                    <w:rPr>
                      <w:color w:val="auto"/>
                      <w:sz w:val="24"/>
                      <w:szCs w:val="32"/>
                    </w:rPr>
                  </w:pPr>
                  <w:r>
                    <w:rPr>
                      <w:color w:val="auto"/>
                      <w:kern w:val="0"/>
                    </w:rPr>
                    <w:t>提高生产工艺装备水平</w:t>
                  </w:r>
                </w:p>
              </w:tc>
              <w:tc>
                <w:tcPr>
                  <w:tcW w:w="4044" w:type="dxa"/>
                  <w:vAlign w:val="center"/>
                </w:tcPr>
                <w:p w14:paraId="03391B42">
                  <w:pPr>
                    <w:rPr>
                      <w:color w:val="auto"/>
                      <w:sz w:val="24"/>
                      <w:szCs w:val="32"/>
                    </w:rPr>
                  </w:pPr>
                  <w:r>
                    <w:rPr>
                      <w:color w:val="auto"/>
                      <w:kern w:val="0"/>
                    </w:rPr>
                    <w:t>5、破碎工艺宜采用干法破碎技术，并配备防治粉尘和噪声污染的设备。</w:t>
                  </w:r>
                </w:p>
              </w:tc>
              <w:tc>
                <w:tcPr>
                  <w:tcW w:w="2604" w:type="dxa"/>
                  <w:vAlign w:val="center"/>
                </w:tcPr>
                <w:p w14:paraId="40D75BAA">
                  <w:pPr>
                    <w:rPr>
                      <w:color w:val="auto"/>
                      <w:sz w:val="24"/>
                      <w:szCs w:val="32"/>
                    </w:rPr>
                  </w:pPr>
                  <w:r>
                    <w:rPr>
                      <w:color w:val="auto"/>
                    </w:rPr>
                    <w:t>本项目</w:t>
                  </w:r>
                  <w:r>
                    <w:rPr>
                      <w:rFonts w:hint="eastAsia"/>
                      <w:color w:val="auto"/>
                      <w:lang w:val="en-US" w:eastAsia="zh-CN"/>
                    </w:rPr>
                    <w:t>不涉及破碎</w:t>
                  </w:r>
                  <w:r>
                    <w:rPr>
                      <w:color w:val="auto"/>
                    </w:rPr>
                    <w:t>。</w:t>
                  </w:r>
                </w:p>
              </w:tc>
              <w:tc>
                <w:tcPr>
                  <w:tcW w:w="675" w:type="dxa"/>
                  <w:vAlign w:val="center"/>
                </w:tcPr>
                <w:p w14:paraId="20E45471">
                  <w:pPr>
                    <w:jc w:val="center"/>
                    <w:rPr>
                      <w:color w:val="auto"/>
                      <w:sz w:val="24"/>
                      <w:szCs w:val="32"/>
                    </w:rPr>
                  </w:pPr>
                  <w:r>
                    <w:rPr>
                      <w:color w:val="auto"/>
                      <w:kern w:val="0"/>
                    </w:rPr>
                    <w:t>是</w:t>
                  </w:r>
                </w:p>
              </w:tc>
            </w:tr>
            <w:tr w14:paraId="0DD6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6C8E36F6">
                  <w:pPr>
                    <w:jc w:val="center"/>
                    <w:rPr>
                      <w:color w:val="auto"/>
                      <w:sz w:val="24"/>
                      <w:szCs w:val="32"/>
                    </w:rPr>
                  </w:pPr>
                </w:p>
              </w:tc>
              <w:tc>
                <w:tcPr>
                  <w:tcW w:w="432" w:type="dxa"/>
                  <w:vMerge w:val="continue"/>
                  <w:vAlign w:val="center"/>
                </w:tcPr>
                <w:p w14:paraId="26DF76C7">
                  <w:pPr>
                    <w:jc w:val="center"/>
                    <w:rPr>
                      <w:color w:val="auto"/>
                      <w:sz w:val="24"/>
                      <w:szCs w:val="32"/>
                    </w:rPr>
                  </w:pPr>
                </w:p>
              </w:tc>
              <w:tc>
                <w:tcPr>
                  <w:tcW w:w="4044" w:type="dxa"/>
                  <w:vAlign w:val="center"/>
                </w:tcPr>
                <w:p w14:paraId="65DC6A10">
                  <w:pPr>
                    <w:rPr>
                      <w:color w:val="auto"/>
                      <w:sz w:val="24"/>
                      <w:szCs w:val="32"/>
                    </w:rPr>
                  </w:pPr>
                  <w:r>
                    <w:rPr>
                      <w:color w:val="auto"/>
                      <w:kern w:val="0"/>
                    </w:rPr>
                    <w:t>6、在安全允许的前提下，不饱和树脂、苯乙烯等大宗有机液体物料应采用储罐储存，设置平衡管或将呼吸废气收集处理，并采用管道将物料输送至调配间或生产工位，减少废气无组织排放。桶装料在非使用状态必须密闭存放，并应采用隔膜泵进行送料，抽料区域应设置密闭间，并安装集气装置收集废气进行处理。</w:t>
                  </w:r>
                </w:p>
              </w:tc>
              <w:tc>
                <w:tcPr>
                  <w:tcW w:w="2604" w:type="dxa"/>
                  <w:vAlign w:val="center"/>
                </w:tcPr>
                <w:p w14:paraId="53DDC360">
                  <w:pPr>
                    <w:rPr>
                      <w:color w:val="auto"/>
                      <w:sz w:val="24"/>
                      <w:szCs w:val="32"/>
                    </w:rPr>
                  </w:pPr>
                  <w:r>
                    <w:rPr>
                      <w:color w:val="auto"/>
                    </w:rPr>
                    <w:t>本项目不涉及有机液体物料。</w:t>
                  </w:r>
                </w:p>
              </w:tc>
              <w:tc>
                <w:tcPr>
                  <w:tcW w:w="675" w:type="dxa"/>
                  <w:vAlign w:val="center"/>
                </w:tcPr>
                <w:p w14:paraId="7D9D125D">
                  <w:pPr>
                    <w:jc w:val="center"/>
                    <w:rPr>
                      <w:color w:val="auto"/>
                      <w:sz w:val="24"/>
                      <w:szCs w:val="32"/>
                    </w:rPr>
                  </w:pPr>
                  <w:r>
                    <w:rPr>
                      <w:color w:val="auto"/>
                      <w:kern w:val="0"/>
                    </w:rPr>
                    <w:t>是</w:t>
                  </w:r>
                </w:p>
              </w:tc>
            </w:tr>
            <w:tr w14:paraId="0AE6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754CB086">
                  <w:pPr>
                    <w:jc w:val="center"/>
                    <w:rPr>
                      <w:color w:val="auto"/>
                      <w:sz w:val="24"/>
                      <w:szCs w:val="32"/>
                    </w:rPr>
                  </w:pPr>
                </w:p>
              </w:tc>
              <w:tc>
                <w:tcPr>
                  <w:tcW w:w="432" w:type="dxa"/>
                  <w:vMerge w:val="continue"/>
                  <w:vAlign w:val="center"/>
                </w:tcPr>
                <w:p w14:paraId="1A1CF287">
                  <w:pPr>
                    <w:jc w:val="center"/>
                    <w:rPr>
                      <w:color w:val="auto"/>
                      <w:sz w:val="24"/>
                      <w:szCs w:val="32"/>
                    </w:rPr>
                  </w:pPr>
                </w:p>
              </w:tc>
              <w:tc>
                <w:tcPr>
                  <w:tcW w:w="4044" w:type="dxa"/>
                  <w:vAlign w:val="center"/>
                </w:tcPr>
                <w:p w14:paraId="6390E39B">
                  <w:pPr>
                    <w:rPr>
                      <w:color w:val="auto"/>
                      <w:sz w:val="24"/>
                      <w:szCs w:val="32"/>
                    </w:rPr>
                  </w:pPr>
                  <w:r>
                    <w:rPr>
                      <w:color w:val="auto"/>
                      <w:kern w:val="0"/>
                    </w:rPr>
                    <w:t>7、模压复合材料检查井盖的搅拌工序应按照重力流方式布置，有机液体物料全部采用管道密闭输送至生产设备，固体物料应采用密闭式固体投料装置送至搅拌釜，搅拌釜之间的混合物料应通过密闭管道进行转移。禁止使用敞开式搅拌釜，收集密闭式搅拌釜才生的呼吸废气进行处理。</w:t>
                  </w:r>
                </w:p>
              </w:tc>
              <w:tc>
                <w:tcPr>
                  <w:tcW w:w="2604" w:type="dxa"/>
                  <w:vAlign w:val="center"/>
                </w:tcPr>
                <w:p w14:paraId="4878A4D9">
                  <w:pPr>
                    <w:rPr>
                      <w:color w:val="auto"/>
                      <w:sz w:val="24"/>
                      <w:szCs w:val="32"/>
                    </w:rPr>
                  </w:pPr>
                  <w:r>
                    <w:rPr>
                      <w:color w:val="auto"/>
                      <w:kern w:val="0"/>
                    </w:rPr>
                    <w:t>本项目不涉及模压复合材料检查井盖生产。</w:t>
                  </w:r>
                </w:p>
              </w:tc>
              <w:tc>
                <w:tcPr>
                  <w:tcW w:w="675" w:type="dxa"/>
                  <w:vAlign w:val="center"/>
                </w:tcPr>
                <w:p w14:paraId="5758F61E">
                  <w:pPr>
                    <w:jc w:val="center"/>
                    <w:rPr>
                      <w:color w:val="auto"/>
                      <w:sz w:val="24"/>
                      <w:szCs w:val="32"/>
                    </w:rPr>
                  </w:pPr>
                  <w:r>
                    <w:rPr>
                      <w:color w:val="auto"/>
                      <w:kern w:val="0"/>
                    </w:rPr>
                    <w:t>是</w:t>
                  </w:r>
                </w:p>
              </w:tc>
            </w:tr>
            <w:tr w14:paraId="55F0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50CF18E4">
                  <w:pPr>
                    <w:jc w:val="center"/>
                    <w:rPr>
                      <w:color w:val="auto"/>
                      <w:sz w:val="24"/>
                      <w:szCs w:val="32"/>
                    </w:rPr>
                  </w:pPr>
                </w:p>
              </w:tc>
              <w:tc>
                <w:tcPr>
                  <w:tcW w:w="432" w:type="dxa"/>
                  <w:vMerge w:val="continue"/>
                  <w:vAlign w:val="center"/>
                </w:tcPr>
                <w:p w14:paraId="33FAC24A">
                  <w:pPr>
                    <w:jc w:val="center"/>
                    <w:rPr>
                      <w:color w:val="auto"/>
                      <w:sz w:val="24"/>
                      <w:szCs w:val="32"/>
                    </w:rPr>
                  </w:pPr>
                </w:p>
              </w:tc>
              <w:tc>
                <w:tcPr>
                  <w:tcW w:w="4044" w:type="dxa"/>
                  <w:vAlign w:val="center"/>
                </w:tcPr>
                <w:p w14:paraId="35FC5418">
                  <w:pPr>
                    <w:rPr>
                      <w:color w:val="auto"/>
                      <w:sz w:val="24"/>
                      <w:szCs w:val="32"/>
                    </w:rPr>
                  </w:pPr>
                  <w:r>
                    <w:rPr>
                      <w:color w:val="auto"/>
                      <w:kern w:val="0"/>
                    </w:rPr>
                    <w:t>8、模压复合材料检查井盖生产中的搅拌后的物料，应选用密闭式螺旋输送机送至生产工位，不得采用人工转运方式进行物料转移。</w:t>
                  </w:r>
                </w:p>
              </w:tc>
              <w:tc>
                <w:tcPr>
                  <w:tcW w:w="2604" w:type="dxa"/>
                  <w:vAlign w:val="center"/>
                </w:tcPr>
                <w:p w14:paraId="2C32F3F0">
                  <w:pPr>
                    <w:rPr>
                      <w:color w:val="auto"/>
                      <w:sz w:val="24"/>
                      <w:szCs w:val="32"/>
                    </w:rPr>
                  </w:pPr>
                  <w:r>
                    <w:rPr>
                      <w:color w:val="auto"/>
                      <w:kern w:val="0"/>
                    </w:rPr>
                    <w:t>本项目不涉及模压复合材料检查井盖生产。</w:t>
                  </w:r>
                </w:p>
              </w:tc>
              <w:tc>
                <w:tcPr>
                  <w:tcW w:w="675" w:type="dxa"/>
                  <w:vAlign w:val="center"/>
                </w:tcPr>
                <w:p w14:paraId="39C50226">
                  <w:pPr>
                    <w:jc w:val="center"/>
                    <w:rPr>
                      <w:color w:val="auto"/>
                      <w:sz w:val="24"/>
                      <w:szCs w:val="32"/>
                    </w:rPr>
                  </w:pPr>
                  <w:r>
                    <w:rPr>
                      <w:color w:val="auto"/>
                      <w:kern w:val="0"/>
                    </w:rPr>
                    <w:t>是</w:t>
                  </w:r>
                </w:p>
              </w:tc>
            </w:tr>
            <w:tr w14:paraId="6E24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restart"/>
                  <w:vAlign w:val="center"/>
                </w:tcPr>
                <w:p w14:paraId="7C39CD4B">
                  <w:pPr>
                    <w:jc w:val="center"/>
                    <w:rPr>
                      <w:color w:val="auto"/>
                      <w:sz w:val="24"/>
                      <w:szCs w:val="32"/>
                    </w:rPr>
                  </w:pPr>
                  <w:r>
                    <w:rPr>
                      <w:color w:val="auto"/>
                      <w:kern w:val="0"/>
                    </w:rPr>
                    <w:t>加强废气收集</w:t>
                  </w:r>
                </w:p>
              </w:tc>
              <w:tc>
                <w:tcPr>
                  <w:tcW w:w="432" w:type="dxa"/>
                  <w:vMerge w:val="restart"/>
                  <w:vAlign w:val="center"/>
                </w:tcPr>
                <w:p w14:paraId="5085B087">
                  <w:pPr>
                    <w:jc w:val="center"/>
                    <w:rPr>
                      <w:color w:val="auto"/>
                      <w:sz w:val="24"/>
                      <w:szCs w:val="32"/>
                    </w:rPr>
                  </w:pPr>
                  <w:r>
                    <w:rPr>
                      <w:color w:val="auto"/>
                      <w:kern w:val="0"/>
                    </w:rPr>
                    <w:t>收集所有产生的废气</w:t>
                  </w:r>
                </w:p>
              </w:tc>
              <w:tc>
                <w:tcPr>
                  <w:tcW w:w="4044" w:type="dxa"/>
                  <w:vAlign w:val="center"/>
                </w:tcPr>
                <w:p w14:paraId="33D215AB">
                  <w:pPr>
                    <w:rPr>
                      <w:color w:val="auto"/>
                      <w:sz w:val="24"/>
                      <w:szCs w:val="32"/>
                    </w:rPr>
                  </w:pPr>
                  <w:r>
                    <w:rPr>
                      <w:color w:val="auto"/>
                      <w:kern w:val="0"/>
                    </w:rPr>
                    <w:t>9、塑料加工企业应收集熔融、过滤、挤出（包括注塑、挤塑等）等生产环节中产生的废气。</w:t>
                  </w:r>
                </w:p>
              </w:tc>
              <w:tc>
                <w:tcPr>
                  <w:tcW w:w="2604" w:type="dxa"/>
                  <w:vAlign w:val="center"/>
                </w:tcPr>
                <w:p w14:paraId="1D9606CF">
                  <w:pPr>
                    <w:rPr>
                      <w:color w:val="auto"/>
                      <w:sz w:val="24"/>
                      <w:szCs w:val="32"/>
                    </w:rPr>
                  </w:pPr>
                  <w:r>
                    <w:rPr>
                      <w:color w:val="auto"/>
                    </w:rPr>
                    <w:t>项目对产生废气的环节均进行收集。</w:t>
                  </w:r>
                </w:p>
              </w:tc>
              <w:tc>
                <w:tcPr>
                  <w:tcW w:w="675" w:type="dxa"/>
                  <w:vAlign w:val="center"/>
                </w:tcPr>
                <w:p w14:paraId="1F8FE3D4">
                  <w:pPr>
                    <w:jc w:val="center"/>
                    <w:rPr>
                      <w:color w:val="auto"/>
                      <w:sz w:val="24"/>
                      <w:szCs w:val="32"/>
                    </w:rPr>
                  </w:pPr>
                  <w:r>
                    <w:rPr>
                      <w:color w:val="auto"/>
                      <w:kern w:val="0"/>
                    </w:rPr>
                    <w:t>是</w:t>
                  </w:r>
                </w:p>
              </w:tc>
            </w:tr>
            <w:tr w14:paraId="4A06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78BDABDC">
                  <w:pPr>
                    <w:jc w:val="center"/>
                    <w:rPr>
                      <w:color w:val="auto"/>
                      <w:sz w:val="24"/>
                      <w:szCs w:val="32"/>
                    </w:rPr>
                  </w:pPr>
                </w:p>
              </w:tc>
              <w:tc>
                <w:tcPr>
                  <w:tcW w:w="432" w:type="dxa"/>
                  <w:vMerge w:val="continue"/>
                  <w:vAlign w:val="center"/>
                </w:tcPr>
                <w:p w14:paraId="1F76FD5A">
                  <w:pPr>
                    <w:jc w:val="center"/>
                    <w:rPr>
                      <w:color w:val="auto"/>
                      <w:sz w:val="24"/>
                      <w:szCs w:val="32"/>
                    </w:rPr>
                  </w:pPr>
                </w:p>
              </w:tc>
              <w:tc>
                <w:tcPr>
                  <w:tcW w:w="4044" w:type="dxa"/>
                  <w:vAlign w:val="center"/>
                </w:tcPr>
                <w:p w14:paraId="32E224DC">
                  <w:pPr>
                    <w:rPr>
                      <w:color w:val="auto"/>
                      <w:sz w:val="24"/>
                      <w:szCs w:val="32"/>
                    </w:rPr>
                  </w:pPr>
                  <w:r>
                    <w:rPr>
                      <w:color w:val="auto"/>
                      <w:kern w:val="0"/>
                    </w:rPr>
                    <w:t>10、模压复合材料检查井盖生产企业应收集有机液体物料储存、搅拌、抽料、放料、模压等生产环节中产生的废气。</w:t>
                  </w:r>
                </w:p>
              </w:tc>
              <w:tc>
                <w:tcPr>
                  <w:tcW w:w="2604" w:type="dxa"/>
                  <w:vAlign w:val="center"/>
                </w:tcPr>
                <w:p w14:paraId="28ACEA7C">
                  <w:pPr>
                    <w:rPr>
                      <w:color w:val="auto"/>
                      <w:sz w:val="24"/>
                      <w:szCs w:val="32"/>
                    </w:rPr>
                  </w:pPr>
                  <w:r>
                    <w:rPr>
                      <w:color w:val="auto"/>
                      <w:kern w:val="0"/>
                    </w:rPr>
                    <w:t>本项目不涉及模压复合材料检查井盖生产。</w:t>
                  </w:r>
                </w:p>
              </w:tc>
              <w:tc>
                <w:tcPr>
                  <w:tcW w:w="675" w:type="dxa"/>
                  <w:vAlign w:val="center"/>
                </w:tcPr>
                <w:p w14:paraId="0CAC535E">
                  <w:pPr>
                    <w:jc w:val="center"/>
                    <w:rPr>
                      <w:color w:val="auto"/>
                      <w:sz w:val="24"/>
                      <w:szCs w:val="32"/>
                    </w:rPr>
                  </w:pPr>
                  <w:r>
                    <w:rPr>
                      <w:color w:val="auto"/>
                      <w:kern w:val="0"/>
                    </w:rPr>
                    <w:t>是</w:t>
                  </w:r>
                </w:p>
              </w:tc>
            </w:tr>
            <w:tr w14:paraId="614B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088ECD30">
                  <w:pPr>
                    <w:jc w:val="center"/>
                    <w:rPr>
                      <w:color w:val="auto"/>
                      <w:sz w:val="24"/>
                      <w:szCs w:val="32"/>
                    </w:rPr>
                  </w:pPr>
                </w:p>
              </w:tc>
              <w:tc>
                <w:tcPr>
                  <w:tcW w:w="432" w:type="dxa"/>
                  <w:vMerge w:val="continue"/>
                  <w:vAlign w:val="center"/>
                </w:tcPr>
                <w:p w14:paraId="69625824">
                  <w:pPr>
                    <w:jc w:val="center"/>
                    <w:rPr>
                      <w:color w:val="auto"/>
                      <w:sz w:val="24"/>
                      <w:szCs w:val="32"/>
                    </w:rPr>
                  </w:pPr>
                </w:p>
              </w:tc>
              <w:tc>
                <w:tcPr>
                  <w:tcW w:w="4044" w:type="dxa"/>
                  <w:vAlign w:val="center"/>
                </w:tcPr>
                <w:p w14:paraId="7CDC55A2">
                  <w:pPr>
                    <w:rPr>
                      <w:color w:val="auto"/>
                      <w:sz w:val="24"/>
                      <w:szCs w:val="32"/>
                    </w:rPr>
                  </w:pPr>
                  <w:r>
                    <w:rPr>
                      <w:color w:val="auto"/>
                      <w:kern w:val="0"/>
                    </w:rPr>
                    <w:t>11、企业应采用密闭式集气方式进行废气收集，不得采用集气罩方式。</w:t>
                  </w:r>
                </w:p>
              </w:tc>
              <w:tc>
                <w:tcPr>
                  <w:tcW w:w="2604" w:type="dxa"/>
                  <w:vAlign w:val="center"/>
                </w:tcPr>
                <w:p w14:paraId="2BCE3205">
                  <w:pPr>
                    <w:rPr>
                      <w:color w:val="auto"/>
                      <w:sz w:val="24"/>
                      <w:szCs w:val="32"/>
                    </w:rPr>
                  </w:pPr>
                  <w:r>
                    <w:rPr>
                      <w:color w:val="auto"/>
                      <w:spacing w:val="-1"/>
                    </w:rPr>
                    <w:t>本项目采用密闭式集气</w:t>
                  </w:r>
                  <w:r>
                    <w:rPr>
                      <w:color w:val="auto"/>
                      <w:spacing w:val="-6"/>
                    </w:rPr>
                    <w:t>方式</w:t>
                  </w:r>
                  <w:r>
                    <w:rPr>
                      <w:color w:val="auto"/>
                      <w:spacing w:val="-1"/>
                    </w:rPr>
                    <w:t>（集气罩下方设置软帘，形成较密闭空间）进行废气收集。</w:t>
                  </w:r>
                </w:p>
              </w:tc>
              <w:tc>
                <w:tcPr>
                  <w:tcW w:w="675" w:type="dxa"/>
                  <w:vAlign w:val="center"/>
                </w:tcPr>
                <w:p w14:paraId="2061C18F">
                  <w:pPr>
                    <w:jc w:val="center"/>
                    <w:rPr>
                      <w:color w:val="auto"/>
                      <w:sz w:val="24"/>
                      <w:szCs w:val="32"/>
                    </w:rPr>
                  </w:pPr>
                  <w:r>
                    <w:rPr>
                      <w:color w:val="auto"/>
                      <w:kern w:val="0"/>
                    </w:rPr>
                    <w:t>是</w:t>
                  </w:r>
                </w:p>
              </w:tc>
            </w:tr>
            <w:tr w14:paraId="339F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22AE9ED8">
                  <w:pPr>
                    <w:jc w:val="center"/>
                    <w:rPr>
                      <w:color w:val="auto"/>
                      <w:sz w:val="24"/>
                      <w:szCs w:val="32"/>
                    </w:rPr>
                  </w:pPr>
                </w:p>
              </w:tc>
              <w:tc>
                <w:tcPr>
                  <w:tcW w:w="432" w:type="dxa"/>
                  <w:vMerge w:val="restart"/>
                  <w:vAlign w:val="center"/>
                </w:tcPr>
                <w:p w14:paraId="20108835">
                  <w:pPr>
                    <w:jc w:val="center"/>
                    <w:rPr>
                      <w:color w:val="auto"/>
                      <w:sz w:val="24"/>
                      <w:szCs w:val="32"/>
                    </w:rPr>
                  </w:pPr>
                  <w:r>
                    <w:rPr>
                      <w:color w:val="auto"/>
                      <w:kern w:val="0"/>
                    </w:rPr>
                    <w:t>规范收集方式和参数</w:t>
                  </w:r>
                </w:p>
              </w:tc>
              <w:tc>
                <w:tcPr>
                  <w:tcW w:w="4044" w:type="dxa"/>
                  <w:vAlign w:val="center"/>
                </w:tcPr>
                <w:p w14:paraId="35461486">
                  <w:pPr>
                    <w:autoSpaceDE w:val="0"/>
                    <w:autoSpaceDN w:val="0"/>
                    <w:adjustRightInd w:val="0"/>
                    <w:rPr>
                      <w:color w:val="auto"/>
                      <w:sz w:val="24"/>
                      <w:szCs w:val="32"/>
                    </w:rPr>
                  </w:pPr>
                  <w:r>
                    <w:rPr>
                      <w:color w:val="auto"/>
                      <w:kern w:val="0"/>
                    </w:rPr>
                    <w:t>12、对废塑料熔融造粒和挤出生产线进行全密闭，常闭面采用玻璃、岩棉夹芯板或其他硬质围挡隔离，常开面采用自吸式软帘隔离，确保非浸出时间密闭间呈密闭状态。在密闭空间内针对废气产生点设置半密闭集气罩，优先将大部分废气直接引至收集系统。</w:t>
                  </w:r>
                </w:p>
              </w:tc>
              <w:tc>
                <w:tcPr>
                  <w:tcW w:w="2604" w:type="dxa"/>
                  <w:vAlign w:val="center"/>
                </w:tcPr>
                <w:p w14:paraId="5C8E2627">
                  <w:pPr>
                    <w:autoSpaceDE w:val="0"/>
                    <w:autoSpaceDN w:val="0"/>
                    <w:adjustRightInd w:val="0"/>
                    <w:rPr>
                      <w:color w:val="auto"/>
                      <w:sz w:val="24"/>
                      <w:szCs w:val="32"/>
                    </w:rPr>
                  </w:pPr>
                  <w:r>
                    <w:rPr>
                      <w:color w:val="auto"/>
                    </w:rPr>
                    <w:t>本项目原辅料均为新料，不涉及废塑料使用。</w:t>
                  </w:r>
                  <w:r>
                    <w:rPr>
                      <w:rStyle w:val="97"/>
                      <w:rFonts w:hint="eastAsia"/>
                      <w:color w:val="auto"/>
                      <w:kern w:val="0"/>
                      <w:szCs w:val="20"/>
                    </w:rPr>
                    <w:t>且本</w:t>
                  </w:r>
                  <w:r>
                    <w:rPr>
                      <w:rFonts w:hint="eastAsia"/>
                      <w:color w:val="auto"/>
                      <w:spacing w:val="-1"/>
                    </w:rPr>
                    <w:t>项目</w:t>
                  </w:r>
                  <w:r>
                    <w:rPr>
                      <w:color w:val="auto"/>
                      <w:spacing w:val="-1"/>
                    </w:rPr>
                    <w:t>混料粉尘经上方集气罩收集（集气罩下方设置软帘，形成较密闭空间）</w:t>
                  </w:r>
                  <w:r>
                    <w:rPr>
                      <w:rFonts w:hint="eastAsia"/>
                      <w:color w:val="auto"/>
                      <w:spacing w:val="-1"/>
                    </w:rPr>
                    <w:t>，</w:t>
                  </w:r>
                  <w:r>
                    <w:rPr>
                      <w:color w:val="auto"/>
                      <w:spacing w:val="-1"/>
                    </w:rPr>
                    <w:t>挤出废气挤出废气分别经上方集气罩收集（集气罩下方设置软帘，形成较密闭空间）</w:t>
                  </w:r>
                  <w:r>
                    <w:rPr>
                      <w:rFonts w:hint="eastAsia"/>
                      <w:color w:val="auto"/>
                      <w:spacing w:val="-1"/>
                    </w:rPr>
                    <w:t>。</w:t>
                  </w:r>
                </w:p>
              </w:tc>
              <w:tc>
                <w:tcPr>
                  <w:tcW w:w="675" w:type="dxa"/>
                  <w:vAlign w:val="center"/>
                </w:tcPr>
                <w:p w14:paraId="545A9F53">
                  <w:pPr>
                    <w:autoSpaceDE w:val="0"/>
                    <w:autoSpaceDN w:val="0"/>
                    <w:adjustRightInd w:val="0"/>
                    <w:jc w:val="center"/>
                    <w:rPr>
                      <w:color w:val="auto"/>
                      <w:sz w:val="24"/>
                      <w:szCs w:val="32"/>
                    </w:rPr>
                  </w:pPr>
                  <w:r>
                    <w:rPr>
                      <w:color w:val="auto"/>
                      <w:kern w:val="0"/>
                    </w:rPr>
                    <w:t>是</w:t>
                  </w:r>
                </w:p>
              </w:tc>
            </w:tr>
            <w:tr w14:paraId="1C14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7BDB6EBD">
                  <w:pPr>
                    <w:jc w:val="center"/>
                    <w:rPr>
                      <w:color w:val="auto"/>
                      <w:sz w:val="24"/>
                      <w:szCs w:val="32"/>
                    </w:rPr>
                  </w:pPr>
                </w:p>
              </w:tc>
              <w:tc>
                <w:tcPr>
                  <w:tcW w:w="432" w:type="dxa"/>
                  <w:vMerge w:val="continue"/>
                  <w:vAlign w:val="center"/>
                </w:tcPr>
                <w:p w14:paraId="2C344066">
                  <w:pPr>
                    <w:jc w:val="center"/>
                    <w:rPr>
                      <w:color w:val="auto"/>
                      <w:sz w:val="24"/>
                      <w:szCs w:val="32"/>
                    </w:rPr>
                  </w:pPr>
                </w:p>
              </w:tc>
              <w:tc>
                <w:tcPr>
                  <w:tcW w:w="4044" w:type="dxa"/>
                  <w:vAlign w:val="center"/>
                </w:tcPr>
                <w:p w14:paraId="6B9746B8">
                  <w:pPr>
                    <w:autoSpaceDE w:val="0"/>
                    <w:autoSpaceDN w:val="0"/>
                    <w:adjustRightInd w:val="0"/>
                    <w:rPr>
                      <w:color w:val="auto"/>
                      <w:sz w:val="24"/>
                      <w:szCs w:val="32"/>
                    </w:rPr>
                  </w:pPr>
                  <w:r>
                    <w:rPr>
                      <w:color w:val="auto"/>
                      <w:kern w:val="0"/>
                    </w:rPr>
                    <w:t>13、对模压符合材料检查井盖生产企业的有机原料储罐、搅拌釜呼吸废气采用管道直接连接的方式收集废气。</w:t>
                  </w:r>
                </w:p>
              </w:tc>
              <w:tc>
                <w:tcPr>
                  <w:tcW w:w="2604" w:type="dxa"/>
                  <w:vAlign w:val="center"/>
                </w:tcPr>
                <w:p w14:paraId="2580ED7E">
                  <w:pPr>
                    <w:rPr>
                      <w:color w:val="auto"/>
                      <w:sz w:val="24"/>
                      <w:szCs w:val="32"/>
                    </w:rPr>
                  </w:pPr>
                  <w:r>
                    <w:rPr>
                      <w:color w:val="auto"/>
                      <w:kern w:val="0"/>
                    </w:rPr>
                    <w:t>本项目不涉及模压复合材料检查井盖生产。</w:t>
                  </w:r>
                </w:p>
              </w:tc>
              <w:tc>
                <w:tcPr>
                  <w:tcW w:w="675" w:type="dxa"/>
                  <w:vAlign w:val="center"/>
                </w:tcPr>
                <w:p w14:paraId="5E23BCEF">
                  <w:pPr>
                    <w:jc w:val="center"/>
                    <w:rPr>
                      <w:color w:val="auto"/>
                      <w:sz w:val="24"/>
                      <w:szCs w:val="32"/>
                    </w:rPr>
                  </w:pPr>
                  <w:r>
                    <w:rPr>
                      <w:color w:val="auto"/>
                      <w:kern w:val="0"/>
                    </w:rPr>
                    <w:t>是</w:t>
                  </w:r>
                </w:p>
              </w:tc>
            </w:tr>
            <w:tr w14:paraId="6DA3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4726AFB2">
                  <w:pPr>
                    <w:jc w:val="center"/>
                    <w:rPr>
                      <w:color w:val="auto"/>
                      <w:sz w:val="24"/>
                      <w:szCs w:val="32"/>
                    </w:rPr>
                  </w:pPr>
                </w:p>
              </w:tc>
              <w:tc>
                <w:tcPr>
                  <w:tcW w:w="432" w:type="dxa"/>
                  <w:vMerge w:val="continue"/>
                  <w:vAlign w:val="center"/>
                </w:tcPr>
                <w:p w14:paraId="322F0A98">
                  <w:pPr>
                    <w:jc w:val="center"/>
                    <w:rPr>
                      <w:color w:val="auto"/>
                      <w:sz w:val="24"/>
                      <w:szCs w:val="32"/>
                    </w:rPr>
                  </w:pPr>
                </w:p>
              </w:tc>
              <w:tc>
                <w:tcPr>
                  <w:tcW w:w="4044" w:type="dxa"/>
                  <w:vAlign w:val="center"/>
                </w:tcPr>
                <w:p w14:paraId="51B63545">
                  <w:pPr>
                    <w:autoSpaceDE w:val="0"/>
                    <w:autoSpaceDN w:val="0"/>
                    <w:adjustRightInd w:val="0"/>
                    <w:rPr>
                      <w:color w:val="auto"/>
                      <w:sz w:val="24"/>
                      <w:szCs w:val="32"/>
                    </w:rPr>
                  </w:pPr>
                  <w:r>
                    <w:rPr>
                      <w:color w:val="auto"/>
                      <w:kern w:val="0"/>
                    </w:rPr>
                    <w:t>14、对模压复合材料检查井盖生产企业的抽料、放料、模压区域应设置密闭间采用玻璃、岩棉夹芯板或其他硬质围挡隔离，常开面采用双道门隔离，人员进出时必须确保其中一道门处于关闭状态。在密闭空间内针对抽料口、放料口或模压机压头区域的废气产生点设置版密闭集气罩，优先将大部分废气直接引至收集系统。</w:t>
                  </w:r>
                </w:p>
              </w:tc>
              <w:tc>
                <w:tcPr>
                  <w:tcW w:w="2604" w:type="dxa"/>
                  <w:vAlign w:val="center"/>
                </w:tcPr>
                <w:p w14:paraId="56267FEA">
                  <w:pPr>
                    <w:rPr>
                      <w:color w:val="auto"/>
                      <w:sz w:val="24"/>
                      <w:szCs w:val="32"/>
                    </w:rPr>
                  </w:pPr>
                  <w:r>
                    <w:rPr>
                      <w:color w:val="auto"/>
                      <w:kern w:val="0"/>
                    </w:rPr>
                    <w:t>本项目不涉及模压复合材料检查井盖生产。</w:t>
                  </w:r>
                </w:p>
              </w:tc>
              <w:tc>
                <w:tcPr>
                  <w:tcW w:w="675" w:type="dxa"/>
                  <w:vAlign w:val="center"/>
                </w:tcPr>
                <w:p w14:paraId="1E062AC6">
                  <w:pPr>
                    <w:jc w:val="center"/>
                    <w:rPr>
                      <w:color w:val="auto"/>
                      <w:sz w:val="24"/>
                      <w:szCs w:val="32"/>
                    </w:rPr>
                  </w:pPr>
                  <w:r>
                    <w:rPr>
                      <w:color w:val="auto"/>
                      <w:kern w:val="0"/>
                    </w:rPr>
                    <w:t>是</w:t>
                  </w:r>
                </w:p>
              </w:tc>
            </w:tr>
            <w:tr w14:paraId="1078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38E14B0D">
                  <w:pPr>
                    <w:jc w:val="center"/>
                    <w:rPr>
                      <w:color w:val="auto"/>
                      <w:sz w:val="24"/>
                      <w:szCs w:val="32"/>
                    </w:rPr>
                  </w:pPr>
                </w:p>
              </w:tc>
              <w:tc>
                <w:tcPr>
                  <w:tcW w:w="432" w:type="dxa"/>
                  <w:vMerge w:val="continue"/>
                  <w:vAlign w:val="center"/>
                </w:tcPr>
                <w:p w14:paraId="3608F72F">
                  <w:pPr>
                    <w:jc w:val="center"/>
                    <w:rPr>
                      <w:color w:val="auto"/>
                      <w:sz w:val="24"/>
                      <w:szCs w:val="32"/>
                    </w:rPr>
                  </w:pPr>
                </w:p>
              </w:tc>
              <w:tc>
                <w:tcPr>
                  <w:tcW w:w="4044" w:type="dxa"/>
                  <w:vAlign w:val="center"/>
                </w:tcPr>
                <w:p w14:paraId="10FF882A">
                  <w:pPr>
                    <w:autoSpaceDE w:val="0"/>
                    <w:autoSpaceDN w:val="0"/>
                    <w:adjustRightInd w:val="0"/>
                    <w:rPr>
                      <w:color w:val="auto"/>
                      <w:sz w:val="24"/>
                      <w:szCs w:val="32"/>
                    </w:rPr>
                  </w:pPr>
                  <w:r>
                    <w:rPr>
                      <w:color w:val="auto"/>
                      <w:kern w:val="0"/>
                    </w:rPr>
                    <w:t>15、采用密闭方式收集废气时，密闭空间必须同时满足足够的换气次数和保持微负压状态。人员操作频繁的空间内换气次数不小于20次/小时；包括进出通道、隔离材料缝隙在内，所有可能的敞开截面应控制风速不小于0.5米/秒。</w:t>
                  </w:r>
                </w:p>
              </w:tc>
              <w:tc>
                <w:tcPr>
                  <w:tcW w:w="2604" w:type="dxa"/>
                  <w:vAlign w:val="center"/>
                </w:tcPr>
                <w:p w14:paraId="36176EAD">
                  <w:pPr>
                    <w:autoSpaceDE w:val="0"/>
                    <w:autoSpaceDN w:val="0"/>
                    <w:adjustRightInd w:val="0"/>
                    <w:rPr>
                      <w:color w:val="auto"/>
                      <w:sz w:val="24"/>
                      <w:szCs w:val="32"/>
                    </w:rPr>
                  </w:pPr>
                  <w:r>
                    <w:rPr>
                      <w:color w:val="auto"/>
                      <w:kern w:val="0"/>
                    </w:rPr>
                    <w:t>本项目采用较密闭方式收集废气</w:t>
                  </w:r>
                  <w:r>
                    <w:rPr>
                      <w:rFonts w:hint="eastAsia"/>
                      <w:color w:val="auto"/>
                      <w:kern w:val="0"/>
                    </w:rPr>
                    <w:t>（</w:t>
                  </w:r>
                  <w:r>
                    <w:rPr>
                      <w:color w:val="auto"/>
                      <w:spacing w:val="-1"/>
                    </w:rPr>
                    <w:t>集气罩下方设置软帘，形成较密闭空间</w:t>
                  </w:r>
                  <w:r>
                    <w:rPr>
                      <w:rFonts w:hint="eastAsia"/>
                      <w:color w:val="auto"/>
                      <w:kern w:val="0"/>
                    </w:rPr>
                    <w:t>）；</w:t>
                  </w:r>
                  <w:r>
                    <w:rPr>
                      <w:rFonts w:hint="eastAsia"/>
                      <w:color w:val="auto"/>
                      <w:spacing w:val="-5"/>
                      <w:szCs w:val="21"/>
                    </w:rPr>
                    <w:t>散开截面控制风速</w:t>
                  </w:r>
                  <w:r>
                    <w:rPr>
                      <w:color w:val="auto"/>
                      <w:spacing w:val="-5"/>
                      <w:szCs w:val="21"/>
                    </w:rPr>
                    <w:t>不小于0.5米/秒</w:t>
                  </w:r>
                  <w:r>
                    <w:rPr>
                      <w:color w:val="auto"/>
                      <w:spacing w:val="-10"/>
                      <w:szCs w:val="21"/>
                    </w:rPr>
                    <w:t>。</w:t>
                  </w:r>
                </w:p>
              </w:tc>
              <w:tc>
                <w:tcPr>
                  <w:tcW w:w="675" w:type="dxa"/>
                  <w:vAlign w:val="center"/>
                </w:tcPr>
                <w:p w14:paraId="3BFDBE43">
                  <w:pPr>
                    <w:autoSpaceDE w:val="0"/>
                    <w:autoSpaceDN w:val="0"/>
                    <w:adjustRightInd w:val="0"/>
                    <w:jc w:val="center"/>
                    <w:rPr>
                      <w:color w:val="auto"/>
                      <w:sz w:val="24"/>
                      <w:szCs w:val="32"/>
                    </w:rPr>
                  </w:pPr>
                  <w:r>
                    <w:rPr>
                      <w:color w:val="auto"/>
                      <w:kern w:val="0"/>
                    </w:rPr>
                    <w:t>是</w:t>
                  </w:r>
                </w:p>
              </w:tc>
            </w:tr>
            <w:tr w14:paraId="4344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077252C5">
                  <w:pPr>
                    <w:jc w:val="center"/>
                    <w:rPr>
                      <w:color w:val="auto"/>
                      <w:sz w:val="24"/>
                      <w:szCs w:val="32"/>
                    </w:rPr>
                  </w:pPr>
                </w:p>
              </w:tc>
              <w:tc>
                <w:tcPr>
                  <w:tcW w:w="432" w:type="dxa"/>
                  <w:vMerge w:val="continue"/>
                  <w:vAlign w:val="center"/>
                </w:tcPr>
                <w:p w14:paraId="47DDFF4C">
                  <w:pPr>
                    <w:jc w:val="center"/>
                    <w:rPr>
                      <w:color w:val="auto"/>
                      <w:sz w:val="24"/>
                      <w:szCs w:val="32"/>
                    </w:rPr>
                  </w:pPr>
                </w:p>
              </w:tc>
              <w:tc>
                <w:tcPr>
                  <w:tcW w:w="4044" w:type="dxa"/>
                  <w:vAlign w:val="center"/>
                </w:tcPr>
                <w:p w14:paraId="2A97D523">
                  <w:pPr>
                    <w:autoSpaceDE w:val="0"/>
                    <w:autoSpaceDN w:val="0"/>
                    <w:adjustRightInd w:val="0"/>
                    <w:rPr>
                      <w:color w:val="auto"/>
                      <w:sz w:val="24"/>
                      <w:szCs w:val="32"/>
                    </w:rPr>
                  </w:pPr>
                  <w:r>
                    <w:rPr>
                      <w:color w:val="auto"/>
                      <w:kern w:val="0"/>
                    </w:rPr>
                    <w:t>16、企业收集废气后，应满足厂区内大气污染物监控点非甲烷总烃任何1小时平均浓度不得超过的监控浓度限值为10毫克/立方米，任何瞬时一次浓度不得超过的监控浓度限值为50毫克/立方米。如企业采用密闭间方式收集废气，测厂区内大气污染物监控点指密闭间主要逸散口（门、窗、通风口等）外1米，不低于1.5米高度处；如企业采用外部集气罩收集废气，则厂区内大气污染物监控点指生产设备1米，不低于1.5米高度处；监控点的数量不少于3个，并以浓度最大值的监控点来判别是否达标。</w:t>
                  </w:r>
                </w:p>
              </w:tc>
              <w:tc>
                <w:tcPr>
                  <w:tcW w:w="2604" w:type="dxa"/>
                  <w:vAlign w:val="center"/>
                </w:tcPr>
                <w:p w14:paraId="1DD860FB">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110D38AE">
                  <w:pPr>
                    <w:autoSpaceDE w:val="0"/>
                    <w:autoSpaceDN w:val="0"/>
                    <w:adjustRightInd w:val="0"/>
                    <w:jc w:val="center"/>
                    <w:rPr>
                      <w:color w:val="auto"/>
                      <w:sz w:val="24"/>
                      <w:szCs w:val="32"/>
                    </w:rPr>
                  </w:pPr>
                  <w:r>
                    <w:rPr>
                      <w:color w:val="auto"/>
                      <w:kern w:val="0"/>
                    </w:rPr>
                    <w:t>是</w:t>
                  </w:r>
                </w:p>
              </w:tc>
            </w:tr>
            <w:tr w14:paraId="1716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28A1C8DE">
                  <w:pPr>
                    <w:jc w:val="center"/>
                    <w:rPr>
                      <w:color w:val="auto"/>
                      <w:sz w:val="24"/>
                      <w:szCs w:val="32"/>
                    </w:rPr>
                  </w:pPr>
                </w:p>
              </w:tc>
              <w:tc>
                <w:tcPr>
                  <w:tcW w:w="432" w:type="dxa"/>
                  <w:vMerge w:val="continue"/>
                  <w:vAlign w:val="center"/>
                </w:tcPr>
                <w:p w14:paraId="61A3BC98">
                  <w:pPr>
                    <w:jc w:val="center"/>
                    <w:rPr>
                      <w:color w:val="auto"/>
                      <w:sz w:val="24"/>
                      <w:szCs w:val="32"/>
                    </w:rPr>
                  </w:pPr>
                </w:p>
              </w:tc>
              <w:tc>
                <w:tcPr>
                  <w:tcW w:w="4044" w:type="dxa"/>
                  <w:vAlign w:val="center"/>
                </w:tcPr>
                <w:p w14:paraId="61870C27">
                  <w:pPr>
                    <w:autoSpaceDE w:val="0"/>
                    <w:autoSpaceDN w:val="0"/>
                    <w:adjustRightInd w:val="0"/>
                    <w:rPr>
                      <w:color w:val="auto"/>
                      <w:sz w:val="24"/>
                      <w:szCs w:val="32"/>
                    </w:rPr>
                  </w:pPr>
                  <w:r>
                    <w:rPr>
                      <w:color w:val="auto"/>
                      <w:kern w:val="0"/>
                    </w:rPr>
                    <w:t>17、废气收集和输送应满足《大气污染治理工程技术导则》（HJ2000-2010）及相关规范的要求，管路应有明显的颜色区分及走向标识。</w:t>
                  </w:r>
                </w:p>
              </w:tc>
              <w:tc>
                <w:tcPr>
                  <w:tcW w:w="2604" w:type="dxa"/>
                  <w:vAlign w:val="center"/>
                </w:tcPr>
                <w:p w14:paraId="14EA1474">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731F6946">
                  <w:pPr>
                    <w:autoSpaceDE w:val="0"/>
                    <w:autoSpaceDN w:val="0"/>
                    <w:adjustRightInd w:val="0"/>
                    <w:jc w:val="center"/>
                    <w:rPr>
                      <w:color w:val="auto"/>
                      <w:sz w:val="24"/>
                      <w:szCs w:val="32"/>
                    </w:rPr>
                  </w:pPr>
                  <w:r>
                    <w:rPr>
                      <w:color w:val="auto"/>
                      <w:kern w:val="0"/>
                    </w:rPr>
                    <w:t>是</w:t>
                  </w:r>
                </w:p>
              </w:tc>
            </w:tr>
            <w:tr w14:paraId="255C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restart"/>
                  <w:vAlign w:val="center"/>
                </w:tcPr>
                <w:p w14:paraId="58FA0327">
                  <w:pPr>
                    <w:jc w:val="center"/>
                    <w:rPr>
                      <w:color w:val="auto"/>
                      <w:sz w:val="24"/>
                      <w:szCs w:val="32"/>
                    </w:rPr>
                  </w:pPr>
                  <w:r>
                    <w:rPr>
                      <w:color w:val="auto"/>
                      <w:kern w:val="0"/>
                    </w:rPr>
                    <w:t>提升废气处理水平</w:t>
                  </w:r>
                </w:p>
              </w:tc>
              <w:tc>
                <w:tcPr>
                  <w:tcW w:w="432" w:type="dxa"/>
                  <w:vMerge w:val="restart"/>
                  <w:vAlign w:val="center"/>
                </w:tcPr>
                <w:p w14:paraId="0A57C5F0">
                  <w:pPr>
                    <w:jc w:val="center"/>
                    <w:rPr>
                      <w:color w:val="auto"/>
                      <w:sz w:val="24"/>
                      <w:szCs w:val="32"/>
                    </w:rPr>
                  </w:pPr>
                  <w:r>
                    <w:rPr>
                      <w:color w:val="auto"/>
                      <w:kern w:val="0"/>
                    </w:rPr>
                    <w:t>采用有效的废气处理工艺</w:t>
                  </w:r>
                </w:p>
              </w:tc>
              <w:tc>
                <w:tcPr>
                  <w:tcW w:w="4044" w:type="dxa"/>
                  <w:vAlign w:val="center"/>
                </w:tcPr>
                <w:p w14:paraId="645148B3">
                  <w:pPr>
                    <w:autoSpaceDE w:val="0"/>
                    <w:autoSpaceDN w:val="0"/>
                    <w:adjustRightInd w:val="0"/>
                    <w:rPr>
                      <w:color w:val="auto"/>
                      <w:sz w:val="24"/>
                      <w:szCs w:val="32"/>
                    </w:rPr>
                  </w:pPr>
                  <w:r>
                    <w:rPr>
                      <w:bCs/>
                      <w:color w:val="auto"/>
                    </w:rPr>
                    <w:t>18、破碎、配料、搅拌、固体投料等产生粉尘的工序应选用布袋除尘工艺，并配套在线清灰装置，如有异味再进行除异味处理。</w:t>
                  </w:r>
                </w:p>
              </w:tc>
              <w:tc>
                <w:tcPr>
                  <w:tcW w:w="2604" w:type="dxa"/>
                  <w:vAlign w:val="center"/>
                </w:tcPr>
                <w:p w14:paraId="1D5EE3EE">
                  <w:pPr>
                    <w:pStyle w:val="21"/>
                    <w:ind w:firstLine="0" w:firstLineChars="0"/>
                    <w:rPr>
                      <w:color w:val="auto"/>
                      <w:sz w:val="24"/>
                      <w:szCs w:val="32"/>
                    </w:rPr>
                  </w:pPr>
                  <w:r>
                    <w:rPr>
                      <w:rFonts w:hint="eastAsia"/>
                      <w:color w:val="auto"/>
                      <w:lang w:val="en-US" w:eastAsia="zh-CN"/>
                    </w:rPr>
                    <w:t>本项目混料</w:t>
                  </w:r>
                  <w:r>
                    <w:rPr>
                      <w:color w:val="auto"/>
                    </w:rPr>
                    <w:t>产生</w:t>
                  </w:r>
                  <w:r>
                    <w:rPr>
                      <w:rFonts w:hint="eastAsia"/>
                      <w:color w:val="auto"/>
                      <w:lang w:val="en-US" w:eastAsia="zh-CN"/>
                    </w:rPr>
                    <w:t>的</w:t>
                  </w:r>
                  <w:r>
                    <w:rPr>
                      <w:color w:val="auto"/>
                    </w:rPr>
                    <w:t>粉尘采用布袋除尘工艺进行处理。</w:t>
                  </w:r>
                </w:p>
              </w:tc>
              <w:tc>
                <w:tcPr>
                  <w:tcW w:w="675" w:type="dxa"/>
                  <w:vAlign w:val="center"/>
                </w:tcPr>
                <w:p w14:paraId="5C5AE053">
                  <w:pPr>
                    <w:pStyle w:val="21"/>
                    <w:ind w:firstLine="0" w:firstLineChars="0"/>
                    <w:jc w:val="center"/>
                    <w:rPr>
                      <w:color w:val="auto"/>
                      <w:sz w:val="24"/>
                      <w:szCs w:val="32"/>
                    </w:rPr>
                  </w:pPr>
                  <w:r>
                    <w:rPr>
                      <w:color w:val="auto"/>
                    </w:rPr>
                    <w:t>是</w:t>
                  </w:r>
                </w:p>
              </w:tc>
            </w:tr>
            <w:tr w14:paraId="6E68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7139CCB0">
                  <w:pPr>
                    <w:jc w:val="center"/>
                    <w:rPr>
                      <w:color w:val="auto"/>
                      <w:sz w:val="24"/>
                      <w:szCs w:val="32"/>
                    </w:rPr>
                  </w:pPr>
                </w:p>
              </w:tc>
              <w:tc>
                <w:tcPr>
                  <w:tcW w:w="432" w:type="dxa"/>
                  <w:vMerge w:val="continue"/>
                  <w:vAlign w:val="center"/>
                </w:tcPr>
                <w:p w14:paraId="516E831B">
                  <w:pPr>
                    <w:jc w:val="center"/>
                    <w:rPr>
                      <w:color w:val="auto"/>
                      <w:sz w:val="24"/>
                      <w:szCs w:val="32"/>
                    </w:rPr>
                  </w:pPr>
                </w:p>
              </w:tc>
              <w:tc>
                <w:tcPr>
                  <w:tcW w:w="4044" w:type="dxa"/>
                  <w:vAlign w:val="center"/>
                </w:tcPr>
                <w:p w14:paraId="17A896BA">
                  <w:pPr>
                    <w:autoSpaceDE w:val="0"/>
                    <w:autoSpaceDN w:val="0"/>
                    <w:adjustRightInd w:val="0"/>
                    <w:rPr>
                      <w:color w:val="auto"/>
                      <w:sz w:val="24"/>
                      <w:szCs w:val="32"/>
                    </w:rPr>
                  </w:pPr>
                  <w:r>
                    <w:rPr>
                      <w:bCs/>
                      <w:color w:val="auto"/>
                    </w:rPr>
                    <w:t>19、废塑料加工企业的熔融、过滤、挤出废气应首先采用“水喷淋+除雾+高压静电”的方式去除油烟，再采用“过滤+低温等离子+水喷淋”、“过滤+光催化+水喷淋”、“过滤+活性炭吸附”或更高效技术进行除臭处理。去除油烟的喷淋塔底部设置喷淋液静置隔油设施，并配套气浮装置提高油类去除效果，喷淋液停留时间不小于10分钟。每万立方米/小时的高压静电设施设计功率不小于3千瓦，油烟净化效率不小于80%。造粒废气臭气浓度的净化效率不小于75%，注塑臭气浓度的净化效率不低于60%。</w:t>
                  </w:r>
                </w:p>
              </w:tc>
              <w:tc>
                <w:tcPr>
                  <w:tcW w:w="2604" w:type="dxa"/>
                  <w:vAlign w:val="center"/>
                </w:tcPr>
                <w:p w14:paraId="39AB10F9">
                  <w:pPr>
                    <w:rPr>
                      <w:color w:val="auto"/>
                      <w:sz w:val="24"/>
                      <w:szCs w:val="32"/>
                    </w:rPr>
                  </w:pPr>
                  <w:r>
                    <w:rPr>
                      <w:color w:val="auto"/>
                    </w:rPr>
                    <w:t>本项目不涉及</w:t>
                  </w:r>
                  <w:r>
                    <w:rPr>
                      <w:rFonts w:hint="eastAsia"/>
                      <w:color w:val="auto"/>
                    </w:rPr>
                    <w:t>废塑料</w:t>
                  </w:r>
                  <w:r>
                    <w:rPr>
                      <w:color w:val="auto"/>
                    </w:rPr>
                    <w:t>。</w:t>
                  </w:r>
                </w:p>
              </w:tc>
              <w:tc>
                <w:tcPr>
                  <w:tcW w:w="675" w:type="dxa"/>
                  <w:vAlign w:val="center"/>
                </w:tcPr>
                <w:p w14:paraId="72B6EB28">
                  <w:pPr>
                    <w:jc w:val="center"/>
                    <w:rPr>
                      <w:color w:val="auto"/>
                      <w:sz w:val="24"/>
                      <w:szCs w:val="32"/>
                    </w:rPr>
                  </w:pPr>
                  <w:r>
                    <w:rPr>
                      <w:color w:val="auto"/>
                      <w:kern w:val="0"/>
                    </w:rPr>
                    <w:t>是</w:t>
                  </w:r>
                </w:p>
              </w:tc>
            </w:tr>
            <w:tr w14:paraId="5872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356DA0A2">
                  <w:pPr>
                    <w:jc w:val="center"/>
                    <w:rPr>
                      <w:color w:val="auto"/>
                      <w:sz w:val="24"/>
                      <w:szCs w:val="32"/>
                    </w:rPr>
                  </w:pPr>
                </w:p>
              </w:tc>
              <w:tc>
                <w:tcPr>
                  <w:tcW w:w="432" w:type="dxa"/>
                  <w:vMerge w:val="continue"/>
                  <w:vAlign w:val="center"/>
                </w:tcPr>
                <w:p w14:paraId="49B83633">
                  <w:pPr>
                    <w:jc w:val="center"/>
                    <w:rPr>
                      <w:color w:val="auto"/>
                      <w:sz w:val="24"/>
                      <w:szCs w:val="32"/>
                    </w:rPr>
                  </w:pPr>
                </w:p>
              </w:tc>
              <w:tc>
                <w:tcPr>
                  <w:tcW w:w="4044" w:type="dxa"/>
                  <w:vAlign w:val="center"/>
                </w:tcPr>
                <w:p w14:paraId="3B042A14">
                  <w:pPr>
                    <w:autoSpaceDE w:val="0"/>
                    <w:autoSpaceDN w:val="0"/>
                    <w:adjustRightInd w:val="0"/>
                    <w:rPr>
                      <w:color w:val="auto"/>
                      <w:sz w:val="24"/>
                      <w:szCs w:val="32"/>
                    </w:rPr>
                  </w:pPr>
                  <w:r>
                    <w:rPr>
                      <w:bCs/>
                      <w:color w:val="auto"/>
                    </w:rPr>
                    <w:t>20、模压符合材料检查井盖生产企业的储存、搅拌、抽料、放料、模压废气应采用“过滤+活性炭吸附”或更高效技术进行处理，搅拌过程如有颗粒物应先采用布袋除尘进行预处理。</w:t>
                  </w:r>
                </w:p>
              </w:tc>
              <w:tc>
                <w:tcPr>
                  <w:tcW w:w="2604" w:type="dxa"/>
                  <w:vAlign w:val="center"/>
                </w:tcPr>
                <w:p w14:paraId="29CF1C28">
                  <w:pPr>
                    <w:rPr>
                      <w:color w:val="auto"/>
                      <w:sz w:val="24"/>
                      <w:szCs w:val="32"/>
                    </w:rPr>
                  </w:pPr>
                  <w:r>
                    <w:rPr>
                      <w:color w:val="auto"/>
                      <w:kern w:val="0"/>
                    </w:rPr>
                    <w:t>本项目不涉及模压复合材料检查井盖生产。</w:t>
                  </w:r>
                </w:p>
              </w:tc>
              <w:tc>
                <w:tcPr>
                  <w:tcW w:w="675" w:type="dxa"/>
                  <w:vAlign w:val="center"/>
                </w:tcPr>
                <w:p w14:paraId="0977EAAC">
                  <w:pPr>
                    <w:jc w:val="center"/>
                    <w:rPr>
                      <w:color w:val="auto"/>
                      <w:sz w:val="24"/>
                      <w:szCs w:val="32"/>
                    </w:rPr>
                  </w:pPr>
                  <w:r>
                    <w:rPr>
                      <w:color w:val="auto"/>
                      <w:kern w:val="0"/>
                    </w:rPr>
                    <w:t>是</w:t>
                  </w:r>
                </w:p>
              </w:tc>
            </w:tr>
            <w:tr w14:paraId="7EA1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3DD33DF7">
                  <w:pPr>
                    <w:jc w:val="center"/>
                    <w:rPr>
                      <w:color w:val="auto"/>
                      <w:sz w:val="24"/>
                      <w:szCs w:val="32"/>
                    </w:rPr>
                  </w:pPr>
                </w:p>
              </w:tc>
              <w:tc>
                <w:tcPr>
                  <w:tcW w:w="432" w:type="dxa"/>
                  <w:vMerge w:val="continue"/>
                  <w:vAlign w:val="center"/>
                </w:tcPr>
                <w:p w14:paraId="6BFD13E8">
                  <w:pPr>
                    <w:jc w:val="center"/>
                    <w:rPr>
                      <w:color w:val="auto"/>
                      <w:sz w:val="24"/>
                      <w:szCs w:val="32"/>
                    </w:rPr>
                  </w:pPr>
                </w:p>
              </w:tc>
              <w:tc>
                <w:tcPr>
                  <w:tcW w:w="4044" w:type="dxa"/>
                  <w:vAlign w:val="center"/>
                </w:tcPr>
                <w:p w14:paraId="66F189B0">
                  <w:pPr>
                    <w:autoSpaceDE w:val="0"/>
                    <w:autoSpaceDN w:val="0"/>
                    <w:adjustRightInd w:val="0"/>
                    <w:rPr>
                      <w:color w:val="auto"/>
                      <w:sz w:val="24"/>
                      <w:szCs w:val="32"/>
                    </w:rPr>
                  </w:pPr>
                  <w:r>
                    <w:rPr>
                      <w:bCs/>
                      <w:color w:val="auto"/>
                    </w:rPr>
                    <w:t>21、每万立方米/小时的光催化或等离子体设施的设计功率不小于10千瓦。</w:t>
                  </w:r>
                </w:p>
              </w:tc>
              <w:tc>
                <w:tcPr>
                  <w:tcW w:w="2604" w:type="dxa"/>
                  <w:vAlign w:val="center"/>
                </w:tcPr>
                <w:p w14:paraId="5B3C200B">
                  <w:pPr>
                    <w:autoSpaceDE w:val="0"/>
                    <w:autoSpaceDN w:val="0"/>
                    <w:adjustRightInd w:val="0"/>
                    <w:rPr>
                      <w:color w:val="auto"/>
                      <w:sz w:val="24"/>
                      <w:szCs w:val="32"/>
                    </w:rPr>
                  </w:pPr>
                  <w:r>
                    <w:rPr>
                      <w:color w:val="auto"/>
                      <w:kern w:val="0"/>
                    </w:rPr>
                    <w:t>本项目不涉及</w:t>
                  </w:r>
                  <w:r>
                    <w:rPr>
                      <w:bCs/>
                      <w:color w:val="auto"/>
                    </w:rPr>
                    <w:t>。</w:t>
                  </w:r>
                </w:p>
              </w:tc>
              <w:tc>
                <w:tcPr>
                  <w:tcW w:w="675" w:type="dxa"/>
                  <w:vAlign w:val="center"/>
                </w:tcPr>
                <w:p w14:paraId="2CA6308C">
                  <w:pPr>
                    <w:autoSpaceDE w:val="0"/>
                    <w:autoSpaceDN w:val="0"/>
                    <w:adjustRightInd w:val="0"/>
                    <w:jc w:val="center"/>
                    <w:rPr>
                      <w:color w:val="auto"/>
                      <w:sz w:val="24"/>
                      <w:szCs w:val="32"/>
                    </w:rPr>
                  </w:pPr>
                  <w:r>
                    <w:rPr>
                      <w:color w:val="auto"/>
                      <w:kern w:val="0"/>
                    </w:rPr>
                    <w:t>是</w:t>
                  </w:r>
                </w:p>
              </w:tc>
            </w:tr>
            <w:tr w14:paraId="5B0B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07C4C785">
                  <w:pPr>
                    <w:jc w:val="center"/>
                    <w:rPr>
                      <w:color w:val="auto"/>
                      <w:sz w:val="24"/>
                      <w:szCs w:val="32"/>
                    </w:rPr>
                  </w:pPr>
                </w:p>
              </w:tc>
              <w:tc>
                <w:tcPr>
                  <w:tcW w:w="432" w:type="dxa"/>
                  <w:vMerge w:val="continue"/>
                  <w:vAlign w:val="center"/>
                </w:tcPr>
                <w:p w14:paraId="2326E800">
                  <w:pPr>
                    <w:jc w:val="center"/>
                    <w:rPr>
                      <w:color w:val="auto"/>
                      <w:sz w:val="24"/>
                      <w:szCs w:val="32"/>
                    </w:rPr>
                  </w:pPr>
                </w:p>
              </w:tc>
              <w:tc>
                <w:tcPr>
                  <w:tcW w:w="4044" w:type="dxa"/>
                  <w:vAlign w:val="center"/>
                </w:tcPr>
                <w:p w14:paraId="269F01B2">
                  <w:pPr>
                    <w:autoSpaceDE w:val="0"/>
                    <w:autoSpaceDN w:val="0"/>
                    <w:adjustRightInd w:val="0"/>
                    <w:rPr>
                      <w:color w:val="auto"/>
                      <w:sz w:val="24"/>
                      <w:szCs w:val="32"/>
                    </w:rPr>
                  </w:pPr>
                  <w:r>
                    <w:rPr>
                      <w:bCs/>
                      <w:color w:val="auto"/>
                    </w:rPr>
                    <w:t>22、活性炭吸附设施中，采用颗粒状活性眼的风速应不大于0.5米/秒，采用蜂窝状活性炭的风速应不大于1米/秒，装填吸附剂的停留时间不小于1秒。当采用一次性活性炭吸附时，按废气处理设施的VOCs进口速率和80%以上净化效率计算每日的VOCs去除量，进而按照15%的活性炭吸附容量核算活性炭更换周期，定期更换活性并保存购买、危废委托处理凭证备查。</w:t>
                  </w:r>
                </w:p>
              </w:tc>
              <w:tc>
                <w:tcPr>
                  <w:tcW w:w="2604" w:type="dxa"/>
                  <w:vAlign w:val="center"/>
                </w:tcPr>
                <w:p w14:paraId="3D10DE42">
                  <w:pPr>
                    <w:autoSpaceDE w:val="0"/>
                    <w:autoSpaceDN w:val="0"/>
                    <w:adjustRightInd w:val="0"/>
                    <w:rPr>
                      <w:color w:val="auto"/>
                      <w:sz w:val="24"/>
                      <w:szCs w:val="32"/>
                    </w:rPr>
                  </w:pPr>
                  <w:r>
                    <w:rPr>
                      <w:color w:val="auto"/>
                    </w:rPr>
                    <w:t>本项目将按照要求进行建设。</w:t>
                  </w:r>
                  <w:r>
                    <w:rPr>
                      <w:color w:val="auto"/>
                      <w:kern w:val="0"/>
                    </w:rPr>
                    <w:t>要求企业在后续项目运行过程中严格按照活性炭更换时间进行更换，并保存购买、危废委托处理凭证</w:t>
                  </w:r>
                  <w:r>
                    <w:rPr>
                      <w:bCs/>
                      <w:color w:val="auto"/>
                    </w:rPr>
                    <w:t>。</w:t>
                  </w:r>
                </w:p>
              </w:tc>
              <w:tc>
                <w:tcPr>
                  <w:tcW w:w="675" w:type="dxa"/>
                  <w:vAlign w:val="center"/>
                </w:tcPr>
                <w:p w14:paraId="4B2B6696">
                  <w:pPr>
                    <w:autoSpaceDE w:val="0"/>
                    <w:autoSpaceDN w:val="0"/>
                    <w:adjustRightInd w:val="0"/>
                    <w:jc w:val="center"/>
                    <w:rPr>
                      <w:color w:val="auto"/>
                      <w:sz w:val="24"/>
                      <w:szCs w:val="32"/>
                    </w:rPr>
                  </w:pPr>
                  <w:r>
                    <w:rPr>
                      <w:color w:val="auto"/>
                      <w:kern w:val="0"/>
                    </w:rPr>
                    <w:t>是</w:t>
                  </w:r>
                </w:p>
              </w:tc>
            </w:tr>
            <w:tr w14:paraId="2310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61B386ED">
                  <w:pPr>
                    <w:jc w:val="center"/>
                    <w:rPr>
                      <w:color w:val="auto"/>
                      <w:sz w:val="24"/>
                      <w:szCs w:val="32"/>
                    </w:rPr>
                  </w:pPr>
                </w:p>
              </w:tc>
              <w:tc>
                <w:tcPr>
                  <w:tcW w:w="432" w:type="dxa"/>
                  <w:vMerge w:val="continue"/>
                  <w:vAlign w:val="center"/>
                </w:tcPr>
                <w:p w14:paraId="3F4C0E2F">
                  <w:pPr>
                    <w:jc w:val="center"/>
                    <w:rPr>
                      <w:color w:val="auto"/>
                      <w:sz w:val="24"/>
                      <w:szCs w:val="32"/>
                    </w:rPr>
                  </w:pPr>
                </w:p>
              </w:tc>
              <w:tc>
                <w:tcPr>
                  <w:tcW w:w="4044" w:type="dxa"/>
                  <w:vAlign w:val="center"/>
                </w:tcPr>
                <w:p w14:paraId="63C903FA">
                  <w:pPr>
                    <w:autoSpaceDE w:val="0"/>
                    <w:autoSpaceDN w:val="0"/>
                    <w:adjustRightInd w:val="0"/>
                    <w:rPr>
                      <w:color w:val="auto"/>
                      <w:sz w:val="24"/>
                      <w:szCs w:val="32"/>
                    </w:rPr>
                  </w:pPr>
                  <w:r>
                    <w:rPr>
                      <w:bCs/>
                      <w:color w:val="auto"/>
                    </w:rPr>
                    <w:t>23、塑料加工企业应执行《合成树脂污染物排放标准》（GB31572-2015）和《恶臭污染物排放标准》（GB14554-93）的相关标准要求。模压复合材料检查井盖生产企业应执行《大气污染物综合排放标准》（GB16297-1997）和《恶臭污染物排放标准》（GB14554-93）中15米排气筒有组织排放要求和厂界要求。有组织排放的臭气浓度应不高于1000（无量纲）。</w:t>
                  </w:r>
                </w:p>
              </w:tc>
              <w:tc>
                <w:tcPr>
                  <w:tcW w:w="2604" w:type="dxa"/>
                  <w:vAlign w:val="center"/>
                </w:tcPr>
                <w:p w14:paraId="31AA8508">
                  <w:pPr>
                    <w:autoSpaceDE w:val="0"/>
                    <w:autoSpaceDN w:val="0"/>
                    <w:adjustRightInd w:val="0"/>
                    <w:rPr>
                      <w:color w:val="auto"/>
                      <w:sz w:val="24"/>
                      <w:szCs w:val="32"/>
                    </w:rPr>
                  </w:pPr>
                  <w:r>
                    <w:rPr>
                      <w:color w:val="auto"/>
                      <w:kern w:val="0"/>
                    </w:rPr>
                    <w:t>本项目</w:t>
                  </w:r>
                  <w:r>
                    <w:rPr>
                      <w:rFonts w:hint="eastAsia"/>
                      <w:color w:val="auto"/>
                      <w:kern w:val="0"/>
                    </w:rPr>
                    <w:t>使用PVC为原料，不适用</w:t>
                  </w:r>
                  <w:r>
                    <w:rPr>
                      <w:color w:val="auto"/>
                      <w:kern w:val="0"/>
                    </w:rPr>
                    <w:t>《合成树脂污染物排放标准》（GB31572-2015）</w:t>
                  </w:r>
                  <w:r>
                    <w:rPr>
                      <w:rFonts w:hint="eastAsia"/>
                      <w:color w:val="auto"/>
                      <w:kern w:val="0"/>
                    </w:rPr>
                    <w:t>，项目</w:t>
                  </w:r>
                  <w:r>
                    <w:rPr>
                      <w:color w:val="auto"/>
                      <w:kern w:val="0"/>
                    </w:rPr>
                    <w:t>粉尘执行《大气污染物综合排放标准》（GB16297-1996）相应标准，挤出废气，执行《大气污染物综合排放标准》（GB16297-1996）和《恶臭污染物排放标准》（GB14554-93）的相关标准要求。组织排放的臭气浓度应不高于1000（无量纲）。</w:t>
                  </w:r>
                </w:p>
              </w:tc>
              <w:tc>
                <w:tcPr>
                  <w:tcW w:w="675" w:type="dxa"/>
                  <w:vAlign w:val="center"/>
                </w:tcPr>
                <w:p w14:paraId="75BE5D5E">
                  <w:pPr>
                    <w:autoSpaceDE w:val="0"/>
                    <w:autoSpaceDN w:val="0"/>
                    <w:adjustRightInd w:val="0"/>
                    <w:jc w:val="center"/>
                    <w:rPr>
                      <w:color w:val="auto"/>
                      <w:sz w:val="24"/>
                      <w:szCs w:val="32"/>
                    </w:rPr>
                  </w:pPr>
                  <w:r>
                    <w:rPr>
                      <w:color w:val="auto"/>
                      <w:kern w:val="0"/>
                    </w:rPr>
                    <w:t>是</w:t>
                  </w:r>
                </w:p>
              </w:tc>
            </w:tr>
            <w:tr w14:paraId="0913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58A31976">
                  <w:pPr>
                    <w:jc w:val="center"/>
                    <w:rPr>
                      <w:color w:val="auto"/>
                      <w:sz w:val="24"/>
                      <w:szCs w:val="32"/>
                    </w:rPr>
                  </w:pPr>
                </w:p>
              </w:tc>
              <w:tc>
                <w:tcPr>
                  <w:tcW w:w="432" w:type="dxa"/>
                  <w:vMerge w:val="continue"/>
                  <w:vAlign w:val="center"/>
                </w:tcPr>
                <w:p w14:paraId="04149731">
                  <w:pPr>
                    <w:jc w:val="center"/>
                    <w:rPr>
                      <w:color w:val="auto"/>
                      <w:sz w:val="24"/>
                      <w:szCs w:val="32"/>
                    </w:rPr>
                  </w:pPr>
                </w:p>
              </w:tc>
              <w:tc>
                <w:tcPr>
                  <w:tcW w:w="4044" w:type="dxa"/>
                  <w:vAlign w:val="center"/>
                </w:tcPr>
                <w:p w14:paraId="24F8E5AE">
                  <w:pPr>
                    <w:autoSpaceDE w:val="0"/>
                    <w:autoSpaceDN w:val="0"/>
                    <w:adjustRightInd w:val="0"/>
                    <w:rPr>
                      <w:color w:val="auto"/>
                      <w:sz w:val="24"/>
                      <w:szCs w:val="32"/>
                    </w:rPr>
                  </w:pPr>
                  <w:r>
                    <w:rPr>
                      <w:bCs/>
                      <w:color w:val="auto"/>
                    </w:rPr>
                    <w:t>24、废气处理设施配套安装独立电表。</w:t>
                  </w:r>
                </w:p>
              </w:tc>
              <w:tc>
                <w:tcPr>
                  <w:tcW w:w="2604" w:type="dxa"/>
                  <w:vAlign w:val="center"/>
                </w:tcPr>
                <w:p w14:paraId="7B90047F">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5F09767E">
                  <w:pPr>
                    <w:autoSpaceDE w:val="0"/>
                    <w:autoSpaceDN w:val="0"/>
                    <w:adjustRightInd w:val="0"/>
                    <w:jc w:val="center"/>
                    <w:rPr>
                      <w:color w:val="auto"/>
                      <w:sz w:val="24"/>
                      <w:szCs w:val="32"/>
                    </w:rPr>
                  </w:pPr>
                  <w:r>
                    <w:rPr>
                      <w:color w:val="auto"/>
                      <w:kern w:val="0"/>
                    </w:rPr>
                    <w:t>是</w:t>
                  </w:r>
                </w:p>
              </w:tc>
            </w:tr>
            <w:tr w14:paraId="49E4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538B0495">
                  <w:pPr>
                    <w:jc w:val="center"/>
                    <w:rPr>
                      <w:color w:val="auto"/>
                      <w:sz w:val="24"/>
                      <w:szCs w:val="32"/>
                    </w:rPr>
                  </w:pPr>
                </w:p>
              </w:tc>
              <w:tc>
                <w:tcPr>
                  <w:tcW w:w="432" w:type="dxa"/>
                  <w:vMerge w:val="restart"/>
                  <w:vAlign w:val="center"/>
                </w:tcPr>
                <w:p w14:paraId="173B9B61">
                  <w:pPr>
                    <w:jc w:val="center"/>
                    <w:rPr>
                      <w:color w:val="auto"/>
                      <w:sz w:val="24"/>
                      <w:szCs w:val="32"/>
                    </w:rPr>
                  </w:pPr>
                  <w:r>
                    <w:rPr>
                      <w:color w:val="auto"/>
                      <w:kern w:val="0"/>
                    </w:rPr>
                    <w:t>建设配套废气采样设施</w:t>
                  </w:r>
                </w:p>
              </w:tc>
              <w:tc>
                <w:tcPr>
                  <w:tcW w:w="4044" w:type="dxa"/>
                  <w:vAlign w:val="center"/>
                </w:tcPr>
                <w:p w14:paraId="64C48425">
                  <w:pPr>
                    <w:autoSpaceDE w:val="0"/>
                    <w:autoSpaceDN w:val="0"/>
                    <w:adjustRightInd w:val="0"/>
                    <w:rPr>
                      <w:color w:val="auto"/>
                      <w:sz w:val="24"/>
                      <w:szCs w:val="32"/>
                    </w:rPr>
                  </w:pPr>
                  <w:r>
                    <w:rPr>
                      <w:color w:val="auto"/>
                      <w:kern w:val="0"/>
                    </w:rPr>
                    <w:t>25、严格按照《固定源废气监测技术规范》（HJT397-2007）建设废气处理设施的进出口采样孔、采样平台。</w:t>
                  </w:r>
                </w:p>
              </w:tc>
              <w:tc>
                <w:tcPr>
                  <w:tcW w:w="2604" w:type="dxa"/>
                  <w:vAlign w:val="center"/>
                </w:tcPr>
                <w:p w14:paraId="620E6A36">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5E0D9399">
                  <w:pPr>
                    <w:autoSpaceDE w:val="0"/>
                    <w:autoSpaceDN w:val="0"/>
                    <w:adjustRightInd w:val="0"/>
                    <w:jc w:val="center"/>
                    <w:rPr>
                      <w:color w:val="auto"/>
                      <w:sz w:val="24"/>
                      <w:szCs w:val="32"/>
                    </w:rPr>
                  </w:pPr>
                  <w:r>
                    <w:rPr>
                      <w:color w:val="auto"/>
                      <w:kern w:val="0"/>
                    </w:rPr>
                    <w:t>是</w:t>
                  </w:r>
                </w:p>
              </w:tc>
            </w:tr>
            <w:tr w14:paraId="7870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55EC07D5">
                  <w:pPr>
                    <w:jc w:val="center"/>
                    <w:rPr>
                      <w:color w:val="auto"/>
                      <w:sz w:val="24"/>
                      <w:szCs w:val="32"/>
                    </w:rPr>
                  </w:pPr>
                </w:p>
              </w:tc>
              <w:tc>
                <w:tcPr>
                  <w:tcW w:w="432" w:type="dxa"/>
                  <w:vMerge w:val="continue"/>
                  <w:vAlign w:val="center"/>
                </w:tcPr>
                <w:p w14:paraId="5AF54BDF">
                  <w:pPr>
                    <w:jc w:val="center"/>
                    <w:rPr>
                      <w:color w:val="auto"/>
                      <w:sz w:val="24"/>
                      <w:szCs w:val="32"/>
                    </w:rPr>
                  </w:pPr>
                </w:p>
              </w:tc>
              <w:tc>
                <w:tcPr>
                  <w:tcW w:w="4044" w:type="dxa"/>
                  <w:vAlign w:val="center"/>
                </w:tcPr>
                <w:p w14:paraId="0F6C8D85">
                  <w:pPr>
                    <w:autoSpaceDE w:val="0"/>
                    <w:autoSpaceDN w:val="0"/>
                    <w:adjustRightInd w:val="0"/>
                    <w:rPr>
                      <w:color w:val="auto"/>
                      <w:sz w:val="24"/>
                      <w:szCs w:val="32"/>
                    </w:rPr>
                  </w:pPr>
                  <w:r>
                    <w:rPr>
                      <w:color w:val="auto"/>
                      <w:kern w:val="0"/>
                    </w:rPr>
                    <w:t>26、采样孔的位置有限选择在垂直管段，原则上设置在距弯管、阀门、变径管下游方向不小于6倍直径，和距上述部件上油不小于3倍直径处。现场空间位置有限时，采样孔与上述部件的距离至少应控制直径的1.5倍处。当对VOCs进行采样时，采样孔位置可不受限制，但应避开涡流区；如同时测定排气流量，则采样孔位置仍按照上述规定设置。</w:t>
                  </w:r>
                </w:p>
              </w:tc>
              <w:tc>
                <w:tcPr>
                  <w:tcW w:w="2604" w:type="dxa"/>
                  <w:vAlign w:val="center"/>
                </w:tcPr>
                <w:p w14:paraId="527DE32F">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428160EF">
                  <w:pPr>
                    <w:autoSpaceDE w:val="0"/>
                    <w:autoSpaceDN w:val="0"/>
                    <w:adjustRightInd w:val="0"/>
                    <w:jc w:val="center"/>
                    <w:rPr>
                      <w:color w:val="auto"/>
                      <w:sz w:val="24"/>
                      <w:szCs w:val="32"/>
                    </w:rPr>
                  </w:pPr>
                  <w:r>
                    <w:rPr>
                      <w:color w:val="auto"/>
                      <w:kern w:val="0"/>
                    </w:rPr>
                    <w:t>是</w:t>
                  </w:r>
                </w:p>
              </w:tc>
            </w:tr>
            <w:tr w14:paraId="4E04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10453047">
                  <w:pPr>
                    <w:jc w:val="center"/>
                    <w:rPr>
                      <w:color w:val="auto"/>
                      <w:sz w:val="24"/>
                      <w:szCs w:val="32"/>
                    </w:rPr>
                  </w:pPr>
                </w:p>
              </w:tc>
              <w:tc>
                <w:tcPr>
                  <w:tcW w:w="432" w:type="dxa"/>
                  <w:vMerge w:val="continue"/>
                  <w:vAlign w:val="center"/>
                </w:tcPr>
                <w:p w14:paraId="4959D4C1">
                  <w:pPr>
                    <w:jc w:val="center"/>
                    <w:rPr>
                      <w:color w:val="auto"/>
                      <w:sz w:val="24"/>
                      <w:szCs w:val="32"/>
                    </w:rPr>
                  </w:pPr>
                </w:p>
              </w:tc>
              <w:tc>
                <w:tcPr>
                  <w:tcW w:w="4044" w:type="dxa"/>
                  <w:vAlign w:val="center"/>
                </w:tcPr>
                <w:p w14:paraId="1643DC76">
                  <w:pPr>
                    <w:autoSpaceDE w:val="0"/>
                    <w:autoSpaceDN w:val="0"/>
                    <w:adjustRightInd w:val="0"/>
                    <w:rPr>
                      <w:color w:val="auto"/>
                      <w:sz w:val="24"/>
                      <w:szCs w:val="32"/>
                    </w:rPr>
                  </w:pPr>
                  <w:r>
                    <w:rPr>
                      <w:color w:val="auto"/>
                      <w:kern w:val="0"/>
                    </w:rPr>
                    <w:t>27、应设置永久性采样平台，平台面积不小于1.5平方米，并设有1.1米高的护栏和不低于0.1米的脚步挡板，采样平台的承重不小于200公斤/平方米，采样孔距平台面约为1.2~1.3米。采样平台处应建设永久性220伏电源插座。</w:t>
                  </w:r>
                </w:p>
              </w:tc>
              <w:tc>
                <w:tcPr>
                  <w:tcW w:w="2604" w:type="dxa"/>
                  <w:vAlign w:val="center"/>
                </w:tcPr>
                <w:p w14:paraId="446D675E">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34236C72">
                  <w:pPr>
                    <w:autoSpaceDE w:val="0"/>
                    <w:autoSpaceDN w:val="0"/>
                    <w:adjustRightInd w:val="0"/>
                    <w:jc w:val="center"/>
                    <w:rPr>
                      <w:color w:val="auto"/>
                      <w:sz w:val="24"/>
                      <w:szCs w:val="32"/>
                    </w:rPr>
                  </w:pPr>
                  <w:r>
                    <w:rPr>
                      <w:color w:val="auto"/>
                      <w:kern w:val="0"/>
                    </w:rPr>
                    <w:t>是</w:t>
                  </w:r>
                </w:p>
              </w:tc>
            </w:tr>
            <w:tr w14:paraId="5EAF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restart"/>
                  <w:vAlign w:val="center"/>
                </w:tcPr>
                <w:p w14:paraId="119D270C">
                  <w:pPr>
                    <w:jc w:val="center"/>
                    <w:rPr>
                      <w:color w:val="auto"/>
                      <w:sz w:val="24"/>
                      <w:szCs w:val="32"/>
                    </w:rPr>
                  </w:pPr>
                  <w:r>
                    <w:rPr>
                      <w:color w:val="auto"/>
                      <w:kern w:val="0"/>
                    </w:rPr>
                    <w:t>加强日常管理</w:t>
                  </w:r>
                </w:p>
              </w:tc>
              <w:tc>
                <w:tcPr>
                  <w:tcW w:w="432" w:type="dxa"/>
                  <w:vMerge w:val="restart"/>
                  <w:vAlign w:val="center"/>
                </w:tcPr>
                <w:p w14:paraId="54EFA9C9">
                  <w:pPr>
                    <w:jc w:val="center"/>
                    <w:rPr>
                      <w:color w:val="auto"/>
                      <w:sz w:val="24"/>
                      <w:szCs w:val="32"/>
                    </w:rPr>
                  </w:pPr>
                  <w:r>
                    <w:rPr>
                      <w:color w:val="auto"/>
                      <w:kern w:val="0"/>
                    </w:rPr>
                    <w:t>制定落实环境管理制度</w:t>
                  </w:r>
                </w:p>
              </w:tc>
              <w:tc>
                <w:tcPr>
                  <w:tcW w:w="4044" w:type="dxa"/>
                  <w:vAlign w:val="center"/>
                </w:tcPr>
                <w:p w14:paraId="0951673A">
                  <w:pPr>
                    <w:autoSpaceDE w:val="0"/>
                    <w:autoSpaceDN w:val="0"/>
                    <w:adjustRightInd w:val="0"/>
                    <w:rPr>
                      <w:color w:val="auto"/>
                      <w:sz w:val="24"/>
                      <w:szCs w:val="32"/>
                    </w:rPr>
                  </w:pPr>
                  <w:r>
                    <w:rPr>
                      <w:color w:val="auto"/>
                      <w:kern w:val="0"/>
                    </w:rPr>
                    <w:t>28、企业应落实专人负责废气收集、处理设施的运行管理和维护保养，遇有非正常情况应及时向当地环保部门进行报告并备案。</w:t>
                  </w:r>
                </w:p>
              </w:tc>
              <w:tc>
                <w:tcPr>
                  <w:tcW w:w="2604" w:type="dxa"/>
                  <w:vAlign w:val="center"/>
                </w:tcPr>
                <w:p w14:paraId="12F1E26E">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64885EF0">
                  <w:pPr>
                    <w:autoSpaceDE w:val="0"/>
                    <w:autoSpaceDN w:val="0"/>
                    <w:adjustRightInd w:val="0"/>
                    <w:jc w:val="center"/>
                    <w:rPr>
                      <w:color w:val="auto"/>
                      <w:sz w:val="24"/>
                      <w:szCs w:val="32"/>
                    </w:rPr>
                  </w:pPr>
                  <w:r>
                    <w:rPr>
                      <w:color w:val="auto"/>
                      <w:kern w:val="0"/>
                    </w:rPr>
                    <w:t>是</w:t>
                  </w:r>
                </w:p>
              </w:tc>
            </w:tr>
            <w:tr w14:paraId="79A6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7E8E9C6E">
                  <w:pPr>
                    <w:jc w:val="center"/>
                    <w:rPr>
                      <w:color w:val="auto"/>
                      <w:sz w:val="24"/>
                      <w:szCs w:val="32"/>
                    </w:rPr>
                  </w:pPr>
                </w:p>
              </w:tc>
              <w:tc>
                <w:tcPr>
                  <w:tcW w:w="432" w:type="dxa"/>
                  <w:vMerge w:val="continue"/>
                  <w:vAlign w:val="center"/>
                </w:tcPr>
                <w:p w14:paraId="401414FB">
                  <w:pPr>
                    <w:jc w:val="center"/>
                    <w:rPr>
                      <w:color w:val="auto"/>
                      <w:sz w:val="24"/>
                      <w:szCs w:val="32"/>
                    </w:rPr>
                  </w:pPr>
                </w:p>
              </w:tc>
              <w:tc>
                <w:tcPr>
                  <w:tcW w:w="4044" w:type="dxa"/>
                  <w:vAlign w:val="center"/>
                </w:tcPr>
                <w:p w14:paraId="5D75C61C">
                  <w:pPr>
                    <w:autoSpaceDE w:val="0"/>
                    <w:autoSpaceDN w:val="0"/>
                    <w:adjustRightInd w:val="0"/>
                    <w:rPr>
                      <w:color w:val="auto"/>
                      <w:sz w:val="24"/>
                      <w:szCs w:val="32"/>
                    </w:rPr>
                  </w:pPr>
                  <w:r>
                    <w:rPr>
                      <w:color w:val="auto"/>
                      <w:kern w:val="0"/>
                    </w:rPr>
                    <w:t>29、制定落实设施运行管理制度。定期更换水喷淋塔的循环液，原则上更换周期不低于1次/周；定期清理高压静电、低温等离子体和光催化等处理设施，原则上清理频率不低于1次/月；定期更换紫外灯管、催化剂等耗材，按核算时间定期更换活性炭。更换下来的废弃物按照相关规定委托资质的单位进行处理。</w:t>
                  </w:r>
                </w:p>
              </w:tc>
              <w:tc>
                <w:tcPr>
                  <w:tcW w:w="2604" w:type="dxa"/>
                  <w:vAlign w:val="center"/>
                </w:tcPr>
                <w:p w14:paraId="0A3E13B7">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0A870A68">
                  <w:pPr>
                    <w:autoSpaceDE w:val="0"/>
                    <w:autoSpaceDN w:val="0"/>
                    <w:adjustRightInd w:val="0"/>
                    <w:jc w:val="center"/>
                    <w:rPr>
                      <w:color w:val="auto"/>
                      <w:sz w:val="24"/>
                      <w:szCs w:val="32"/>
                    </w:rPr>
                  </w:pPr>
                  <w:r>
                    <w:rPr>
                      <w:color w:val="auto"/>
                      <w:kern w:val="0"/>
                    </w:rPr>
                    <w:t>是</w:t>
                  </w:r>
                </w:p>
              </w:tc>
            </w:tr>
            <w:tr w14:paraId="1D1B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146DEB36">
                  <w:pPr>
                    <w:jc w:val="center"/>
                    <w:rPr>
                      <w:color w:val="auto"/>
                      <w:sz w:val="24"/>
                      <w:szCs w:val="32"/>
                    </w:rPr>
                  </w:pPr>
                </w:p>
              </w:tc>
              <w:tc>
                <w:tcPr>
                  <w:tcW w:w="432" w:type="dxa"/>
                  <w:vMerge w:val="continue"/>
                  <w:vAlign w:val="center"/>
                </w:tcPr>
                <w:p w14:paraId="57E52FC9">
                  <w:pPr>
                    <w:jc w:val="center"/>
                    <w:rPr>
                      <w:color w:val="auto"/>
                      <w:sz w:val="24"/>
                      <w:szCs w:val="32"/>
                    </w:rPr>
                  </w:pPr>
                </w:p>
              </w:tc>
              <w:tc>
                <w:tcPr>
                  <w:tcW w:w="4044" w:type="dxa"/>
                  <w:vAlign w:val="center"/>
                </w:tcPr>
                <w:p w14:paraId="0E672291">
                  <w:pPr>
                    <w:autoSpaceDE w:val="0"/>
                    <w:autoSpaceDN w:val="0"/>
                    <w:adjustRightInd w:val="0"/>
                    <w:rPr>
                      <w:color w:val="auto"/>
                      <w:sz w:val="24"/>
                      <w:szCs w:val="32"/>
                    </w:rPr>
                  </w:pPr>
                  <w:r>
                    <w:rPr>
                      <w:color w:val="auto"/>
                      <w:kern w:val="0"/>
                    </w:rPr>
                    <w:t>30、制定落实设施维护保养制度。包括但不限于以上内容：定期检查修补破损的风管、设备，确保螺栓、接线牢固，动力电源、信号反馈工作正常；定期清理水喷淋塔底部沉积物；定期更换风机、水泵等动力设备的润滑油，易老化的塑料管道等。</w:t>
                  </w:r>
                </w:p>
              </w:tc>
              <w:tc>
                <w:tcPr>
                  <w:tcW w:w="2604" w:type="dxa"/>
                  <w:vAlign w:val="center"/>
                </w:tcPr>
                <w:p w14:paraId="25A5C169">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62F99D7A">
                  <w:pPr>
                    <w:autoSpaceDE w:val="0"/>
                    <w:autoSpaceDN w:val="0"/>
                    <w:adjustRightInd w:val="0"/>
                    <w:jc w:val="center"/>
                    <w:rPr>
                      <w:color w:val="auto"/>
                      <w:sz w:val="24"/>
                      <w:szCs w:val="32"/>
                    </w:rPr>
                  </w:pPr>
                  <w:r>
                    <w:rPr>
                      <w:color w:val="auto"/>
                      <w:kern w:val="0"/>
                    </w:rPr>
                    <w:t>是</w:t>
                  </w:r>
                </w:p>
              </w:tc>
            </w:tr>
            <w:tr w14:paraId="3A17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3A196A1D">
                  <w:pPr>
                    <w:jc w:val="center"/>
                    <w:rPr>
                      <w:color w:val="auto"/>
                      <w:sz w:val="24"/>
                      <w:szCs w:val="32"/>
                    </w:rPr>
                  </w:pPr>
                </w:p>
              </w:tc>
              <w:tc>
                <w:tcPr>
                  <w:tcW w:w="432" w:type="dxa"/>
                  <w:vMerge w:val="continue"/>
                  <w:vAlign w:val="center"/>
                </w:tcPr>
                <w:p w14:paraId="7C08B053">
                  <w:pPr>
                    <w:jc w:val="center"/>
                    <w:rPr>
                      <w:color w:val="auto"/>
                      <w:sz w:val="24"/>
                      <w:szCs w:val="32"/>
                    </w:rPr>
                  </w:pPr>
                </w:p>
              </w:tc>
              <w:tc>
                <w:tcPr>
                  <w:tcW w:w="4044" w:type="dxa"/>
                  <w:vAlign w:val="center"/>
                </w:tcPr>
                <w:p w14:paraId="74615F87">
                  <w:pPr>
                    <w:autoSpaceDE w:val="0"/>
                    <w:autoSpaceDN w:val="0"/>
                    <w:adjustRightInd w:val="0"/>
                    <w:rPr>
                      <w:color w:val="auto"/>
                      <w:sz w:val="24"/>
                      <w:szCs w:val="32"/>
                    </w:rPr>
                  </w:pPr>
                  <w:r>
                    <w:rPr>
                      <w:color w:val="auto"/>
                      <w:kern w:val="0"/>
                    </w:rPr>
                    <w:t>31、设计含VOCs原辅材料使用、设施运行管理、设施维护保养等管理台账，相关人员按实进行填写备查。</w:t>
                  </w:r>
                </w:p>
              </w:tc>
              <w:tc>
                <w:tcPr>
                  <w:tcW w:w="2604" w:type="dxa"/>
                  <w:vAlign w:val="center"/>
                </w:tcPr>
                <w:p w14:paraId="569AB627">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084AD69B">
                  <w:pPr>
                    <w:autoSpaceDE w:val="0"/>
                    <w:autoSpaceDN w:val="0"/>
                    <w:adjustRightInd w:val="0"/>
                    <w:jc w:val="center"/>
                    <w:rPr>
                      <w:color w:val="auto"/>
                      <w:sz w:val="24"/>
                      <w:szCs w:val="32"/>
                    </w:rPr>
                  </w:pPr>
                  <w:r>
                    <w:rPr>
                      <w:color w:val="auto"/>
                      <w:kern w:val="0"/>
                    </w:rPr>
                    <w:t>是</w:t>
                  </w:r>
                </w:p>
              </w:tc>
            </w:tr>
            <w:tr w14:paraId="3EAD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37D5BED3">
                  <w:pPr>
                    <w:jc w:val="center"/>
                    <w:rPr>
                      <w:color w:val="auto"/>
                      <w:sz w:val="24"/>
                      <w:szCs w:val="32"/>
                    </w:rPr>
                  </w:pPr>
                </w:p>
              </w:tc>
              <w:tc>
                <w:tcPr>
                  <w:tcW w:w="432" w:type="dxa"/>
                  <w:vMerge w:val="restart"/>
                  <w:vAlign w:val="center"/>
                </w:tcPr>
                <w:p w14:paraId="1E066D7C">
                  <w:pPr>
                    <w:jc w:val="center"/>
                    <w:rPr>
                      <w:color w:val="auto"/>
                      <w:sz w:val="24"/>
                      <w:szCs w:val="32"/>
                    </w:rPr>
                  </w:pPr>
                  <w:r>
                    <w:rPr>
                      <w:color w:val="auto"/>
                      <w:kern w:val="0"/>
                    </w:rPr>
                    <w:t>制定落实环境监测制度</w:t>
                  </w:r>
                </w:p>
              </w:tc>
              <w:tc>
                <w:tcPr>
                  <w:tcW w:w="4044" w:type="dxa"/>
                  <w:vAlign w:val="center"/>
                </w:tcPr>
                <w:p w14:paraId="77A2F6CD">
                  <w:pPr>
                    <w:autoSpaceDE w:val="0"/>
                    <w:autoSpaceDN w:val="0"/>
                    <w:adjustRightInd w:val="0"/>
                    <w:rPr>
                      <w:color w:val="auto"/>
                      <w:sz w:val="24"/>
                      <w:szCs w:val="32"/>
                    </w:rPr>
                  </w:pPr>
                  <w:r>
                    <w:rPr>
                      <w:color w:val="auto"/>
                      <w:kern w:val="0"/>
                    </w:rPr>
                    <w:t>32、定期委托有资质的第三方进行监测，已申领新版排污许可证的按许可证要求执行，未申领的每年监测不少于1次。</w:t>
                  </w:r>
                </w:p>
              </w:tc>
              <w:tc>
                <w:tcPr>
                  <w:tcW w:w="2604" w:type="dxa"/>
                  <w:vAlign w:val="center"/>
                </w:tcPr>
                <w:p w14:paraId="41E2FEA0">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3C4F062F">
                  <w:pPr>
                    <w:autoSpaceDE w:val="0"/>
                    <w:autoSpaceDN w:val="0"/>
                    <w:adjustRightInd w:val="0"/>
                    <w:jc w:val="center"/>
                    <w:rPr>
                      <w:color w:val="auto"/>
                      <w:sz w:val="24"/>
                      <w:szCs w:val="32"/>
                    </w:rPr>
                  </w:pPr>
                  <w:r>
                    <w:rPr>
                      <w:color w:val="auto"/>
                      <w:kern w:val="0"/>
                    </w:rPr>
                    <w:t>是</w:t>
                  </w:r>
                </w:p>
              </w:tc>
            </w:tr>
            <w:tr w14:paraId="57C6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0FC717AD">
                  <w:pPr>
                    <w:jc w:val="center"/>
                    <w:rPr>
                      <w:color w:val="auto"/>
                      <w:sz w:val="24"/>
                      <w:szCs w:val="32"/>
                    </w:rPr>
                  </w:pPr>
                </w:p>
              </w:tc>
              <w:tc>
                <w:tcPr>
                  <w:tcW w:w="432" w:type="dxa"/>
                  <w:vMerge w:val="continue"/>
                  <w:vAlign w:val="center"/>
                </w:tcPr>
                <w:p w14:paraId="63E3FFE4">
                  <w:pPr>
                    <w:jc w:val="center"/>
                    <w:rPr>
                      <w:color w:val="auto"/>
                      <w:sz w:val="24"/>
                      <w:szCs w:val="32"/>
                    </w:rPr>
                  </w:pPr>
                </w:p>
              </w:tc>
              <w:tc>
                <w:tcPr>
                  <w:tcW w:w="4044" w:type="dxa"/>
                  <w:vAlign w:val="center"/>
                </w:tcPr>
                <w:p w14:paraId="3CDCC8F0">
                  <w:pPr>
                    <w:autoSpaceDE w:val="0"/>
                    <w:autoSpaceDN w:val="0"/>
                    <w:adjustRightInd w:val="0"/>
                    <w:rPr>
                      <w:color w:val="auto"/>
                      <w:sz w:val="24"/>
                      <w:szCs w:val="32"/>
                    </w:rPr>
                  </w:pPr>
                  <w:r>
                    <w:rPr>
                      <w:color w:val="auto"/>
                      <w:kern w:val="0"/>
                    </w:rPr>
                    <w:t>33、监测要求有：对每套废气处理设施的进出口和厂界进行监测；每个采样点监测2个周期，每个周期3个样品；废塑料加工企业建议监测颗粒物、油烟、非甲烷总烃和臭气浓度，模压符合材料检查井盖生产企业建议监测颗粒物、苯乙烯、非甲烷总烃和臭气浓度。</w:t>
                  </w:r>
                </w:p>
              </w:tc>
              <w:tc>
                <w:tcPr>
                  <w:tcW w:w="2604" w:type="dxa"/>
                  <w:vAlign w:val="center"/>
                </w:tcPr>
                <w:p w14:paraId="7D15635E">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38921897">
                  <w:pPr>
                    <w:autoSpaceDE w:val="0"/>
                    <w:autoSpaceDN w:val="0"/>
                    <w:adjustRightInd w:val="0"/>
                    <w:jc w:val="center"/>
                    <w:rPr>
                      <w:color w:val="auto"/>
                      <w:sz w:val="24"/>
                      <w:szCs w:val="32"/>
                    </w:rPr>
                  </w:pPr>
                  <w:r>
                    <w:rPr>
                      <w:color w:val="auto"/>
                      <w:kern w:val="0"/>
                    </w:rPr>
                    <w:t>是</w:t>
                  </w:r>
                </w:p>
              </w:tc>
            </w:tr>
            <w:tr w14:paraId="1D4E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69C76601">
                  <w:pPr>
                    <w:jc w:val="center"/>
                    <w:rPr>
                      <w:color w:val="auto"/>
                      <w:sz w:val="24"/>
                      <w:szCs w:val="32"/>
                    </w:rPr>
                  </w:pPr>
                </w:p>
              </w:tc>
              <w:tc>
                <w:tcPr>
                  <w:tcW w:w="432" w:type="dxa"/>
                  <w:vMerge w:val="restart"/>
                  <w:vAlign w:val="center"/>
                </w:tcPr>
                <w:p w14:paraId="21A136AA">
                  <w:pPr>
                    <w:jc w:val="center"/>
                    <w:rPr>
                      <w:color w:val="auto"/>
                      <w:sz w:val="24"/>
                      <w:szCs w:val="32"/>
                    </w:rPr>
                  </w:pPr>
                  <w:r>
                    <w:rPr>
                      <w:color w:val="auto"/>
                      <w:kern w:val="0"/>
                    </w:rPr>
                    <w:t>完善环保监督管理</w:t>
                  </w:r>
                </w:p>
              </w:tc>
              <w:tc>
                <w:tcPr>
                  <w:tcW w:w="4044" w:type="dxa"/>
                  <w:vAlign w:val="center"/>
                </w:tcPr>
                <w:p w14:paraId="40BAECBA">
                  <w:pPr>
                    <w:autoSpaceDE w:val="0"/>
                    <w:autoSpaceDN w:val="0"/>
                    <w:adjustRightInd w:val="0"/>
                    <w:rPr>
                      <w:color w:val="auto"/>
                      <w:sz w:val="24"/>
                      <w:szCs w:val="32"/>
                    </w:rPr>
                  </w:pPr>
                  <w:r>
                    <w:rPr>
                      <w:color w:val="auto"/>
                      <w:kern w:val="0"/>
                    </w:rPr>
                    <w:t>34、强化夏秋季错峰生产管控措施。实施错峰停产的时间为每年5~10月，易形成臭氧为首要污染物的高温时段（10:00~16:00）。未完成深化治理要求的企业，一律纳入夏秋季错峰生产名单。</w:t>
                  </w:r>
                </w:p>
              </w:tc>
              <w:tc>
                <w:tcPr>
                  <w:tcW w:w="2604" w:type="dxa"/>
                  <w:vAlign w:val="center"/>
                </w:tcPr>
                <w:p w14:paraId="5E1874A9">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6B40501B">
                  <w:pPr>
                    <w:autoSpaceDE w:val="0"/>
                    <w:autoSpaceDN w:val="0"/>
                    <w:adjustRightInd w:val="0"/>
                    <w:jc w:val="center"/>
                    <w:rPr>
                      <w:color w:val="auto"/>
                      <w:sz w:val="24"/>
                      <w:szCs w:val="32"/>
                    </w:rPr>
                  </w:pPr>
                  <w:r>
                    <w:rPr>
                      <w:color w:val="auto"/>
                      <w:kern w:val="0"/>
                    </w:rPr>
                    <w:t>是</w:t>
                  </w:r>
                </w:p>
              </w:tc>
            </w:tr>
            <w:tr w14:paraId="1BC3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dxa"/>
                  <w:vMerge w:val="continue"/>
                  <w:vAlign w:val="center"/>
                </w:tcPr>
                <w:p w14:paraId="58F16CB2">
                  <w:pPr>
                    <w:jc w:val="center"/>
                    <w:rPr>
                      <w:color w:val="auto"/>
                      <w:sz w:val="24"/>
                      <w:szCs w:val="32"/>
                    </w:rPr>
                  </w:pPr>
                </w:p>
              </w:tc>
              <w:tc>
                <w:tcPr>
                  <w:tcW w:w="432" w:type="dxa"/>
                  <w:vMerge w:val="continue"/>
                  <w:vAlign w:val="center"/>
                </w:tcPr>
                <w:p w14:paraId="40E3DE9A">
                  <w:pPr>
                    <w:jc w:val="center"/>
                    <w:rPr>
                      <w:color w:val="auto"/>
                      <w:sz w:val="24"/>
                      <w:szCs w:val="32"/>
                    </w:rPr>
                  </w:pPr>
                </w:p>
              </w:tc>
              <w:tc>
                <w:tcPr>
                  <w:tcW w:w="4044" w:type="dxa"/>
                  <w:vAlign w:val="center"/>
                </w:tcPr>
                <w:p w14:paraId="00DF900B">
                  <w:pPr>
                    <w:autoSpaceDE w:val="0"/>
                    <w:autoSpaceDN w:val="0"/>
                    <w:adjustRightInd w:val="0"/>
                    <w:rPr>
                      <w:color w:val="auto"/>
                      <w:sz w:val="24"/>
                      <w:szCs w:val="32"/>
                    </w:rPr>
                  </w:pPr>
                  <w:r>
                    <w:rPr>
                      <w:color w:val="auto"/>
                      <w:kern w:val="0"/>
                    </w:rPr>
                    <w:t>35、企业应委托有资质的废气治理单位承担废气治理服务工作，编制的废气治理方案应通过环境管理部门组织的专家组审核认可，废气治理工程应通过环境管理部门验收后方可认为完成整治。</w:t>
                  </w:r>
                </w:p>
              </w:tc>
              <w:tc>
                <w:tcPr>
                  <w:tcW w:w="2604" w:type="dxa"/>
                  <w:vAlign w:val="center"/>
                </w:tcPr>
                <w:p w14:paraId="1BA59E29">
                  <w:pPr>
                    <w:autoSpaceDE w:val="0"/>
                    <w:autoSpaceDN w:val="0"/>
                    <w:adjustRightInd w:val="0"/>
                    <w:rPr>
                      <w:color w:val="auto"/>
                      <w:sz w:val="24"/>
                      <w:szCs w:val="32"/>
                    </w:rPr>
                  </w:pPr>
                  <w:r>
                    <w:rPr>
                      <w:color w:val="auto"/>
                      <w:kern w:val="0"/>
                    </w:rPr>
                    <w:t>本报告要求企业在后续项目建设过程中执行该要求。</w:t>
                  </w:r>
                </w:p>
              </w:tc>
              <w:tc>
                <w:tcPr>
                  <w:tcW w:w="675" w:type="dxa"/>
                  <w:vAlign w:val="center"/>
                </w:tcPr>
                <w:p w14:paraId="3BB14C29">
                  <w:pPr>
                    <w:autoSpaceDE w:val="0"/>
                    <w:autoSpaceDN w:val="0"/>
                    <w:adjustRightInd w:val="0"/>
                    <w:jc w:val="center"/>
                    <w:rPr>
                      <w:color w:val="auto"/>
                      <w:sz w:val="24"/>
                      <w:szCs w:val="32"/>
                    </w:rPr>
                  </w:pPr>
                  <w:r>
                    <w:rPr>
                      <w:color w:val="auto"/>
                      <w:kern w:val="0"/>
                    </w:rPr>
                    <w:t>是</w:t>
                  </w:r>
                </w:p>
              </w:tc>
            </w:tr>
          </w:tbl>
          <w:p w14:paraId="37410075">
            <w:pPr>
              <w:numPr>
                <w:ilvl w:val="2"/>
                <w:numId w:val="14"/>
              </w:numPr>
              <w:adjustRightInd w:val="0"/>
              <w:snapToGrid w:val="0"/>
              <w:spacing w:line="360" w:lineRule="auto"/>
              <w:ind w:firstLine="0"/>
              <w:jc w:val="left"/>
              <w:rPr>
                <w:b/>
                <w:bCs/>
                <w:color w:val="auto"/>
                <w:sz w:val="24"/>
              </w:rPr>
            </w:pPr>
            <w:r>
              <w:rPr>
                <w:rFonts w:hint="eastAsia"/>
                <w:b/>
                <w:bCs/>
                <w:color w:val="auto"/>
                <w:sz w:val="24"/>
              </w:rPr>
              <w:t>项目环评类别判断</w:t>
            </w:r>
          </w:p>
          <w:p w14:paraId="53BB5F0C">
            <w:pPr>
              <w:autoSpaceDE w:val="0"/>
              <w:autoSpaceDN w:val="0"/>
              <w:adjustRightInd w:val="0"/>
              <w:snapToGrid w:val="0"/>
              <w:spacing w:line="360" w:lineRule="auto"/>
              <w:ind w:firstLine="480" w:firstLineChars="200"/>
              <w:rPr>
                <w:rFonts w:hint="eastAsia"/>
                <w:color w:val="auto"/>
                <w:sz w:val="24"/>
              </w:rPr>
            </w:pPr>
            <w:r>
              <w:rPr>
                <w:rFonts w:hint="eastAsia"/>
                <w:color w:val="auto"/>
                <w:sz w:val="24"/>
              </w:rPr>
              <w:t>项目属于塑料家具制造（C2140），主要产品为木塑门、木塑线条，主要生产工艺包括混料、挤出，对照《建设项目环境影响评价分类管理名录》（生态环境部-部令第16号，2020年11月），项目评价类别判定情况详见下表。</w:t>
            </w:r>
          </w:p>
          <w:p w14:paraId="563A2154">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项目评价类别判定情况</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194"/>
              <w:gridCol w:w="2318"/>
              <w:gridCol w:w="3182"/>
              <w:gridCol w:w="884"/>
            </w:tblGrid>
            <w:tr w14:paraId="573F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1087" w:type="pct"/>
                  <w:gridSpan w:val="2"/>
                  <w:tcBorders>
                    <w:tl2br w:val="single" w:color="auto" w:sz="4" w:space="0"/>
                  </w:tcBorders>
                  <w:vAlign w:val="center"/>
                </w:tcPr>
                <w:p w14:paraId="0F1D88C8">
                  <w:pPr>
                    <w:jc w:val="right"/>
                    <w:rPr>
                      <w:color w:val="auto"/>
                      <w:szCs w:val="21"/>
                    </w:rPr>
                  </w:pPr>
                  <w:r>
                    <w:rPr>
                      <w:color w:val="auto"/>
                      <w:szCs w:val="21"/>
                    </w:rPr>
                    <w:t>环评类别</w:t>
                  </w:r>
                </w:p>
                <w:p w14:paraId="7B151E65">
                  <w:pPr>
                    <w:jc w:val="left"/>
                    <w:rPr>
                      <w:color w:val="auto"/>
                      <w:szCs w:val="21"/>
                    </w:rPr>
                  </w:pPr>
                  <w:r>
                    <w:rPr>
                      <w:color w:val="auto"/>
                      <w:szCs w:val="21"/>
                    </w:rPr>
                    <w:t>项目类别</w:t>
                  </w:r>
                </w:p>
              </w:tc>
              <w:tc>
                <w:tcPr>
                  <w:tcW w:w="1421" w:type="pct"/>
                  <w:tcBorders>
                    <w:tl2br w:val="nil"/>
                    <w:tr2bl w:val="nil"/>
                  </w:tcBorders>
                  <w:vAlign w:val="center"/>
                </w:tcPr>
                <w:p w14:paraId="743BFC4E">
                  <w:pPr>
                    <w:jc w:val="center"/>
                    <w:rPr>
                      <w:color w:val="auto"/>
                      <w:szCs w:val="21"/>
                    </w:rPr>
                  </w:pPr>
                  <w:r>
                    <w:rPr>
                      <w:color w:val="auto"/>
                      <w:szCs w:val="21"/>
                    </w:rPr>
                    <w:t>报告书</w:t>
                  </w:r>
                </w:p>
              </w:tc>
              <w:tc>
                <w:tcPr>
                  <w:tcW w:w="1950" w:type="pct"/>
                  <w:tcBorders>
                    <w:tl2br w:val="nil"/>
                    <w:tr2bl w:val="nil"/>
                  </w:tcBorders>
                  <w:shd w:val="clear" w:color="auto" w:fill="E7E6E6" w:themeFill="background2"/>
                  <w:vAlign w:val="center"/>
                </w:tcPr>
                <w:p w14:paraId="3C4B20AA">
                  <w:pPr>
                    <w:jc w:val="center"/>
                    <w:rPr>
                      <w:color w:val="auto"/>
                      <w:szCs w:val="21"/>
                    </w:rPr>
                  </w:pPr>
                  <w:r>
                    <w:rPr>
                      <w:b/>
                      <w:bCs/>
                      <w:color w:val="auto"/>
                      <w:szCs w:val="21"/>
                    </w:rPr>
                    <w:t>报告表</w:t>
                  </w:r>
                </w:p>
              </w:tc>
              <w:tc>
                <w:tcPr>
                  <w:tcW w:w="540" w:type="pct"/>
                  <w:tcBorders>
                    <w:tl2br w:val="nil"/>
                    <w:tr2bl w:val="nil"/>
                  </w:tcBorders>
                  <w:vAlign w:val="center"/>
                </w:tcPr>
                <w:p w14:paraId="2930FBFE">
                  <w:pPr>
                    <w:jc w:val="center"/>
                    <w:rPr>
                      <w:color w:val="auto"/>
                      <w:szCs w:val="21"/>
                    </w:rPr>
                  </w:pPr>
                  <w:r>
                    <w:rPr>
                      <w:color w:val="auto"/>
                      <w:szCs w:val="21"/>
                    </w:rPr>
                    <w:t>登记表</w:t>
                  </w:r>
                </w:p>
              </w:tc>
            </w:tr>
            <w:tr w14:paraId="46EF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000" w:type="pct"/>
                  <w:gridSpan w:val="5"/>
                  <w:tcBorders>
                    <w:tl2br w:val="nil"/>
                    <w:tr2bl w:val="nil"/>
                  </w:tcBorders>
                  <w:vAlign w:val="center"/>
                </w:tcPr>
                <w:p w14:paraId="4C1118C2">
                  <w:pPr>
                    <w:jc w:val="left"/>
                    <w:rPr>
                      <w:color w:val="auto"/>
                      <w:szCs w:val="21"/>
                    </w:rPr>
                  </w:pPr>
                  <w:r>
                    <w:rPr>
                      <w:rFonts w:hint="eastAsia"/>
                      <w:color w:val="auto"/>
                      <w:szCs w:val="21"/>
                    </w:rPr>
                    <w:t>十八、家具制造业 21</w:t>
                  </w:r>
                </w:p>
              </w:tc>
            </w:tr>
            <w:tr w14:paraId="4DBD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355" w:type="pct"/>
                  <w:tcBorders>
                    <w:tl2br w:val="nil"/>
                    <w:tr2bl w:val="nil"/>
                  </w:tcBorders>
                  <w:vAlign w:val="center"/>
                </w:tcPr>
                <w:p w14:paraId="714BF6EF">
                  <w:pPr>
                    <w:jc w:val="center"/>
                    <w:rPr>
                      <w:rFonts w:hint="default" w:eastAsia="宋体"/>
                      <w:color w:val="auto"/>
                      <w:szCs w:val="21"/>
                      <w:lang w:val="en-US" w:eastAsia="zh-CN"/>
                    </w:rPr>
                  </w:pPr>
                  <w:r>
                    <w:rPr>
                      <w:rFonts w:hint="eastAsia"/>
                      <w:color w:val="auto"/>
                      <w:szCs w:val="21"/>
                      <w:lang w:val="en-US" w:eastAsia="zh-CN"/>
                    </w:rPr>
                    <w:t>36</w:t>
                  </w:r>
                </w:p>
              </w:tc>
              <w:tc>
                <w:tcPr>
                  <w:tcW w:w="731" w:type="pct"/>
                  <w:tcBorders>
                    <w:tl2br w:val="nil"/>
                    <w:tr2bl w:val="nil"/>
                  </w:tcBorders>
                  <w:vAlign w:val="center"/>
                </w:tcPr>
                <w:p w14:paraId="0A4D1B2D">
                  <w:pPr>
                    <w:jc w:val="center"/>
                    <w:rPr>
                      <w:color w:val="auto"/>
                      <w:szCs w:val="21"/>
                    </w:rPr>
                  </w:pPr>
                  <w:r>
                    <w:rPr>
                      <w:rFonts w:hint="eastAsia"/>
                      <w:color w:val="auto"/>
                      <w:szCs w:val="21"/>
                    </w:rPr>
                    <w:t>塑料家具制造214*</w:t>
                  </w:r>
                </w:p>
              </w:tc>
              <w:tc>
                <w:tcPr>
                  <w:tcW w:w="1421" w:type="pct"/>
                  <w:tcBorders>
                    <w:tl2br w:val="nil"/>
                    <w:tr2bl w:val="nil"/>
                  </w:tcBorders>
                  <w:vAlign w:val="center"/>
                </w:tcPr>
                <w:p w14:paraId="4B1833A3">
                  <w:pPr>
                    <w:jc w:val="center"/>
                    <w:rPr>
                      <w:color w:val="auto"/>
                      <w:szCs w:val="21"/>
                    </w:rPr>
                  </w:pPr>
                  <w:r>
                    <w:rPr>
                      <w:rFonts w:hint="eastAsia"/>
                      <w:color w:val="auto"/>
                      <w:szCs w:val="21"/>
                    </w:rPr>
                    <w:t>有电镀工艺的；年用溶剂型涂料（含稀释剂）10吨及以上的</w:t>
                  </w:r>
                </w:p>
              </w:tc>
              <w:tc>
                <w:tcPr>
                  <w:tcW w:w="1950" w:type="pct"/>
                  <w:tcBorders>
                    <w:tl2br w:val="nil"/>
                    <w:tr2bl w:val="nil"/>
                  </w:tcBorders>
                  <w:shd w:val="clear" w:color="auto" w:fill="E7E6E6" w:themeFill="background2"/>
                  <w:vAlign w:val="center"/>
                </w:tcPr>
                <w:p w14:paraId="7A81C715">
                  <w:pPr>
                    <w:jc w:val="center"/>
                    <w:rPr>
                      <w:color w:val="auto"/>
                      <w:szCs w:val="21"/>
                    </w:rPr>
                  </w:pPr>
                  <w:r>
                    <w:rPr>
                      <w:rFonts w:hint="eastAsia"/>
                      <w:b/>
                      <w:bCs/>
                      <w:color w:val="auto"/>
                      <w:szCs w:val="21"/>
                    </w:rPr>
                    <w:t>其他（仅分割、组装的除外；年用非溶剂型低VOCs含量涂料10吨以下的除外）</w:t>
                  </w:r>
                </w:p>
              </w:tc>
              <w:tc>
                <w:tcPr>
                  <w:tcW w:w="540" w:type="pct"/>
                  <w:tcBorders>
                    <w:tl2br w:val="nil"/>
                    <w:tr2bl w:val="nil"/>
                  </w:tcBorders>
                  <w:vAlign w:val="center"/>
                </w:tcPr>
                <w:p w14:paraId="5FBF6CC9">
                  <w:pPr>
                    <w:jc w:val="center"/>
                    <w:rPr>
                      <w:color w:val="auto"/>
                      <w:szCs w:val="21"/>
                    </w:rPr>
                  </w:pPr>
                  <w:r>
                    <w:rPr>
                      <w:color w:val="auto"/>
                      <w:szCs w:val="21"/>
                    </w:rPr>
                    <w:t>/</w:t>
                  </w:r>
                </w:p>
              </w:tc>
            </w:tr>
          </w:tbl>
          <w:p w14:paraId="6E84EEE2">
            <w:pPr>
              <w:autoSpaceDE w:val="0"/>
              <w:autoSpaceDN w:val="0"/>
              <w:adjustRightInd w:val="0"/>
              <w:snapToGrid w:val="0"/>
              <w:spacing w:line="360" w:lineRule="auto"/>
              <w:ind w:firstLine="480" w:firstLineChars="200"/>
              <w:rPr>
                <w:bCs/>
                <w:color w:val="auto"/>
                <w:kern w:val="0"/>
                <w:sz w:val="24"/>
              </w:rPr>
            </w:pPr>
            <w:r>
              <w:rPr>
                <w:bCs/>
                <w:color w:val="auto"/>
                <w:kern w:val="0"/>
                <w:sz w:val="24"/>
              </w:rPr>
              <w:t>根据上表判定，项目应编制环境影响报告表。根据“关于印发《建设项目环境影响报告表》内容、格式及编制技术指南的通知”（生态环境部办公厅，环办环评〔2020〕33号），本项目以污染影响为主要特征，将按《建设项目环境影响报告表编制技术指南（污染影响类）（试行）》进行环境影响报告表编制</w:t>
            </w:r>
            <w:r>
              <w:rPr>
                <w:rFonts w:hint="eastAsia"/>
                <w:bCs/>
                <w:color w:val="auto"/>
                <w:kern w:val="0"/>
                <w:sz w:val="24"/>
              </w:rPr>
              <w:t>。</w:t>
            </w:r>
          </w:p>
          <w:p w14:paraId="7CCD56B3">
            <w:pPr>
              <w:numPr>
                <w:ilvl w:val="2"/>
                <w:numId w:val="14"/>
              </w:numPr>
              <w:adjustRightInd w:val="0"/>
              <w:snapToGrid w:val="0"/>
              <w:spacing w:line="360" w:lineRule="auto"/>
              <w:ind w:firstLine="0"/>
              <w:jc w:val="left"/>
              <w:rPr>
                <w:b/>
                <w:bCs/>
                <w:color w:val="auto"/>
                <w:sz w:val="24"/>
              </w:rPr>
            </w:pPr>
            <w:r>
              <w:rPr>
                <w:rFonts w:hint="eastAsia"/>
                <w:b/>
                <w:bCs/>
                <w:color w:val="auto"/>
                <w:sz w:val="24"/>
              </w:rPr>
              <w:t>排污许可证管理要求</w:t>
            </w:r>
          </w:p>
          <w:p w14:paraId="61DE7C5B">
            <w:pPr>
              <w:adjustRightInd w:val="0"/>
              <w:spacing w:line="360" w:lineRule="auto"/>
              <w:ind w:firstLine="425"/>
              <w:rPr>
                <w:rFonts w:hint="eastAsia"/>
                <w:color w:val="auto"/>
                <w:sz w:val="24"/>
              </w:rPr>
            </w:pPr>
            <w:r>
              <w:rPr>
                <w:color w:val="auto"/>
                <w:sz w:val="24"/>
              </w:rPr>
              <w:t>项目主要产品为</w:t>
            </w:r>
            <w:r>
              <w:rPr>
                <w:rFonts w:hint="eastAsia"/>
                <w:color w:val="auto"/>
                <w:sz w:val="24"/>
              </w:rPr>
              <w:t>木塑门、木塑线条</w:t>
            </w:r>
            <w:r>
              <w:rPr>
                <w:color w:val="auto"/>
                <w:sz w:val="24"/>
              </w:rPr>
              <w:t>，主要工艺</w:t>
            </w:r>
            <w:r>
              <w:rPr>
                <w:rFonts w:hint="eastAsia"/>
                <w:color w:val="auto"/>
                <w:sz w:val="24"/>
              </w:rPr>
              <w:t>为混料、挤出等</w:t>
            </w:r>
            <w:r>
              <w:rPr>
                <w:color w:val="auto"/>
                <w:sz w:val="24"/>
              </w:rPr>
              <w:t>，</w:t>
            </w:r>
            <w:r>
              <w:rPr>
                <w:rFonts w:hint="eastAsia"/>
                <w:color w:val="auto"/>
                <w:sz w:val="24"/>
              </w:rPr>
              <w:t>对照</w:t>
            </w:r>
            <w:r>
              <w:rPr>
                <w:color w:val="auto"/>
                <w:sz w:val="24"/>
              </w:rPr>
              <w:t>《固定污染源排污许可分类管理名录》（2019年版）</w:t>
            </w:r>
            <w:r>
              <w:rPr>
                <w:rFonts w:hint="eastAsia"/>
                <w:color w:val="auto"/>
                <w:sz w:val="24"/>
              </w:rPr>
              <w:t>，</w:t>
            </w:r>
          </w:p>
          <w:p w14:paraId="6C8401F1">
            <w:pPr>
              <w:adjustRightInd w:val="0"/>
              <w:spacing w:line="360" w:lineRule="auto"/>
              <w:ind w:firstLine="425"/>
              <w:rPr>
                <w:color w:val="auto"/>
                <w:sz w:val="24"/>
              </w:rPr>
            </w:pPr>
            <w:r>
              <w:rPr>
                <w:rFonts w:hint="eastAsia"/>
                <w:color w:val="auto"/>
                <w:sz w:val="24"/>
              </w:rPr>
              <w:t>本项目应进行排污许可证</w:t>
            </w:r>
            <w:r>
              <w:rPr>
                <w:rFonts w:hint="eastAsia"/>
                <w:color w:val="auto"/>
                <w:sz w:val="24"/>
                <w:lang w:val="en-US" w:eastAsia="zh-CN"/>
              </w:rPr>
              <w:t>登记</w:t>
            </w:r>
            <w:r>
              <w:rPr>
                <w:color w:val="auto"/>
                <w:sz w:val="24"/>
              </w:rPr>
              <w:t>管理。</w:t>
            </w:r>
          </w:p>
          <w:p w14:paraId="1F4B7091">
            <w:pPr>
              <w:numPr>
                <w:ilvl w:val="0"/>
                <w:numId w:val="13"/>
              </w:numPr>
              <w:autoSpaceDE w:val="0"/>
              <w:autoSpaceDN w:val="0"/>
              <w:adjustRightInd w:val="0"/>
              <w:snapToGrid w:val="0"/>
              <w:spacing w:before="48" w:beforeLines="20" w:after="48" w:afterLines="20"/>
              <w:jc w:val="center"/>
              <w:rPr>
                <w:b/>
                <w:color w:val="auto"/>
                <w:sz w:val="24"/>
              </w:rPr>
            </w:pPr>
            <w:r>
              <w:rPr>
                <w:rFonts w:hint="eastAsia"/>
                <w:b/>
                <w:color w:val="auto"/>
                <w:sz w:val="24"/>
              </w:rPr>
              <w:t>项目与《固定污染源排污许可分类管理名录（2019年版）》对照表</w:t>
            </w:r>
          </w:p>
          <w:tbl>
            <w:tblPr>
              <w:tblStyle w:val="89"/>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77"/>
              <w:gridCol w:w="1627"/>
              <w:gridCol w:w="2844"/>
              <w:gridCol w:w="1110"/>
            </w:tblGrid>
            <w:tr w14:paraId="6752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8" w:type="dxa"/>
                  <w:gridSpan w:val="5"/>
                  <w:vAlign w:val="center"/>
                </w:tcPr>
                <w:p w14:paraId="2C2A2173">
                  <w:pPr>
                    <w:widowControl/>
                    <w:tabs>
                      <w:tab w:val="left" w:pos="911"/>
                      <w:tab w:val="center" w:pos="4594"/>
                    </w:tabs>
                    <w:spacing w:line="400" w:lineRule="exact"/>
                    <w:jc w:val="left"/>
                    <w:rPr>
                      <w:b/>
                      <w:bCs/>
                      <w:color w:val="auto"/>
                      <w:sz w:val="24"/>
                    </w:rPr>
                  </w:pPr>
                  <w:r>
                    <w:rPr>
                      <w:rFonts w:hint="eastAsia"/>
                      <w:color w:val="auto"/>
                      <w:szCs w:val="21"/>
                    </w:rPr>
                    <w:t>十六、家具制造业 21</w:t>
                  </w:r>
                </w:p>
              </w:tc>
            </w:tr>
            <w:tr w14:paraId="31E4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15C37AF">
                  <w:pPr>
                    <w:adjustRightInd w:val="0"/>
                    <w:snapToGrid w:val="0"/>
                    <w:jc w:val="center"/>
                    <w:rPr>
                      <w:b/>
                      <w:bCs/>
                      <w:color w:val="auto"/>
                      <w:sz w:val="24"/>
                    </w:rPr>
                  </w:pPr>
                  <w:r>
                    <w:rPr>
                      <w:rFonts w:hint="eastAsia"/>
                      <w:color w:val="auto"/>
                      <w:szCs w:val="21"/>
                    </w:rPr>
                    <w:t>序号</w:t>
                  </w:r>
                </w:p>
              </w:tc>
              <w:tc>
                <w:tcPr>
                  <w:tcW w:w="1877" w:type="dxa"/>
                  <w:vAlign w:val="center"/>
                </w:tcPr>
                <w:p w14:paraId="59D11348">
                  <w:pPr>
                    <w:adjustRightInd w:val="0"/>
                    <w:snapToGrid w:val="0"/>
                    <w:jc w:val="center"/>
                    <w:rPr>
                      <w:b/>
                      <w:bCs/>
                      <w:color w:val="auto"/>
                      <w:sz w:val="24"/>
                    </w:rPr>
                  </w:pPr>
                  <w:r>
                    <w:rPr>
                      <w:rFonts w:hint="eastAsia"/>
                      <w:color w:val="auto"/>
                      <w:szCs w:val="21"/>
                    </w:rPr>
                    <w:t>行业类别</w:t>
                  </w:r>
                </w:p>
              </w:tc>
              <w:tc>
                <w:tcPr>
                  <w:tcW w:w="1627" w:type="dxa"/>
                  <w:vAlign w:val="center"/>
                </w:tcPr>
                <w:p w14:paraId="44DDA1C6">
                  <w:pPr>
                    <w:adjustRightInd w:val="0"/>
                    <w:snapToGrid w:val="0"/>
                    <w:jc w:val="center"/>
                    <w:rPr>
                      <w:b/>
                      <w:bCs/>
                      <w:color w:val="auto"/>
                      <w:sz w:val="24"/>
                    </w:rPr>
                  </w:pPr>
                  <w:r>
                    <w:rPr>
                      <w:rFonts w:hint="eastAsia"/>
                      <w:color w:val="auto"/>
                      <w:szCs w:val="21"/>
                    </w:rPr>
                    <w:t>重点管理</w:t>
                  </w:r>
                </w:p>
              </w:tc>
              <w:tc>
                <w:tcPr>
                  <w:tcW w:w="2844" w:type="dxa"/>
                  <w:vAlign w:val="center"/>
                </w:tcPr>
                <w:p w14:paraId="059402FF">
                  <w:pPr>
                    <w:adjustRightInd w:val="0"/>
                    <w:snapToGrid w:val="0"/>
                    <w:jc w:val="center"/>
                    <w:rPr>
                      <w:b/>
                      <w:bCs/>
                      <w:color w:val="auto"/>
                      <w:sz w:val="24"/>
                    </w:rPr>
                  </w:pPr>
                  <w:r>
                    <w:rPr>
                      <w:rFonts w:hint="eastAsia"/>
                      <w:color w:val="auto"/>
                      <w:szCs w:val="21"/>
                    </w:rPr>
                    <w:t>简化管理</w:t>
                  </w:r>
                </w:p>
              </w:tc>
              <w:tc>
                <w:tcPr>
                  <w:tcW w:w="1110" w:type="dxa"/>
                  <w:vAlign w:val="center"/>
                </w:tcPr>
                <w:p w14:paraId="1A43B0DA">
                  <w:pPr>
                    <w:adjustRightInd w:val="0"/>
                    <w:snapToGrid w:val="0"/>
                    <w:jc w:val="center"/>
                    <w:rPr>
                      <w:b/>
                      <w:bCs/>
                      <w:color w:val="auto"/>
                      <w:sz w:val="24"/>
                    </w:rPr>
                  </w:pPr>
                  <w:r>
                    <w:rPr>
                      <w:rFonts w:hint="eastAsia"/>
                      <w:color w:val="auto"/>
                      <w:szCs w:val="21"/>
                    </w:rPr>
                    <w:t>登记管理</w:t>
                  </w:r>
                </w:p>
              </w:tc>
            </w:tr>
            <w:tr w14:paraId="707F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27F220F">
                  <w:pPr>
                    <w:jc w:val="center"/>
                    <w:rPr>
                      <w:rFonts w:hint="default" w:eastAsia="宋体"/>
                      <w:color w:val="auto"/>
                      <w:szCs w:val="21"/>
                      <w:lang w:val="en-US" w:eastAsia="zh-CN"/>
                    </w:rPr>
                  </w:pPr>
                  <w:r>
                    <w:rPr>
                      <w:rFonts w:hint="eastAsia"/>
                      <w:color w:val="auto"/>
                      <w:szCs w:val="21"/>
                      <w:lang w:val="en-US" w:eastAsia="zh-CN"/>
                    </w:rPr>
                    <w:t>35</w:t>
                  </w:r>
                </w:p>
              </w:tc>
              <w:tc>
                <w:tcPr>
                  <w:tcW w:w="1877" w:type="dxa"/>
                  <w:vAlign w:val="center"/>
                </w:tcPr>
                <w:p w14:paraId="024A5AA4">
                  <w:pPr>
                    <w:jc w:val="center"/>
                    <w:rPr>
                      <w:color w:val="auto"/>
                      <w:szCs w:val="21"/>
                    </w:rPr>
                  </w:pPr>
                  <w:r>
                    <w:rPr>
                      <w:rFonts w:hint="eastAsia"/>
                      <w:color w:val="auto"/>
                      <w:szCs w:val="21"/>
                    </w:rPr>
                    <w:t>塑料家具制造 214</w:t>
                  </w:r>
                </w:p>
              </w:tc>
              <w:tc>
                <w:tcPr>
                  <w:tcW w:w="1627" w:type="dxa"/>
                  <w:vAlign w:val="center"/>
                </w:tcPr>
                <w:p w14:paraId="7983FA1A">
                  <w:pPr>
                    <w:jc w:val="center"/>
                    <w:rPr>
                      <w:color w:val="auto"/>
                      <w:szCs w:val="21"/>
                    </w:rPr>
                  </w:pPr>
                  <w:r>
                    <w:rPr>
                      <w:rFonts w:hint="eastAsia"/>
                      <w:color w:val="auto"/>
                      <w:szCs w:val="21"/>
                    </w:rPr>
                    <w:t>纳入重点排污单位名录的</w:t>
                  </w:r>
                </w:p>
              </w:tc>
              <w:tc>
                <w:tcPr>
                  <w:tcW w:w="2844" w:type="dxa"/>
                  <w:vAlign w:val="center"/>
                </w:tcPr>
                <w:p w14:paraId="571E9DF3">
                  <w:pPr>
                    <w:jc w:val="center"/>
                    <w:rPr>
                      <w:color w:val="auto"/>
                      <w:szCs w:val="21"/>
                    </w:rPr>
                  </w:pPr>
                  <w:r>
                    <w:rPr>
                      <w:rFonts w:hint="eastAsia"/>
                      <w:color w:val="auto"/>
                      <w:szCs w:val="21"/>
                    </w:rPr>
                    <w:t>除重点管理以外的年使用10吨及以上溶剂型涂料或者胶粘剂（含稀释剂、固化剂）的、年使用20吨及以上水性涂料或者胶粘剂的、有磷化表面处理工艺的</w:t>
                  </w:r>
                </w:p>
              </w:tc>
              <w:tc>
                <w:tcPr>
                  <w:tcW w:w="1110" w:type="dxa"/>
                  <w:vAlign w:val="center"/>
                </w:tcPr>
                <w:p w14:paraId="4C9E506A">
                  <w:pPr>
                    <w:jc w:val="center"/>
                    <w:rPr>
                      <w:color w:val="auto"/>
                      <w:szCs w:val="21"/>
                    </w:rPr>
                  </w:pPr>
                  <w:r>
                    <w:rPr>
                      <w:color w:val="auto"/>
                      <w:szCs w:val="21"/>
                    </w:rPr>
                    <w:t>其他</w:t>
                  </w:r>
                </w:p>
              </w:tc>
            </w:tr>
          </w:tbl>
          <w:p w14:paraId="708A729D">
            <w:pPr>
              <w:autoSpaceDE w:val="0"/>
              <w:autoSpaceDN w:val="0"/>
              <w:adjustRightInd w:val="0"/>
              <w:snapToGrid w:val="0"/>
              <w:spacing w:line="360" w:lineRule="auto"/>
              <w:ind w:firstLine="480" w:firstLineChars="200"/>
              <w:rPr>
                <w:bCs/>
                <w:color w:val="auto"/>
                <w:kern w:val="0"/>
                <w:sz w:val="24"/>
              </w:rPr>
            </w:pPr>
          </w:p>
          <w:p w14:paraId="0A5BF630">
            <w:pPr>
              <w:autoSpaceDE w:val="0"/>
              <w:autoSpaceDN w:val="0"/>
              <w:adjustRightInd w:val="0"/>
              <w:snapToGrid w:val="0"/>
              <w:spacing w:line="360" w:lineRule="auto"/>
              <w:ind w:firstLine="480" w:firstLineChars="200"/>
              <w:rPr>
                <w:color w:val="auto"/>
                <w:sz w:val="24"/>
              </w:rPr>
            </w:pPr>
          </w:p>
          <w:p w14:paraId="05003A60">
            <w:pPr>
              <w:autoSpaceDE w:val="0"/>
              <w:autoSpaceDN w:val="0"/>
              <w:adjustRightInd w:val="0"/>
              <w:snapToGrid w:val="0"/>
              <w:spacing w:line="360" w:lineRule="auto"/>
              <w:ind w:firstLine="480" w:firstLineChars="200"/>
              <w:rPr>
                <w:color w:val="auto"/>
                <w:sz w:val="24"/>
              </w:rPr>
            </w:pPr>
          </w:p>
          <w:p w14:paraId="74CC2B6B">
            <w:pPr>
              <w:autoSpaceDE w:val="0"/>
              <w:autoSpaceDN w:val="0"/>
              <w:adjustRightInd w:val="0"/>
              <w:snapToGrid w:val="0"/>
              <w:spacing w:line="360" w:lineRule="auto"/>
              <w:ind w:firstLine="480" w:firstLineChars="200"/>
              <w:rPr>
                <w:color w:val="auto"/>
                <w:sz w:val="24"/>
              </w:rPr>
            </w:pPr>
          </w:p>
          <w:p w14:paraId="57AAB110">
            <w:pPr>
              <w:autoSpaceDE w:val="0"/>
              <w:autoSpaceDN w:val="0"/>
              <w:adjustRightInd w:val="0"/>
              <w:snapToGrid w:val="0"/>
              <w:spacing w:line="360" w:lineRule="auto"/>
              <w:ind w:firstLine="480" w:firstLineChars="200"/>
              <w:rPr>
                <w:color w:val="auto"/>
                <w:sz w:val="24"/>
              </w:rPr>
            </w:pPr>
          </w:p>
          <w:p w14:paraId="45865E32">
            <w:pPr>
              <w:autoSpaceDE w:val="0"/>
              <w:autoSpaceDN w:val="0"/>
              <w:adjustRightInd w:val="0"/>
              <w:snapToGrid w:val="0"/>
              <w:spacing w:line="460" w:lineRule="exact"/>
              <w:rPr>
                <w:color w:val="auto"/>
                <w:kern w:val="0"/>
                <w:sz w:val="24"/>
              </w:rPr>
            </w:pPr>
          </w:p>
        </w:tc>
      </w:tr>
    </w:tbl>
    <w:p w14:paraId="6041B6BC">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40C378B">
      <w:pPr>
        <w:pStyle w:val="82"/>
        <w:jc w:val="center"/>
        <w:outlineLvl w:val="0"/>
        <w:rPr>
          <w:rFonts w:ascii="Times New Roman" w:hAnsi="Times New Roman" w:eastAsia="黑体"/>
          <w:snapToGrid w:val="0"/>
          <w:color w:val="auto"/>
          <w:sz w:val="30"/>
          <w:szCs w:val="30"/>
        </w:rPr>
      </w:pPr>
      <w:bookmarkStart w:id="4" w:name="_Toc67930371"/>
      <w:r>
        <w:rPr>
          <w:rFonts w:ascii="Times New Roman" w:hAnsi="Times New Roman" w:eastAsia="黑体"/>
          <w:snapToGrid w:val="0"/>
          <w:color w:val="auto"/>
          <w:sz w:val="30"/>
          <w:szCs w:val="30"/>
        </w:rPr>
        <w:t>二、建设项目工程分析</w:t>
      </w:r>
      <w:bookmarkEnd w:id="4"/>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8596"/>
      </w:tblGrid>
      <w:tr w14:paraId="79B7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4" w:type="dxa"/>
            <w:tcBorders>
              <w:tl2br w:val="nil"/>
              <w:tr2bl w:val="nil"/>
            </w:tcBorders>
            <w:vAlign w:val="center"/>
          </w:tcPr>
          <w:p w14:paraId="73BBA2E3">
            <w:pPr>
              <w:pStyle w:val="8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596" w:type="dxa"/>
            <w:tcBorders>
              <w:tl2br w:val="nil"/>
              <w:tr2bl w:val="nil"/>
            </w:tcBorders>
          </w:tcPr>
          <w:p w14:paraId="0064E50A">
            <w:pPr>
              <w:numPr>
                <w:ilvl w:val="0"/>
                <w:numId w:val="15"/>
              </w:numPr>
              <w:adjustRightInd w:val="0"/>
              <w:snapToGrid w:val="0"/>
              <w:spacing w:line="360" w:lineRule="auto"/>
              <w:jc w:val="left"/>
              <w:rPr>
                <w:b/>
                <w:color w:val="auto"/>
                <w:sz w:val="24"/>
              </w:rPr>
            </w:pPr>
            <w:r>
              <w:rPr>
                <w:b/>
                <w:color w:val="auto"/>
                <w:kern w:val="0"/>
                <w:sz w:val="24"/>
              </w:rPr>
              <w:t>建设内容</w:t>
            </w:r>
          </w:p>
          <w:p w14:paraId="39B36CCD">
            <w:pPr>
              <w:numPr>
                <w:ilvl w:val="0"/>
                <w:numId w:val="16"/>
              </w:numPr>
              <w:tabs>
                <w:tab w:val="left" w:pos="142"/>
                <w:tab w:val="left" w:pos="993"/>
              </w:tabs>
              <w:adjustRightInd w:val="0"/>
              <w:spacing w:line="360" w:lineRule="auto"/>
              <w:rPr>
                <w:b/>
                <w:color w:val="auto"/>
                <w:sz w:val="24"/>
              </w:rPr>
            </w:pPr>
            <w:r>
              <w:rPr>
                <w:b/>
                <w:color w:val="auto"/>
                <w:sz w:val="24"/>
              </w:rPr>
              <w:t>项目</w:t>
            </w:r>
            <w:r>
              <w:rPr>
                <w:rFonts w:hint="eastAsia"/>
                <w:b/>
                <w:color w:val="auto"/>
                <w:sz w:val="24"/>
              </w:rPr>
              <w:t>概况</w:t>
            </w:r>
          </w:p>
          <w:p w14:paraId="3361C8D8">
            <w:pPr>
              <w:autoSpaceDE w:val="0"/>
              <w:autoSpaceDN w:val="0"/>
              <w:adjustRightInd w:val="0"/>
              <w:snapToGrid w:val="0"/>
              <w:spacing w:line="360" w:lineRule="auto"/>
              <w:ind w:firstLine="480" w:firstLineChars="200"/>
              <w:rPr>
                <w:color w:val="auto"/>
                <w:sz w:val="24"/>
              </w:rPr>
            </w:pPr>
            <w:r>
              <w:rPr>
                <w:color w:val="auto"/>
                <w:sz w:val="24"/>
              </w:rPr>
              <w:t>湖州裕达新材料科技有限公司</w:t>
            </w:r>
            <w:r>
              <w:rPr>
                <w:rFonts w:hint="eastAsia"/>
                <w:color w:val="auto"/>
                <w:sz w:val="24"/>
              </w:rPr>
              <w:t>成立于2024年12月，经营范围包括一般项目：新材料技术研发；家具制造；家具销售；家具零配件生产；家具零配件销售；家具安装和维修服务；家居用品制造；家居用品销售；塑料制品制造；塑料制品销售。</w:t>
            </w:r>
          </w:p>
          <w:p w14:paraId="4962DC90">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本项目租用练市镇水口村东堡工业区闲置厂房2500平方米，购置混料机、挤塑机等设备，形成年产10万套木塑门、200万米木塑线条的生产能力。</w:t>
            </w:r>
            <w:r>
              <w:rPr>
                <w:rFonts w:hint="eastAsia"/>
                <w:color w:val="auto"/>
                <w:sz w:val="24"/>
              </w:rPr>
              <w:t>本项目</w:t>
            </w:r>
            <w:r>
              <w:rPr>
                <w:rFonts w:hint="eastAsia"/>
                <w:color w:val="auto"/>
                <w:sz w:val="24"/>
                <w:lang w:val="en-US" w:eastAsia="zh-CN"/>
              </w:rPr>
              <w:t>已</w:t>
            </w:r>
            <w:r>
              <w:rPr>
                <w:rFonts w:hint="eastAsia"/>
                <w:color w:val="auto"/>
                <w:sz w:val="24"/>
              </w:rPr>
              <w:t>在南浔区经济和信息化局备案，项目代码2506-330503-07-02-460157。</w:t>
            </w:r>
          </w:p>
          <w:p w14:paraId="70B44ED6">
            <w:pPr>
              <w:numPr>
                <w:ilvl w:val="0"/>
                <w:numId w:val="16"/>
              </w:numPr>
              <w:tabs>
                <w:tab w:val="left" w:pos="142"/>
                <w:tab w:val="left" w:pos="993"/>
              </w:tabs>
              <w:adjustRightInd w:val="0"/>
              <w:spacing w:line="360" w:lineRule="auto"/>
              <w:rPr>
                <w:b/>
                <w:color w:val="auto"/>
                <w:sz w:val="24"/>
              </w:rPr>
            </w:pPr>
            <w:r>
              <w:rPr>
                <w:b/>
                <w:color w:val="auto"/>
                <w:sz w:val="24"/>
              </w:rPr>
              <w:t>项目主要工程组成</w:t>
            </w:r>
          </w:p>
          <w:p w14:paraId="50414F5E">
            <w:pPr>
              <w:widowControl/>
              <w:numPr>
                <w:ilvl w:val="0"/>
                <w:numId w:val="17"/>
              </w:numPr>
              <w:spacing w:line="440" w:lineRule="exact"/>
              <w:jc w:val="center"/>
              <w:rPr>
                <w:b/>
                <w:bCs/>
                <w:color w:val="auto"/>
                <w:kern w:val="0"/>
                <w:sz w:val="24"/>
              </w:rPr>
            </w:pPr>
            <w:r>
              <w:rPr>
                <w:b/>
                <w:bCs/>
                <w:color w:val="auto"/>
                <w:kern w:val="0"/>
                <w:sz w:val="24"/>
              </w:rPr>
              <w:t>项目主要工程组成一览表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550"/>
              <w:gridCol w:w="6141"/>
            </w:tblGrid>
            <w:tr w14:paraId="399E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pct"/>
                  <w:gridSpan w:val="2"/>
                  <w:tcBorders>
                    <w:tl2br w:val="nil"/>
                    <w:tr2bl w:val="nil"/>
                  </w:tcBorders>
                  <w:vAlign w:val="center"/>
                </w:tcPr>
                <w:p w14:paraId="748EAB14">
                  <w:pPr>
                    <w:snapToGrid w:val="0"/>
                    <w:jc w:val="center"/>
                    <w:rPr>
                      <w:b w:val="0"/>
                      <w:bCs w:val="0"/>
                      <w:color w:val="auto"/>
                      <w:szCs w:val="21"/>
                    </w:rPr>
                  </w:pPr>
                  <w:r>
                    <w:rPr>
                      <w:b w:val="0"/>
                      <w:bCs w:val="0"/>
                      <w:color w:val="auto"/>
                      <w:szCs w:val="21"/>
                    </w:rPr>
                    <w:t>类别</w:t>
                  </w:r>
                </w:p>
              </w:tc>
              <w:tc>
                <w:tcPr>
                  <w:tcW w:w="3669" w:type="pct"/>
                  <w:tcBorders>
                    <w:tl2br w:val="nil"/>
                    <w:tr2bl w:val="nil"/>
                  </w:tcBorders>
                  <w:vAlign w:val="center"/>
                </w:tcPr>
                <w:p w14:paraId="2046079E">
                  <w:pPr>
                    <w:snapToGrid w:val="0"/>
                    <w:jc w:val="center"/>
                    <w:rPr>
                      <w:b w:val="0"/>
                      <w:bCs w:val="0"/>
                      <w:color w:val="auto"/>
                      <w:szCs w:val="21"/>
                    </w:rPr>
                  </w:pPr>
                  <w:r>
                    <w:rPr>
                      <w:b w:val="0"/>
                      <w:bCs w:val="0"/>
                      <w:color w:val="auto"/>
                      <w:szCs w:val="21"/>
                    </w:rPr>
                    <w:t>建设内容</w:t>
                  </w:r>
                </w:p>
              </w:tc>
            </w:tr>
            <w:tr w14:paraId="35A2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tcBorders>
                    <w:tl2br w:val="nil"/>
                    <w:tr2bl w:val="nil"/>
                  </w:tcBorders>
                  <w:vAlign w:val="center"/>
                </w:tcPr>
                <w:p w14:paraId="230AA82F">
                  <w:pPr>
                    <w:snapToGrid w:val="0"/>
                    <w:jc w:val="center"/>
                    <w:rPr>
                      <w:color w:val="auto"/>
                      <w:szCs w:val="21"/>
                    </w:rPr>
                  </w:pPr>
                  <w:r>
                    <w:rPr>
                      <w:color w:val="auto"/>
                      <w:szCs w:val="21"/>
                    </w:rPr>
                    <w:t>主体工程</w:t>
                  </w:r>
                </w:p>
              </w:tc>
              <w:tc>
                <w:tcPr>
                  <w:tcW w:w="926" w:type="pct"/>
                  <w:tcBorders>
                    <w:tl2br w:val="nil"/>
                    <w:tr2bl w:val="nil"/>
                  </w:tcBorders>
                  <w:vAlign w:val="center"/>
                </w:tcPr>
                <w:p w14:paraId="6AE2D9E1">
                  <w:pPr>
                    <w:snapToGrid w:val="0"/>
                    <w:jc w:val="center"/>
                    <w:rPr>
                      <w:color w:val="auto"/>
                      <w:szCs w:val="21"/>
                    </w:rPr>
                  </w:pPr>
                  <w:r>
                    <w:rPr>
                      <w:rFonts w:hint="eastAsia"/>
                      <w:color w:val="auto"/>
                      <w:szCs w:val="21"/>
                    </w:rPr>
                    <w:t>生产车间</w:t>
                  </w:r>
                </w:p>
              </w:tc>
              <w:tc>
                <w:tcPr>
                  <w:tcW w:w="3669" w:type="pct"/>
                  <w:tcBorders>
                    <w:tl2br w:val="nil"/>
                    <w:tr2bl w:val="nil"/>
                  </w:tcBorders>
                  <w:vAlign w:val="center"/>
                </w:tcPr>
                <w:p w14:paraId="1BCD7F88">
                  <w:pPr>
                    <w:snapToGrid w:val="0"/>
                    <w:jc w:val="left"/>
                    <w:rPr>
                      <w:color w:val="auto"/>
                      <w:szCs w:val="21"/>
                    </w:rPr>
                  </w:pPr>
                  <w:r>
                    <w:rPr>
                      <w:rFonts w:hint="eastAsia"/>
                      <w:color w:val="auto"/>
                      <w:szCs w:val="21"/>
                    </w:rPr>
                    <w:t>本项目在厂区内</w:t>
                  </w:r>
                  <w:r>
                    <w:rPr>
                      <w:rFonts w:hint="eastAsia"/>
                      <w:color w:val="auto"/>
                      <w:szCs w:val="21"/>
                      <w:lang w:val="en-US" w:eastAsia="zh-CN"/>
                    </w:rPr>
                    <w:t>设置18</w:t>
                  </w:r>
                  <w:r>
                    <w:rPr>
                      <w:rFonts w:hint="eastAsia"/>
                      <w:color w:val="auto"/>
                      <w:szCs w:val="21"/>
                    </w:rPr>
                    <w:t>条挤塑线。</w:t>
                  </w:r>
                </w:p>
              </w:tc>
            </w:tr>
            <w:tr w14:paraId="6B75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2CD918AB">
                  <w:pPr>
                    <w:snapToGrid w:val="0"/>
                    <w:jc w:val="center"/>
                    <w:rPr>
                      <w:color w:val="auto"/>
                      <w:szCs w:val="21"/>
                    </w:rPr>
                  </w:pPr>
                </w:p>
              </w:tc>
              <w:tc>
                <w:tcPr>
                  <w:tcW w:w="926" w:type="pct"/>
                  <w:tcBorders>
                    <w:tl2br w:val="nil"/>
                    <w:tr2bl w:val="nil"/>
                  </w:tcBorders>
                  <w:vAlign w:val="center"/>
                </w:tcPr>
                <w:p w14:paraId="1F943004">
                  <w:pPr>
                    <w:snapToGrid w:val="0"/>
                    <w:jc w:val="center"/>
                    <w:rPr>
                      <w:color w:val="auto"/>
                      <w:szCs w:val="21"/>
                    </w:rPr>
                  </w:pPr>
                  <w:r>
                    <w:rPr>
                      <w:rFonts w:hint="eastAsia"/>
                      <w:color w:val="auto"/>
                      <w:szCs w:val="21"/>
                    </w:rPr>
                    <w:t>产品及产能</w:t>
                  </w:r>
                </w:p>
              </w:tc>
              <w:tc>
                <w:tcPr>
                  <w:tcW w:w="3669" w:type="pct"/>
                  <w:tcBorders>
                    <w:tl2br w:val="nil"/>
                    <w:tr2bl w:val="nil"/>
                  </w:tcBorders>
                  <w:vAlign w:val="center"/>
                </w:tcPr>
                <w:p w14:paraId="1302BF68">
                  <w:pPr>
                    <w:snapToGrid w:val="0"/>
                    <w:jc w:val="left"/>
                    <w:rPr>
                      <w:color w:val="auto"/>
                      <w:szCs w:val="21"/>
                    </w:rPr>
                  </w:pPr>
                  <w:r>
                    <w:rPr>
                      <w:rFonts w:hint="eastAsia"/>
                      <w:color w:val="auto"/>
                      <w:szCs w:val="21"/>
                    </w:rPr>
                    <w:t>年产</w:t>
                  </w:r>
                  <w:r>
                    <w:rPr>
                      <w:rFonts w:hint="eastAsia"/>
                      <w:color w:val="auto"/>
                      <w:szCs w:val="21"/>
                      <w:lang w:val="en-US" w:eastAsia="zh-CN"/>
                    </w:rPr>
                    <w:t>10</w:t>
                  </w:r>
                  <w:r>
                    <w:rPr>
                      <w:rFonts w:hint="eastAsia"/>
                      <w:color w:val="auto"/>
                      <w:szCs w:val="21"/>
                    </w:rPr>
                    <w:t>万套木塑门、</w:t>
                  </w:r>
                  <w:r>
                    <w:rPr>
                      <w:rFonts w:hint="eastAsia"/>
                      <w:color w:val="auto"/>
                      <w:szCs w:val="21"/>
                      <w:lang w:val="en-US" w:eastAsia="zh-CN"/>
                    </w:rPr>
                    <w:t>200</w:t>
                  </w:r>
                  <w:r>
                    <w:rPr>
                      <w:rFonts w:hint="eastAsia"/>
                      <w:color w:val="auto"/>
                      <w:szCs w:val="21"/>
                    </w:rPr>
                    <w:t>万米木塑线条。</w:t>
                  </w:r>
                </w:p>
              </w:tc>
            </w:tr>
            <w:tr w14:paraId="0323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tcBorders>
                    <w:tl2br w:val="nil"/>
                    <w:tr2bl w:val="nil"/>
                  </w:tcBorders>
                  <w:vAlign w:val="center"/>
                </w:tcPr>
                <w:p w14:paraId="1B1C4023">
                  <w:pPr>
                    <w:snapToGrid w:val="0"/>
                    <w:jc w:val="center"/>
                    <w:rPr>
                      <w:color w:val="auto"/>
                      <w:szCs w:val="21"/>
                    </w:rPr>
                  </w:pPr>
                  <w:r>
                    <w:rPr>
                      <w:rFonts w:hint="eastAsia"/>
                      <w:color w:val="auto"/>
                      <w:szCs w:val="21"/>
                    </w:rPr>
                    <w:t>储运工程</w:t>
                  </w:r>
                </w:p>
              </w:tc>
              <w:tc>
                <w:tcPr>
                  <w:tcW w:w="926" w:type="pct"/>
                  <w:tcBorders>
                    <w:tl2br w:val="nil"/>
                    <w:tr2bl w:val="nil"/>
                  </w:tcBorders>
                  <w:vAlign w:val="center"/>
                </w:tcPr>
                <w:p w14:paraId="25D53317">
                  <w:pPr>
                    <w:snapToGrid w:val="0"/>
                    <w:jc w:val="center"/>
                    <w:rPr>
                      <w:color w:val="auto"/>
                      <w:szCs w:val="21"/>
                    </w:rPr>
                  </w:pPr>
                  <w:r>
                    <w:rPr>
                      <w:rFonts w:hint="eastAsia"/>
                      <w:color w:val="auto"/>
                      <w:szCs w:val="21"/>
                    </w:rPr>
                    <w:t>危废仓库</w:t>
                  </w:r>
                </w:p>
              </w:tc>
              <w:tc>
                <w:tcPr>
                  <w:tcW w:w="3669" w:type="pct"/>
                  <w:tcBorders>
                    <w:tl2br w:val="nil"/>
                    <w:tr2bl w:val="nil"/>
                  </w:tcBorders>
                  <w:vAlign w:val="center"/>
                </w:tcPr>
                <w:p w14:paraId="7F15D1EB">
                  <w:pPr>
                    <w:snapToGrid w:val="0"/>
                    <w:jc w:val="left"/>
                    <w:rPr>
                      <w:color w:val="auto"/>
                      <w:szCs w:val="21"/>
                    </w:rPr>
                  </w:pPr>
                  <w:r>
                    <w:rPr>
                      <w:rFonts w:hint="eastAsia"/>
                      <w:color w:val="auto"/>
                      <w:szCs w:val="21"/>
                    </w:rPr>
                    <w:t>项目在厂区</w:t>
                  </w:r>
                  <w:r>
                    <w:rPr>
                      <w:rFonts w:hint="eastAsia"/>
                      <w:color w:val="auto"/>
                      <w:szCs w:val="21"/>
                      <w:lang w:val="en-US" w:eastAsia="zh-CN"/>
                    </w:rPr>
                    <w:t>南</w:t>
                  </w:r>
                  <w:r>
                    <w:rPr>
                      <w:rFonts w:hint="eastAsia"/>
                      <w:color w:val="auto"/>
                      <w:szCs w:val="21"/>
                    </w:rPr>
                    <w:t>侧设有危废仓库，用于暂存项目产生的危险废物。</w:t>
                  </w:r>
                </w:p>
              </w:tc>
            </w:tr>
            <w:tr w14:paraId="019C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74844110">
                  <w:pPr>
                    <w:snapToGrid w:val="0"/>
                    <w:jc w:val="center"/>
                    <w:rPr>
                      <w:color w:val="auto"/>
                      <w:szCs w:val="21"/>
                    </w:rPr>
                  </w:pPr>
                </w:p>
              </w:tc>
              <w:tc>
                <w:tcPr>
                  <w:tcW w:w="926" w:type="pct"/>
                  <w:tcBorders>
                    <w:tl2br w:val="nil"/>
                    <w:tr2bl w:val="nil"/>
                  </w:tcBorders>
                  <w:vAlign w:val="center"/>
                </w:tcPr>
                <w:p w14:paraId="10C0F802">
                  <w:pPr>
                    <w:snapToGrid w:val="0"/>
                    <w:jc w:val="center"/>
                    <w:rPr>
                      <w:color w:val="auto"/>
                      <w:szCs w:val="21"/>
                    </w:rPr>
                  </w:pPr>
                  <w:r>
                    <w:rPr>
                      <w:rFonts w:hint="eastAsia"/>
                      <w:color w:val="auto"/>
                      <w:szCs w:val="21"/>
                    </w:rPr>
                    <w:t>一般固废仓库</w:t>
                  </w:r>
                </w:p>
              </w:tc>
              <w:tc>
                <w:tcPr>
                  <w:tcW w:w="3669" w:type="pct"/>
                  <w:tcBorders>
                    <w:tl2br w:val="nil"/>
                    <w:tr2bl w:val="nil"/>
                  </w:tcBorders>
                  <w:vAlign w:val="center"/>
                </w:tcPr>
                <w:p w14:paraId="55F70C36">
                  <w:pPr>
                    <w:snapToGrid w:val="0"/>
                    <w:jc w:val="left"/>
                    <w:rPr>
                      <w:color w:val="auto"/>
                      <w:szCs w:val="21"/>
                    </w:rPr>
                  </w:pPr>
                  <w:r>
                    <w:rPr>
                      <w:rFonts w:hint="eastAsia"/>
                      <w:color w:val="auto"/>
                      <w:szCs w:val="21"/>
                    </w:rPr>
                    <w:t>项目在厂区</w:t>
                  </w:r>
                  <w:r>
                    <w:rPr>
                      <w:rFonts w:hint="eastAsia"/>
                      <w:color w:val="auto"/>
                      <w:szCs w:val="21"/>
                      <w:lang w:val="en-US" w:eastAsia="zh-CN"/>
                    </w:rPr>
                    <w:t>南</w:t>
                  </w:r>
                  <w:r>
                    <w:rPr>
                      <w:rFonts w:hint="eastAsia"/>
                      <w:color w:val="auto"/>
                      <w:szCs w:val="21"/>
                    </w:rPr>
                    <w:t>侧设有</w:t>
                  </w:r>
                  <w:r>
                    <w:rPr>
                      <w:rFonts w:hint="eastAsia"/>
                      <w:color w:val="auto"/>
                      <w:szCs w:val="21"/>
                      <w:lang w:val="en-US" w:eastAsia="zh-CN"/>
                    </w:rPr>
                    <w:t>一般固废</w:t>
                  </w:r>
                  <w:r>
                    <w:rPr>
                      <w:rFonts w:hint="eastAsia"/>
                      <w:color w:val="auto"/>
                      <w:szCs w:val="21"/>
                    </w:rPr>
                    <w:t>仓库，用于暂存项目产生的一般固体废物。</w:t>
                  </w:r>
                </w:p>
              </w:tc>
            </w:tr>
            <w:tr w14:paraId="5209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687EC332">
                  <w:pPr>
                    <w:snapToGrid w:val="0"/>
                    <w:jc w:val="center"/>
                    <w:rPr>
                      <w:color w:val="auto"/>
                      <w:szCs w:val="21"/>
                    </w:rPr>
                  </w:pPr>
                </w:p>
              </w:tc>
              <w:tc>
                <w:tcPr>
                  <w:tcW w:w="926" w:type="pct"/>
                  <w:tcBorders>
                    <w:tl2br w:val="nil"/>
                    <w:tr2bl w:val="nil"/>
                  </w:tcBorders>
                  <w:vAlign w:val="center"/>
                </w:tcPr>
                <w:p w14:paraId="6213342C">
                  <w:pPr>
                    <w:snapToGrid w:val="0"/>
                    <w:jc w:val="center"/>
                    <w:rPr>
                      <w:color w:val="auto"/>
                      <w:szCs w:val="21"/>
                    </w:rPr>
                  </w:pPr>
                  <w:r>
                    <w:rPr>
                      <w:rFonts w:hint="eastAsia"/>
                      <w:color w:val="auto"/>
                      <w:szCs w:val="21"/>
                    </w:rPr>
                    <w:t>原料仓库</w:t>
                  </w:r>
                </w:p>
              </w:tc>
              <w:tc>
                <w:tcPr>
                  <w:tcW w:w="3669" w:type="pct"/>
                  <w:tcBorders>
                    <w:tl2br w:val="nil"/>
                    <w:tr2bl w:val="nil"/>
                  </w:tcBorders>
                  <w:vAlign w:val="center"/>
                </w:tcPr>
                <w:p w14:paraId="15C56D94">
                  <w:pPr>
                    <w:snapToGrid w:val="0"/>
                    <w:jc w:val="left"/>
                    <w:rPr>
                      <w:color w:val="auto"/>
                      <w:szCs w:val="21"/>
                    </w:rPr>
                  </w:pPr>
                  <w:r>
                    <w:rPr>
                      <w:rFonts w:hint="eastAsia"/>
                      <w:color w:val="auto"/>
                      <w:szCs w:val="21"/>
                    </w:rPr>
                    <w:t>项目在厂区西南侧设有原料仓库，用于暂存项目所需的原辅材料。</w:t>
                  </w:r>
                </w:p>
              </w:tc>
            </w:tr>
            <w:tr w14:paraId="7F1E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52BFD5E2">
                  <w:pPr>
                    <w:snapToGrid w:val="0"/>
                    <w:jc w:val="center"/>
                    <w:rPr>
                      <w:color w:val="auto"/>
                      <w:szCs w:val="21"/>
                    </w:rPr>
                  </w:pPr>
                </w:p>
              </w:tc>
              <w:tc>
                <w:tcPr>
                  <w:tcW w:w="926" w:type="pct"/>
                  <w:tcBorders>
                    <w:tl2br w:val="nil"/>
                    <w:tr2bl w:val="nil"/>
                  </w:tcBorders>
                  <w:vAlign w:val="center"/>
                </w:tcPr>
                <w:p w14:paraId="247D1100">
                  <w:pPr>
                    <w:snapToGrid w:val="0"/>
                    <w:jc w:val="center"/>
                    <w:rPr>
                      <w:color w:val="auto"/>
                      <w:szCs w:val="21"/>
                    </w:rPr>
                  </w:pPr>
                  <w:r>
                    <w:rPr>
                      <w:rFonts w:hint="eastAsia"/>
                      <w:color w:val="auto"/>
                      <w:szCs w:val="21"/>
                    </w:rPr>
                    <w:t>成品仓库</w:t>
                  </w:r>
                </w:p>
              </w:tc>
              <w:tc>
                <w:tcPr>
                  <w:tcW w:w="3669" w:type="pct"/>
                  <w:tcBorders>
                    <w:tl2br w:val="nil"/>
                    <w:tr2bl w:val="nil"/>
                  </w:tcBorders>
                  <w:vAlign w:val="center"/>
                </w:tcPr>
                <w:p w14:paraId="6D01F4EE">
                  <w:pPr>
                    <w:snapToGrid w:val="0"/>
                    <w:jc w:val="left"/>
                    <w:rPr>
                      <w:color w:val="auto"/>
                      <w:szCs w:val="21"/>
                    </w:rPr>
                  </w:pPr>
                  <w:r>
                    <w:rPr>
                      <w:rFonts w:hint="eastAsia"/>
                      <w:color w:val="auto"/>
                      <w:szCs w:val="21"/>
                    </w:rPr>
                    <w:t>项目在厂区东侧设有成品仓库，用于暂存项目生产的产品。</w:t>
                  </w:r>
                </w:p>
              </w:tc>
            </w:tr>
            <w:tr w14:paraId="1C3C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pct"/>
                  <w:gridSpan w:val="2"/>
                  <w:tcBorders>
                    <w:tl2br w:val="nil"/>
                    <w:tr2bl w:val="nil"/>
                  </w:tcBorders>
                  <w:vAlign w:val="center"/>
                </w:tcPr>
                <w:p w14:paraId="4524CAE4">
                  <w:pPr>
                    <w:snapToGrid w:val="0"/>
                    <w:jc w:val="center"/>
                    <w:rPr>
                      <w:color w:val="auto"/>
                      <w:szCs w:val="21"/>
                    </w:rPr>
                  </w:pPr>
                  <w:r>
                    <w:rPr>
                      <w:rFonts w:hint="eastAsia"/>
                      <w:color w:val="auto"/>
                      <w:szCs w:val="21"/>
                    </w:rPr>
                    <w:t>辅助工程</w:t>
                  </w:r>
                </w:p>
              </w:tc>
              <w:tc>
                <w:tcPr>
                  <w:tcW w:w="3669" w:type="pct"/>
                  <w:tcBorders>
                    <w:tl2br w:val="nil"/>
                    <w:tr2bl w:val="nil"/>
                  </w:tcBorders>
                  <w:vAlign w:val="center"/>
                </w:tcPr>
                <w:p w14:paraId="2F885549">
                  <w:pPr>
                    <w:snapToGrid w:val="0"/>
                    <w:jc w:val="left"/>
                    <w:rPr>
                      <w:color w:val="auto"/>
                      <w:szCs w:val="21"/>
                    </w:rPr>
                  </w:pPr>
                  <w:r>
                    <w:rPr>
                      <w:rFonts w:hint="eastAsia"/>
                      <w:color w:val="auto"/>
                      <w:szCs w:val="21"/>
                    </w:rPr>
                    <w:t>项目在厂区内设置办公区。</w:t>
                  </w:r>
                </w:p>
              </w:tc>
            </w:tr>
            <w:tr w14:paraId="2095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tcBorders>
                    <w:tl2br w:val="nil"/>
                    <w:tr2bl w:val="nil"/>
                  </w:tcBorders>
                  <w:vAlign w:val="center"/>
                </w:tcPr>
                <w:p w14:paraId="5C7E7180">
                  <w:pPr>
                    <w:snapToGrid w:val="0"/>
                    <w:jc w:val="center"/>
                    <w:rPr>
                      <w:color w:val="auto"/>
                      <w:szCs w:val="21"/>
                    </w:rPr>
                  </w:pPr>
                  <w:r>
                    <w:rPr>
                      <w:rFonts w:hint="eastAsia"/>
                      <w:color w:val="auto"/>
                      <w:szCs w:val="21"/>
                    </w:rPr>
                    <w:t>公用工程</w:t>
                  </w:r>
                </w:p>
              </w:tc>
              <w:tc>
                <w:tcPr>
                  <w:tcW w:w="926" w:type="pct"/>
                  <w:tcBorders>
                    <w:tl2br w:val="nil"/>
                    <w:tr2bl w:val="nil"/>
                  </w:tcBorders>
                  <w:vAlign w:val="center"/>
                </w:tcPr>
                <w:p w14:paraId="79D525E5">
                  <w:pPr>
                    <w:snapToGrid w:val="0"/>
                    <w:jc w:val="center"/>
                    <w:rPr>
                      <w:color w:val="auto"/>
                      <w:szCs w:val="21"/>
                    </w:rPr>
                  </w:pPr>
                  <w:r>
                    <w:rPr>
                      <w:color w:val="auto"/>
                      <w:szCs w:val="21"/>
                    </w:rPr>
                    <w:t>给水</w:t>
                  </w:r>
                </w:p>
              </w:tc>
              <w:tc>
                <w:tcPr>
                  <w:tcW w:w="3669" w:type="pct"/>
                  <w:tcBorders>
                    <w:tl2br w:val="nil"/>
                    <w:tr2bl w:val="nil"/>
                  </w:tcBorders>
                  <w:vAlign w:val="center"/>
                </w:tcPr>
                <w:p w14:paraId="011BBFB3">
                  <w:pPr>
                    <w:snapToGrid w:val="0"/>
                    <w:jc w:val="left"/>
                    <w:rPr>
                      <w:color w:val="auto"/>
                      <w:szCs w:val="21"/>
                    </w:rPr>
                  </w:pPr>
                  <w:r>
                    <w:rPr>
                      <w:color w:val="auto"/>
                      <w:szCs w:val="21"/>
                    </w:rPr>
                    <w:t>由当地自来水公司供给</w:t>
                  </w:r>
                  <w:r>
                    <w:rPr>
                      <w:rFonts w:hint="eastAsia"/>
                      <w:color w:val="auto"/>
                      <w:szCs w:val="21"/>
                    </w:rPr>
                    <w:t>。</w:t>
                  </w:r>
                </w:p>
              </w:tc>
            </w:tr>
            <w:tr w14:paraId="03EF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339BBAFC">
                  <w:pPr>
                    <w:snapToGrid w:val="0"/>
                    <w:jc w:val="center"/>
                    <w:rPr>
                      <w:color w:val="auto"/>
                      <w:szCs w:val="21"/>
                    </w:rPr>
                  </w:pPr>
                </w:p>
              </w:tc>
              <w:tc>
                <w:tcPr>
                  <w:tcW w:w="926" w:type="pct"/>
                  <w:tcBorders>
                    <w:tl2br w:val="nil"/>
                    <w:tr2bl w:val="nil"/>
                  </w:tcBorders>
                  <w:vAlign w:val="center"/>
                </w:tcPr>
                <w:p w14:paraId="78611DAA">
                  <w:pPr>
                    <w:snapToGrid w:val="0"/>
                    <w:jc w:val="center"/>
                    <w:rPr>
                      <w:color w:val="auto"/>
                      <w:szCs w:val="21"/>
                    </w:rPr>
                  </w:pPr>
                  <w:r>
                    <w:rPr>
                      <w:rFonts w:hint="eastAsia"/>
                      <w:color w:val="auto"/>
                      <w:szCs w:val="21"/>
                    </w:rPr>
                    <w:t>排水</w:t>
                  </w:r>
                </w:p>
              </w:tc>
              <w:tc>
                <w:tcPr>
                  <w:tcW w:w="3669" w:type="pct"/>
                  <w:tcBorders>
                    <w:tl2br w:val="nil"/>
                    <w:tr2bl w:val="nil"/>
                  </w:tcBorders>
                  <w:vAlign w:val="center"/>
                </w:tcPr>
                <w:p w14:paraId="40BBE939">
                  <w:pPr>
                    <w:snapToGrid w:val="0"/>
                    <w:jc w:val="left"/>
                    <w:rPr>
                      <w:color w:val="auto"/>
                      <w:szCs w:val="21"/>
                    </w:rPr>
                  </w:pPr>
                  <w:r>
                    <w:rPr>
                      <w:rFonts w:hint="eastAsia"/>
                      <w:color w:val="auto"/>
                      <w:szCs w:val="21"/>
                    </w:rPr>
                    <w:t>厂区实施雨污分流。雨水排入市政雨水管网，生活污水经化粪池预处理后排入市政污水管网，冷却水循环使用，定期补充，不外排。</w:t>
                  </w:r>
                </w:p>
              </w:tc>
            </w:tr>
            <w:tr w14:paraId="34E5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03B2D885">
                  <w:pPr>
                    <w:snapToGrid w:val="0"/>
                    <w:jc w:val="center"/>
                    <w:rPr>
                      <w:color w:val="auto"/>
                      <w:szCs w:val="21"/>
                    </w:rPr>
                  </w:pPr>
                </w:p>
              </w:tc>
              <w:tc>
                <w:tcPr>
                  <w:tcW w:w="926" w:type="pct"/>
                  <w:tcBorders>
                    <w:tl2br w:val="nil"/>
                    <w:tr2bl w:val="nil"/>
                  </w:tcBorders>
                  <w:vAlign w:val="center"/>
                </w:tcPr>
                <w:p w14:paraId="7F2911B2">
                  <w:pPr>
                    <w:snapToGrid w:val="0"/>
                    <w:jc w:val="center"/>
                    <w:rPr>
                      <w:color w:val="auto"/>
                      <w:szCs w:val="21"/>
                    </w:rPr>
                  </w:pPr>
                  <w:r>
                    <w:rPr>
                      <w:color w:val="auto"/>
                      <w:szCs w:val="21"/>
                    </w:rPr>
                    <w:t>供电</w:t>
                  </w:r>
                </w:p>
              </w:tc>
              <w:tc>
                <w:tcPr>
                  <w:tcW w:w="3669" w:type="pct"/>
                  <w:tcBorders>
                    <w:tl2br w:val="nil"/>
                    <w:tr2bl w:val="nil"/>
                  </w:tcBorders>
                  <w:vAlign w:val="center"/>
                </w:tcPr>
                <w:p w14:paraId="6598E062">
                  <w:pPr>
                    <w:snapToGrid w:val="0"/>
                    <w:jc w:val="left"/>
                    <w:rPr>
                      <w:color w:val="auto"/>
                      <w:szCs w:val="21"/>
                    </w:rPr>
                  </w:pPr>
                  <w:r>
                    <w:rPr>
                      <w:color w:val="auto"/>
                      <w:szCs w:val="21"/>
                    </w:rPr>
                    <w:t>由当地供电部门供给</w:t>
                  </w:r>
                  <w:r>
                    <w:rPr>
                      <w:rFonts w:hint="eastAsia"/>
                      <w:color w:val="auto"/>
                      <w:szCs w:val="21"/>
                    </w:rPr>
                    <w:t>，能够满足企业生产、生活需求。</w:t>
                  </w:r>
                </w:p>
              </w:tc>
            </w:tr>
            <w:tr w14:paraId="5032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tcBorders>
                    <w:tl2br w:val="nil"/>
                    <w:tr2bl w:val="nil"/>
                  </w:tcBorders>
                  <w:vAlign w:val="center"/>
                </w:tcPr>
                <w:p w14:paraId="50463E68">
                  <w:pPr>
                    <w:snapToGrid w:val="0"/>
                    <w:jc w:val="center"/>
                    <w:rPr>
                      <w:color w:val="auto"/>
                      <w:szCs w:val="21"/>
                    </w:rPr>
                  </w:pPr>
                  <w:r>
                    <w:rPr>
                      <w:color w:val="auto"/>
                      <w:szCs w:val="21"/>
                    </w:rPr>
                    <w:t>环保工程</w:t>
                  </w:r>
                </w:p>
              </w:tc>
              <w:tc>
                <w:tcPr>
                  <w:tcW w:w="926" w:type="pct"/>
                  <w:tcBorders>
                    <w:tl2br w:val="nil"/>
                    <w:tr2bl w:val="nil"/>
                  </w:tcBorders>
                  <w:vAlign w:val="center"/>
                </w:tcPr>
                <w:p w14:paraId="31D5025C">
                  <w:pPr>
                    <w:snapToGrid w:val="0"/>
                    <w:jc w:val="center"/>
                    <w:rPr>
                      <w:color w:val="auto"/>
                      <w:szCs w:val="21"/>
                    </w:rPr>
                  </w:pPr>
                  <w:r>
                    <w:rPr>
                      <w:color w:val="auto"/>
                      <w:szCs w:val="21"/>
                    </w:rPr>
                    <w:t>废水</w:t>
                  </w:r>
                </w:p>
              </w:tc>
              <w:tc>
                <w:tcPr>
                  <w:tcW w:w="3669" w:type="pct"/>
                  <w:tcBorders>
                    <w:tl2br w:val="nil"/>
                    <w:tr2bl w:val="nil"/>
                  </w:tcBorders>
                  <w:vAlign w:val="center"/>
                </w:tcPr>
                <w:p w14:paraId="53C85073">
                  <w:pPr>
                    <w:snapToGrid w:val="0"/>
                    <w:spacing w:line="288" w:lineRule="auto"/>
                    <w:jc w:val="left"/>
                    <w:rPr>
                      <w:color w:val="auto"/>
                      <w:szCs w:val="21"/>
                    </w:rPr>
                  </w:pPr>
                  <w:r>
                    <w:rPr>
                      <w:color w:val="auto"/>
                      <w:szCs w:val="21"/>
                    </w:rPr>
                    <w:t>实行雨污分流制度。</w:t>
                  </w:r>
                </w:p>
                <w:p w14:paraId="46C31B20">
                  <w:pPr>
                    <w:snapToGrid w:val="0"/>
                    <w:spacing w:line="288" w:lineRule="auto"/>
                    <w:jc w:val="left"/>
                    <w:rPr>
                      <w:color w:val="auto"/>
                      <w:szCs w:val="21"/>
                    </w:rPr>
                  </w:pPr>
                  <w:r>
                    <w:rPr>
                      <w:color w:val="auto"/>
                      <w:szCs w:val="21"/>
                    </w:rPr>
                    <w:t>①</w:t>
                  </w:r>
                  <w:r>
                    <w:rPr>
                      <w:rFonts w:hint="eastAsia"/>
                      <w:color w:val="auto"/>
                      <w:szCs w:val="21"/>
                    </w:rPr>
                    <w:t>生活污水：经化粪池预处理后接入市政污水管网。</w:t>
                  </w:r>
                </w:p>
                <w:p w14:paraId="45F4822D">
                  <w:pPr>
                    <w:snapToGrid w:val="0"/>
                    <w:spacing w:line="288" w:lineRule="auto"/>
                    <w:jc w:val="left"/>
                    <w:rPr>
                      <w:color w:val="auto"/>
                      <w:szCs w:val="21"/>
                    </w:rPr>
                  </w:pPr>
                  <w:r>
                    <w:rPr>
                      <w:rFonts w:hint="eastAsia"/>
                      <w:color w:val="auto"/>
                      <w:szCs w:val="21"/>
                    </w:rPr>
                    <w:t>②冷却水循环使用，定期补充，不外排。</w:t>
                  </w:r>
                </w:p>
              </w:tc>
            </w:tr>
            <w:tr w14:paraId="70FB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48DE8B4C">
                  <w:pPr>
                    <w:snapToGrid w:val="0"/>
                    <w:jc w:val="center"/>
                    <w:rPr>
                      <w:color w:val="auto"/>
                      <w:szCs w:val="21"/>
                    </w:rPr>
                  </w:pPr>
                </w:p>
              </w:tc>
              <w:tc>
                <w:tcPr>
                  <w:tcW w:w="926" w:type="pct"/>
                  <w:tcBorders>
                    <w:tl2br w:val="nil"/>
                    <w:tr2bl w:val="nil"/>
                  </w:tcBorders>
                  <w:vAlign w:val="center"/>
                </w:tcPr>
                <w:p w14:paraId="1C92CF08">
                  <w:pPr>
                    <w:snapToGrid w:val="0"/>
                    <w:jc w:val="center"/>
                    <w:rPr>
                      <w:color w:val="auto"/>
                      <w:szCs w:val="21"/>
                    </w:rPr>
                  </w:pPr>
                  <w:r>
                    <w:rPr>
                      <w:color w:val="auto"/>
                      <w:szCs w:val="21"/>
                    </w:rPr>
                    <w:t>废气</w:t>
                  </w:r>
                </w:p>
              </w:tc>
              <w:tc>
                <w:tcPr>
                  <w:tcW w:w="3669" w:type="pct"/>
                  <w:tcBorders>
                    <w:tl2br w:val="nil"/>
                    <w:tr2bl w:val="nil"/>
                  </w:tcBorders>
                  <w:vAlign w:val="center"/>
                </w:tcPr>
                <w:p w14:paraId="471D3960">
                  <w:pPr>
                    <w:snapToGrid w:val="0"/>
                    <w:spacing w:line="288" w:lineRule="auto"/>
                    <w:jc w:val="left"/>
                    <w:rPr>
                      <w:color w:val="auto"/>
                      <w:szCs w:val="21"/>
                    </w:rPr>
                  </w:pPr>
                  <w:r>
                    <w:rPr>
                      <w:color w:val="auto"/>
                      <w:szCs w:val="21"/>
                    </w:rPr>
                    <w:t>①</w:t>
                  </w:r>
                  <w:r>
                    <w:rPr>
                      <w:rFonts w:hint="eastAsia"/>
                      <w:color w:val="auto"/>
                      <w:szCs w:val="21"/>
                    </w:rPr>
                    <w:t>混料</w:t>
                  </w:r>
                  <w:r>
                    <w:rPr>
                      <w:color w:val="auto"/>
                      <w:szCs w:val="21"/>
                    </w:rPr>
                    <w:t>废气：经集气罩收集（集气罩下方设置软帘，形成较密闭空间）后经1套布袋除尘装置处理后通过15m排气筒（DA001）高空排放；</w:t>
                  </w:r>
                </w:p>
                <w:p w14:paraId="472EFF0D">
                  <w:pPr>
                    <w:snapToGrid w:val="0"/>
                    <w:spacing w:line="288" w:lineRule="auto"/>
                    <w:jc w:val="left"/>
                    <w:rPr>
                      <w:color w:val="auto"/>
                      <w:szCs w:val="21"/>
                    </w:rPr>
                  </w:pPr>
                  <w:r>
                    <w:rPr>
                      <w:color w:val="auto"/>
                      <w:szCs w:val="21"/>
                    </w:rPr>
                    <w:t>②</w:t>
                  </w:r>
                  <w:r>
                    <w:rPr>
                      <w:rFonts w:hint="eastAsia"/>
                      <w:color w:val="auto"/>
                      <w:szCs w:val="21"/>
                    </w:rPr>
                    <w:t>挤出废气</w:t>
                  </w:r>
                  <w:r>
                    <w:rPr>
                      <w:color w:val="auto"/>
                      <w:szCs w:val="21"/>
                    </w:rPr>
                    <w:t>：经集气罩收集（集气罩下方设置软帘，形成较密闭空间）后经1套二级活性炭吸附装置处理后通过15m排气筒（DA001）高空排放；</w:t>
                  </w:r>
                </w:p>
              </w:tc>
            </w:tr>
            <w:tr w14:paraId="4419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79A31118">
                  <w:pPr>
                    <w:snapToGrid w:val="0"/>
                    <w:jc w:val="center"/>
                    <w:rPr>
                      <w:color w:val="auto"/>
                      <w:szCs w:val="21"/>
                    </w:rPr>
                  </w:pPr>
                </w:p>
              </w:tc>
              <w:tc>
                <w:tcPr>
                  <w:tcW w:w="926" w:type="pct"/>
                  <w:tcBorders>
                    <w:tl2br w:val="nil"/>
                    <w:tr2bl w:val="nil"/>
                  </w:tcBorders>
                  <w:vAlign w:val="center"/>
                </w:tcPr>
                <w:p w14:paraId="7FD3B057">
                  <w:pPr>
                    <w:snapToGrid w:val="0"/>
                    <w:jc w:val="center"/>
                    <w:rPr>
                      <w:color w:val="auto"/>
                      <w:szCs w:val="21"/>
                    </w:rPr>
                  </w:pPr>
                  <w:r>
                    <w:rPr>
                      <w:color w:val="auto"/>
                      <w:szCs w:val="21"/>
                    </w:rPr>
                    <w:t>固废</w:t>
                  </w:r>
                </w:p>
              </w:tc>
              <w:tc>
                <w:tcPr>
                  <w:tcW w:w="3669" w:type="pct"/>
                  <w:tcBorders>
                    <w:tl2br w:val="nil"/>
                    <w:tr2bl w:val="nil"/>
                  </w:tcBorders>
                  <w:vAlign w:val="center"/>
                </w:tcPr>
                <w:p w14:paraId="7720E5B9">
                  <w:pPr>
                    <w:snapToGrid w:val="0"/>
                    <w:spacing w:line="288" w:lineRule="auto"/>
                    <w:jc w:val="left"/>
                    <w:rPr>
                      <w:rFonts w:hint="eastAsia" w:eastAsia="宋体"/>
                      <w:color w:val="auto"/>
                      <w:szCs w:val="21"/>
                      <w:lang w:eastAsia="zh-CN"/>
                    </w:rPr>
                  </w:pPr>
                  <w:r>
                    <w:rPr>
                      <w:rFonts w:hint="eastAsia"/>
                      <w:color w:val="auto"/>
                      <w:szCs w:val="21"/>
                    </w:rPr>
                    <w:t>收集粉尘回用于生产；</w:t>
                  </w:r>
                  <w:r>
                    <w:rPr>
                      <w:rFonts w:hint="eastAsia"/>
                      <w:color w:val="auto"/>
                      <w:szCs w:val="21"/>
                      <w:lang w:val="en-US" w:eastAsia="zh-CN"/>
                    </w:rPr>
                    <w:t>边角料、不合格品、</w:t>
                  </w:r>
                  <w:r>
                    <w:rPr>
                      <w:rFonts w:hint="eastAsia"/>
                      <w:color w:val="auto"/>
                      <w:szCs w:val="21"/>
                    </w:rPr>
                    <w:t>一般废包装材料出售给回收公司综合利用</w:t>
                  </w:r>
                  <w:r>
                    <w:rPr>
                      <w:color w:val="auto"/>
                      <w:szCs w:val="21"/>
                    </w:rPr>
                    <w:t>；生活垃圾委托环卫部门清运处理</w:t>
                  </w:r>
                  <w:r>
                    <w:rPr>
                      <w:rFonts w:hint="eastAsia"/>
                      <w:color w:val="auto"/>
                      <w:szCs w:val="21"/>
                    </w:rPr>
                    <w:t>；废</w:t>
                  </w:r>
                  <w:r>
                    <w:rPr>
                      <w:rFonts w:hint="eastAsia"/>
                      <w:color w:val="auto"/>
                      <w:szCs w:val="21"/>
                      <w:lang w:val="en-US" w:eastAsia="zh-CN"/>
                    </w:rPr>
                    <w:t>液压油</w:t>
                  </w:r>
                  <w:r>
                    <w:rPr>
                      <w:rFonts w:hint="eastAsia"/>
                      <w:color w:val="auto"/>
                      <w:szCs w:val="21"/>
                    </w:rPr>
                    <w:t>、废包装桶、废活性炭、含油废劳保集中收集后委托有资质单位处置</w:t>
                  </w:r>
                  <w:r>
                    <w:rPr>
                      <w:rFonts w:hint="eastAsia"/>
                      <w:color w:val="auto"/>
                      <w:szCs w:val="21"/>
                      <w:lang w:eastAsia="zh-CN"/>
                    </w:rPr>
                    <w:t>。</w:t>
                  </w:r>
                </w:p>
              </w:tc>
            </w:tr>
            <w:tr w14:paraId="76E8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tcBorders>
                    <w:tl2br w:val="nil"/>
                    <w:tr2bl w:val="nil"/>
                  </w:tcBorders>
                  <w:vAlign w:val="center"/>
                </w:tcPr>
                <w:p w14:paraId="31E388A6">
                  <w:pPr>
                    <w:snapToGrid w:val="0"/>
                    <w:jc w:val="center"/>
                    <w:rPr>
                      <w:color w:val="auto"/>
                      <w:szCs w:val="21"/>
                    </w:rPr>
                  </w:pPr>
                </w:p>
              </w:tc>
              <w:tc>
                <w:tcPr>
                  <w:tcW w:w="926" w:type="pct"/>
                  <w:tcBorders>
                    <w:tl2br w:val="nil"/>
                    <w:tr2bl w:val="nil"/>
                  </w:tcBorders>
                  <w:vAlign w:val="center"/>
                </w:tcPr>
                <w:p w14:paraId="00FE2811">
                  <w:pPr>
                    <w:snapToGrid w:val="0"/>
                    <w:jc w:val="center"/>
                    <w:rPr>
                      <w:color w:val="auto"/>
                      <w:szCs w:val="21"/>
                    </w:rPr>
                  </w:pPr>
                  <w:r>
                    <w:rPr>
                      <w:color w:val="auto"/>
                      <w:szCs w:val="21"/>
                    </w:rPr>
                    <w:t>噪声</w:t>
                  </w:r>
                </w:p>
              </w:tc>
              <w:tc>
                <w:tcPr>
                  <w:tcW w:w="3669" w:type="pct"/>
                  <w:tcBorders>
                    <w:tl2br w:val="nil"/>
                    <w:tr2bl w:val="nil"/>
                  </w:tcBorders>
                  <w:vAlign w:val="center"/>
                </w:tcPr>
                <w:p w14:paraId="3153CCE6">
                  <w:pPr>
                    <w:snapToGrid w:val="0"/>
                    <w:jc w:val="left"/>
                    <w:rPr>
                      <w:color w:val="auto"/>
                      <w:szCs w:val="21"/>
                    </w:rPr>
                  </w:pPr>
                  <w:r>
                    <w:rPr>
                      <w:rFonts w:hint="eastAsia"/>
                      <w:color w:val="auto"/>
                    </w:rPr>
                    <w:t>高噪设备加设减振垫，生产时关闭门窗；加强设备养护和保养等措施等</w:t>
                  </w:r>
                </w:p>
              </w:tc>
            </w:tr>
            <w:tr w14:paraId="0E8F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0" w:type="pct"/>
                  <w:gridSpan w:val="2"/>
                  <w:tcBorders>
                    <w:tl2br w:val="nil"/>
                    <w:tr2bl w:val="nil"/>
                  </w:tcBorders>
                  <w:vAlign w:val="center"/>
                </w:tcPr>
                <w:p w14:paraId="3D427D88">
                  <w:pPr>
                    <w:snapToGrid w:val="0"/>
                    <w:jc w:val="center"/>
                    <w:rPr>
                      <w:rFonts w:hint="default" w:eastAsia="宋体"/>
                      <w:color w:val="auto"/>
                      <w:szCs w:val="21"/>
                      <w:lang w:val="en-US" w:eastAsia="zh-CN"/>
                    </w:rPr>
                  </w:pPr>
                  <w:r>
                    <w:rPr>
                      <w:rFonts w:hint="eastAsia"/>
                      <w:color w:val="auto"/>
                      <w:szCs w:val="21"/>
                      <w:lang w:val="en-US" w:eastAsia="zh-CN"/>
                    </w:rPr>
                    <w:t>依托工程</w:t>
                  </w:r>
                </w:p>
              </w:tc>
              <w:tc>
                <w:tcPr>
                  <w:tcW w:w="3669" w:type="pct"/>
                  <w:tcBorders>
                    <w:tl2br w:val="nil"/>
                    <w:tr2bl w:val="nil"/>
                  </w:tcBorders>
                  <w:vAlign w:val="center"/>
                </w:tcPr>
                <w:p w14:paraId="1E8760C3">
                  <w:pPr>
                    <w:snapToGrid w:val="0"/>
                    <w:jc w:val="left"/>
                    <w:rPr>
                      <w:rFonts w:hint="eastAsia"/>
                      <w:color w:val="auto"/>
                    </w:rPr>
                  </w:pPr>
                  <w:r>
                    <w:rPr>
                      <w:rFonts w:hint="eastAsia"/>
                      <w:color w:val="auto"/>
                      <w:szCs w:val="21"/>
                      <w:lang w:val="en-US" w:eastAsia="zh-CN"/>
                    </w:rPr>
                    <w:t>生活污水经化粪池预处理后依托城镇污水处理厂。</w:t>
                  </w:r>
                </w:p>
              </w:tc>
            </w:tr>
          </w:tbl>
          <w:p w14:paraId="4ADC99D8">
            <w:pPr>
              <w:numPr>
                <w:ilvl w:val="0"/>
                <w:numId w:val="16"/>
              </w:numPr>
              <w:tabs>
                <w:tab w:val="left" w:pos="142"/>
                <w:tab w:val="left" w:pos="993"/>
              </w:tabs>
              <w:adjustRightInd w:val="0"/>
              <w:spacing w:line="360" w:lineRule="auto"/>
              <w:rPr>
                <w:b/>
                <w:color w:val="auto"/>
                <w:sz w:val="24"/>
              </w:rPr>
            </w:pPr>
            <w:r>
              <w:rPr>
                <w:rFonts w:hint="eastAsia"/>
                <w:b/>
                <w:color w:val="auto"/>
                <w:sz w:val="24"/>
              </w:rPr>
              <w:t>产品方案</w:t>
            </w:r>
          </w:p>
          <w:p w14:paraId="0C06C452">
            <w:pPr>
              <w:widowControl/>
              <w:numPr>
                <w:ilvl w:val="0"/>
                <w:numId w:val="17"/>
              </w:numPr>
              <w:spacing w:line="440" w:lineRule="exact"/>
              <w:jc w:val="center"/>
              <w:rPr>
                <w:b/>
                <w:bCs/>
                <w:color w:val="auto"/>
                <w:kern w:val="0"/>
                <w:sz w:val="24"/>
              </w:rPr>
            </w:pPr>
            <w:r>
              <w:rPr>
                <w:b/>
                <w:bCs/>
                <w:color w:val="auto"/>
                <w:kern w:val="0"/>
                <w:sz w:val="24"/>
              </w:rPr>
              <w:t>项目产品方案一览表</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2"/>
              <w:gridCol w:w="1175"/>
              <w:gridCol w:w="2851"/>
              <w:gridCol w:w="3089"/>
            </w:tblGrid>
            <w:tr w14:paraId="1777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tcBorders>
                    <w:tl2br w:val="nil"/>
                    <w:tr2bl w:val="nil"/>
                  </w:tcBorders>
                  <w:vAlign w:val="center"/>
                </w:tcPr>
                <w:p w14:paraId="7AA630E3">
                  <w:pPr>
                    <w:snapToGrid w:val="0"/>
                    <w:jc w:val="center"/>
                    <w:rPr>
                      <w:b w:val="0"/>
                      <w:bCs w:val="0"/>
                      <w:color w:val="auto"/>
                      <w:kern w:val="0"/>
                      <w:szCs w:val="21"/>
                      <w:lang w:val="zh-CN"/>
                    </w:rPr>
                  </w:pPr>
                  <w:r>
                    <w:rPr>
                      <w:b w:val="0"/>
                      <w:bCs w:val="0"/>
                      <w:color w:val="auto"/>
                      <w:kern w:val="0"/>
                      <w:szCs w:val="21"/>
                      <w:lang w:val="zh-CN"/>
                    </w:rPr>
                    <w:t>产品名称</w:t>
                  </w:r>
                </w:p>
              </w:tc>
              <w:tc>
                <w:tcPr>
                  <w:tcW w:w="702" w:type="pct"/>
                  <w:tcBorders>
                    <w:tl2br w:val="nil"/>
                    <w:tr2bl w:val="nil"/>
                  </w:tcBorders>
                  <w:vAlign w:val="center"/>
                </w:tcPr>
                <w:p w14:paraId="54AE7005">
                  <w:pPr>
                    <w:snapToGrid w:val="0"/>
                    <w:jc w:val="center"/>
                    <w:rPr>
                      <w:b w:val="0"/>
                      <w:bCs w:val="0"/>
                      <w:color w:val="auto"/>
                      <w:kern w:val="0"/>
                      <w:szCs w:val="21"/>
                    </w:rPr>
                  </w:pPr>
                  <w:r>
                    <w:rPr>
                      <w:rFonts w:hint="eastAsia"/>
                      <w:b w:val="0"/>
                      <w:bCs w:val="0"/>
                      <w:color w:val="auto"/>
                      <w:kern w:val="0"/>
                      <w:szCs w:val="21"/>
                    </w:rPr>
                    <w:t>年产量</w:t>
                  </w:r>
                </w:p>
              </w:tc>
              <w:tc>
                <w:tcPr>
                  <w:tcW w:w="1704" w:type="pct"/>
                  <w:tcBorders>
                    <w:tl2br w:val="nil"/>
                    <w:tr2bl w:val="nil"/>
                  </w:tcBorders>
                  <w:vAlign w:val="center"/>
                </w:tcPr>
                <w:p w14:paraId="430C5DE3">
                  <w:pPr>
                    <w:widowControl/>
                    <w:jc w:val="center"/>
                    <w:textAlignment w:val="center"/>
                    <w:rPr>
                      <w:b w:val="0"/>
                      <w:bCs w:val="0"/>
                      <w:color w:val="auto"/>
                      <w:kern w:val="0"/>
                      <w:szCs w:val="21"/>
                    </w:rPr>
                  </w:pPr>
                  <w:r>
                    <w:rPr>
                      <w:rFonts w:hint="eastAsia"/>
                      <w:b w:val="0"/>
                      <w:bCs w:val="0"/>
                      <w:color w:val="auto"/>
                      <w:kern w:val="0"/>
                      <w:szCs w:val="21"/>
                    </w:rPr>
                    <w:t>规格型号</w:t>
                  </w:r>
                </w:p>
              </w:tc>
              <w:tc>
                <w:tcPr>
                  <w:tcW w:w="1844" w:type="pct"/>
                  <w:tcBorders>
                    <w:tl2br w:val="nil"/>
                    <w:tr2bl w:val="nil"/>
                  </w:tcBorders>
                  <w:vAlign w:val="center"/>
                </w:tcPr>
                <w:p w14:paraId="4C7AA0C9">
                  <w:pPr>
                    <w:snapToGrid w:val="0"/>
                    <w:jc w:val="center"/>
                    <w:rPr>
                      <w:b w:val="0"/>
                      <w:bCs w:val="0"/>
                      <w:color w:val="auto"/>
                      <w:kern w:val="0"/>
                      <w:szCs w:val="21"/>
                    </w:rPr>
                  </w:pPr>
                  <w:r>
                    <w:rPr>
                      <w:rFonts w:hint="eastAsia"/>
                      <w:b w:val="0"/>
                      <w:bCs w:val="0"/>
                      <w:color w:val="auto"/>
                      <w:kern w:val="0"/>
                      <w:szCs w:val="21"/>
                    </w:rPr>
                    <w:t>备注</w:t>
                  </w:r>
                </w:p>
              </w:tc>
            </w:tr>
            <w:tr w14:paraId="0B35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tcBorders>
                    <w:tl2br w:val="nil"/>
                    <w:tr2bl w:val="nil"/>
                  </w:tcBorders>
                  <w:vAlign w:val="center"/>
                </w:tcPr>
                <w:p w14:paraId="4EEA82A1">
                  <w:pPr>
                    <w:snapToGrid w:val="0"/>
                    <w:jc w:val="center"/>
                    <w:rPr>
                      <w:color w:val="auto"/>
                      <w:kern w:val="0"/>
                      <w:szCs w:val="21"/>
                    </w:rPr>
                  </w:pPr>
                  <w:r>
                    <w:rPr>
                      <w:rFonts w:hint="eastAsia"/>
                      <w:color w:val="auto"/>
                      <w:kern w:val="0"/>
                      <w:szCs w:val="21"/>
                    </w:rPr>
                    <w:t>木塑门</w:t>
                  </w:r>
                </w:p>
              </w:tc>
              <w:tc>
                <w:tcPr>
                  <w:tcW w:w="702" w:type="pct"/>
                  <w:tcBorders>
                    <w:tl2br w:val="nil"/>
                    <w:tr2bl w:val="nil"/>
                  </w:tcBorders>
                  <w:vAlign w:val="center"/>
                </w:tcPr>
                <w:p w14:paraId="15A22E7C">
                  <w:pPr>
                    <w:snapToGrid w:val="0"/>
                    <w:jc w:val="center"/>
                    <w:rPr>
                      <w:color w:val="auto"/>
                      <w:kern w:val="0"/>
                      <w:szCs w:val="21"/>
                    </w:rPr>
                  </w:pPr>
                  <w:r>
                    <w:rPr>
                      <w:rFonts w:hint="eastAsia"/>
                      <w:color w:val="auto"/>
                      <w:kern w:val="0"/>
                      <w:szCs w:val="21"/>
                      <w:lang w:val="en-US" w:eastAsia="zh-CN"/>
                    </w:rPr>
                    <w:t>10</w:t>
                  </w:r>
                  <w:r>
                    <w:rPr>
                      <w:rFonts w:hint="eastAsia"/>
                      <w:color w:val="auto"/>
                      <w:kern w:val="0"/>
                      <w:szCs w:val="21"/>
                    </w:rPr>
                    <w:t>万套</w:t>
                  </w:r>
                </w:p>
              </w:tc>
              <w:tc>
                <w:tcPr>
                  <w:tcW w:w="1704" w:type="pct"/>
                  <w:tcBorders>
                    <w:tl2br w:val="nil"/>
                    <w:tr2bl w:val="nil"/>
                  </w:tcBorders>
                  <w:vAlign w:val="center"/>
                </w:tcPr>
                <w:p w14:paraId="09DE1647">
                  <w:pPr>
                    <w:widowControl/>
                    <w:jc w:val="center"/>
                    <w:textAlignment w:val="center"/>
                    <w:rPr>
                      <w:color w:val="auto"/>
                      <w:kern w:val="0"/>
                      <w:szCs w:val="21"/>
                    </w:rPr>
                  </w:pPr>
                  <w:r>
                    <w:rPr>
                      <w:rFonts w:hint="eastAsia"/>
                      <w:color w:val="auto"/>
                      <w:kern w:val="0"/>
                      <w:szCs w:val="21"/>
                      <w:lang w:bidi="ar"/>
                    </w:rPr>
                    <w:t>2150×880×45mm</w:t>
                  </w:r>
                </w:p>
              </w:tc>
              <w:tc>
                <w:tcPr>
                  <w:tcW w:w="1844" w:type="pct"/>
                  <w:tcBorders>
                    <w:tl2br w:val="nil"/>
                    <w:tr2bl w:val="nil"/>
                  </w:tcBorders>
                  <w:vAlign w:val="center"/>
                </w:tcPr>
                <w:p w14:paraId="2809635B">
                  <w:pPr>
                    <w:snapToGrid w:val="0"/>
                    <w:jc w:val="center"/>
                    <w:rPr>
                      <w:color w:val="auto"/>
                      <w:kern w:val="0"/>
                      <w:szCs w:val="21"/>
                    </w:rPr>
                  </w:pPr>
                  <w:r>
                    <w:rPr>
                      <w:rFonts w:hint="eastAsia"/>
                      <w:color w:val="auto"/>
                      <w:kern w:val="0"/>
                      <w:szCs w:val="21"/>
                      <w:lang w:val="en-US" w:eastAsia="zh-CN"/>
                    </w:rPr>
                    <w:t>55</w:t>
                  </w:r>
                  <w:r>
                    <w:rPr>
                      <w:rFonts w:hint="eastAsia"/>
                      <w:color w:val="auto"/>
                      <w:kern w:val="0"/>
                      <w:szCs w:val="21"/>
                    </w:rPr>
                    <w:t>kg/套</w:t>
                  </w:r>
                </w:p>
              </w:tc>
            </w:tr>
            <w:tr w14:paraId="561A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tcBorders>
                    <w:tl2br w:val="nil"/>
                    <w:tr2bl w:val="nil"/>
                  </w:tcBorders>
                  <w:vAlign w:val="center"/>
                </w:tcPr>
                <w:p w14:paraId="4E104130">
                  <w:pPr>
                    <w:snapToGrid w:val="0"/>
                    <w:jc w:val="center"/>
                    <w:rPr>
                      <w:rFonts w:hint="eastAsia"/>
                      <w:color w:val="auto"/>
                      <w:kern w:val="0"/>
                      <w:szCs w:val="21"/>
                    </w:rPr>
                  </w:pPr>
                  <w:r>
                    <w:rPr>
                      <w:rFonts w:hint="eastAsia"/>
                      <w:color w:val="auto"/>
                      <w:kern w:val="0"/>
                      <w:szCs w:val="21"/>
                    </w:rPr>
                    <w:t>木塑线条</w:t>
                  </w:r>
                </w:p>
                <w:p w14:paraId="1C4D347F">
                  <w:pPr>
                    <w:snapToGrid w:val="0"/>
                    <w:jc w:val="center"/>
                    <w:rPr>
                      <w:rFonts w:hint="eastAsia" w:eastAsia="宋体"/>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含门套</w:t>
                  </w:r>
                  <w:r>
                    <w:rPr>
                      <w:rFonts w:hint="eastAsia"/>
                      <w:color w:val="auto"/>
                      <w:kern w:val="0"/>
                      <w:szCs w:val="21"/>
                      <w:lang w:eastAsia="zh-CN"/>
                    </w:rPr>
                    <w:t>）</w:t>
                  </w:r>
                </w:p>
              </w:tc>
              <w:tc>
                <w:tcPr>
                  <w:tcW w:w="702" w:type="pct"/>
                  <w:tcBorders>
                    <w:tl2br w:val="nil"/>
                    <w:tr2bl w:val="nil"/>
                  </w:tcBorders>
                  <w:vAlign w:val="center"/>
                </w:tcPr>
                <w:p w14:paraId="58E3B411">
                  <w:pPr>
                    <w:snapToGrid w:val="0"/>
                    <w:jc w:val="center"/>
                    <w:rPr>
                      <w:color w:val="auto"/>
                      <w:kern w:val="0"/>
                      <w:szCs w:val="21"/>
                    </w:rPr>
                  </w:pPr>
                  <w:r>
                    <w:rPr>
                      <w:rFonts w:hint="eastAsia"/>
                      <w:color w:val="auto"/>
                      <w:kern w:val="0"/>
                      <w:szCs w:val="21"/>
                      <w:lang w:val="en-US" w:eastAsia="zh-CN"/>
                    </w:rPr>
                    <w:t>200</w:t>
                  </w:r>
                  <w:r>
                    <w:rPr>
                      <w:rFonts w:hint="eastAsia"/>
                      <w:color w:val="auto"/>
                      <w:kern w:val="0"/>
                      <w:szCs w:val="21"/>
                    </w:rPr>
                    <w:t>万米</w:t>
                  </w:r>
                </w:p>
              </w:tc>
              <w:tc>
                <w:tcPr>
                  <w:tcW w:w="1704" w:type="pct"/>
                  <w:tcBorders>
                    <w:tl2br w:val="nil"/>
                    <w:tr2bl w:val="nil"/>
                  </w:tcBorders>
                  <w:vAlign w:val="center"/>
                </w:tcPr>
                <w:p w14:paraId="327FD867">
                  <w:pPr>
                    <w:widowControl/>
                    <w:jc w:val="center"/>
                    <w:textAlignment w:val="center"/>
                    <w:rPr>
                      <w:color w:val="auto"/>
                      <w:kern w:val="0"/>
                      <w:szCs w:val="21"/>
                      <w:lang w:bidi="ar"/>
                    </w:rPr>
                  </w:pPr>
                  <w:r>
                    <w:rPr>
                      <w:rFonts w:hint="eastAsia"/>
                      <w:color w:val="auto"/>
                      <w:kern w:val="0"/>
                      <w:szCs w:val="21"/>
                      <w:lang w:bidi="ar"/>
                    </w:rPr>
                    <w:t>宽度20cm</w:t>
                  </w:r>
                  <w:r>
                    <w:rPr>
                      <w:rFonts w:hint="eastAsia"/>
                      <w:color w:val="auto"/>
                      <w:kern w:val="0"/>
                      <w:szCs w:val="21"/>
                      <w:lang w:eastAsia="zh-CN" w:bidi="ar"/>
                    </w:rPr>
                    <w:t>，</w:t>
                  </w:r>
                  <w:r>
                    <w:rPr>
                      <w:rFonts w:hint="eastAsia"/>
                      <w:color w:val="auto"/>
                      <w:kern w:val="0"/>
                      <w:szCs w:val="21"/>
                      <w:lang w:bidi="ar"/>
                    </w:rPr>
                    <w:t>厚度约3cm</w:t>
                  </w:r>
                </w:p>
              </w:tc>
              <w:tc>
                <w:tcPr>
                  <w:tcW w:w="1844" w:type="pct"/>
                  <w:tcBorders>
                    <w:tl2br w:val="nil"/>
                    <w:tr2bl w:val="nil"/>
                  </w:tcBorders>
                  <w:vAlign w:val="center"/>
                </w:tcPr>
                <w:p w14:paraId="6D9DB44B">
                  <w:pPr>
                    <w:snapToGrid w:val="0"/>
                    <w:jc w:val="center"/>
                    <w:rPr>
                      <w:color w:val="auto"/>
                      <w:kern w:val="0"/>
                      <w:szCs w:val="21"/>
                      <w:lang w:bidi="ar"/>
                    </w:rPr>
                  </w:pPr>
                  <w:r>
                    <w:rPr>
                      <w:rFonts w:hint="eastAsia"/>
                      <w:color w:val="auto"/>
                      <w:kern w:val="0"/>
                      <w:szCs w:val="21"/>
                      <w:lang w:bidi="ar"/>
                    </w:rPr>
                    <w:t>500g/m</w:t>
                  </w:r>
                </w:p>
              </w:tc>
            </w:tr>
            <w:tr w14:paraId="6014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4"/>
                  <w:tcBorders>
                    <w:tl2br w:val="nil"/>
                    <w:tr2bl w:val="nil"/>
                  </w:tcBorders>
                  <w:vAlign w:val="center"/>
                </w:tcPr>
                <w:p w14:paraId="530774AF">
                  <w:pPr>
                    <w:snapToGrid w:val="0"/>
                    <w:jc w:val="left"/>
                    <w:rPr>
                      <w:rFonts w:hint="default" w:eastAsia="宋体"/>
                      <w:color w:val="auto"/>
                      <w:kern w:val="0"/>
                      <w:szCs w:val="21"/>
                      <w:lang w:val="en-US" w:eastAsia="zh-CN"/>
                    </w:rPr>
                  </w:pPr>
                  <w:r>
                    <w:rPr>
                      <w:rFonts w:hint="eastAsia"/>
                      <w:color w:val="auto"/>
                      <w:kern w:val="0"/>
                      <w:szCs w:val="21"/>
                    </w:rPr>
                    <w:t>注：本项目木塑门产量为</w:t>
                  </w:r>
                  <w:r>
                    <w:rPr>
                      <w:rFonts w:hint="eastAsia"/>
                      <w:color w:val="auto"/>
                      <w:kern w:val="0"/>
                      <w:szCs w:val="21"/>
                      <w:lang w:val="en-US" w:eastAsia="zh-CN"/>
                    </w:rPr>
                    <w:t>5500</w:t>
                  </w:r>
                  <w:r>
                    <w:rPr>
                      <w:rFonts w:hint="eastAsia"/>
                      <w:color w:val="auto"/>
                      <w:kern w:val="0"/>
                      <w:szCs w:val="21"/>
                    </w:rPr>
                    <w:t>t/a，木塑线条产量为</w:t>
                  </w:r>
                  <w:r>
                    <w:rPr>
                      <w:rFonts w:hint="eastAsia"/>
                      <w:color w:val="auto"/>
                      <w:kern w:val="0"/>
                      <w:szCs w:val="21"/>
                      <w:lang w:val="en-US" w:eastAsia="zh-CN"/>
                    </w:rPr>
                    <w:t>1000</w:t>
                  </w:r>
                  <w:r>
                    <w:rPr>
                      <w:rFonts w:hint="eastAsia"/>
                      <w:color w:val="auto"/>
                      <w:kern w:val="0"/>
                      <w:szCs w:val="21"/>
                    </w:rPr>
                    <w:t>t/a。</w:t>
                  </w:r>
                  <w:r>
                    <w:rPr>
                      <w:rFonts w:hint="eastAsia"/>
                      <w:color w:val="auto"/>
                      <w:kern w:val="0"/>
                      <w:szCs w:val="21"/>
                      <w:lang w:val="en-US" w:eastAsia="zh-CN"/>
                    </w:rPr>
                    <w:t>本项目木塑门及木塑线条内部为空心。</w:t>
                  </w:r>
                </w:p>
              </w:tc>
            </w:tr>
          </w:tbl>
          <w:p w14:paraId="03B582A4">
            <w:pPr>
              <w:numPr>
                <w:ilvl w:val="0"/>
                <w:numId w:val="16"/>
              </w:numPr>
              <w:tabs>
                <w:tab w:val="left" w:pos="142"/>
                <w:tab w:val="left" w:pos="993"/>
              </w:tabs>
              <w:adjustRightInd w:val="0"/>
              <w:spacing w:line="360" w:lineRule="auto"/>
              <w:rPr>
                <w:b/>
                <w:color w:val="auto"/>
                <w:sz w:val="24"/>
              </w:rPr>
            </w:pPr>
            <w:r>
              <w:rPr>
                <w:b/>
                <w:color w:val="auto"/>
                <w:sz w:val="24"/>
              </w:rPr>
              <w:t>主要生产设施</w:t>
            </w:r>
          </w:p>
          <w:p w14:paraId="6561707E">
            <w:pPr>
              <w:widowControl/>
              <w:numPr>
                <w:ilvl w:val="0"/>
                <w:numId w:val="17"/>
              </w:numPr>
              <w:spacing w:line="440" w:lineRule="exact"/>
              <w:jc w:val="center"/>
              <w:rPr>
                <w:b/>
                <w:bCs/>
                <w:color w:val="auto"/>
                <w:kern w:val="0"/>
                <w:sz w:val="24"/>
              </w:rPr>
            </w:pPr>
            <w:r>
              <w:rPr>
                <w:b/>
                <w:bCs/>
                <w:color w:val="auto"/>
                <w:kern w:val="0"/>
                <w:sz w:val="24"/>
              </w:rPr>
              <w:t>项目主要生产设备清单</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818"/>
              <w:gridCol w:w="2087"/>
              <w:gridCol w:w="1646"/>
              <w:gridCol w:w="2115"/>
            </w:tblGrid>
            <w:tr w14:paraId="3E90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18" w:type="pct"/>
                  <w:tcBorders>
                    <w:tl2br w:val="nil"/>
                    <w:tr2bl w:val="nil"/>
                  </w:tcBorders>
                  <w:vAlign w:val="center"/>
                </w:tcPr>
                <w:p w14:paraId="66258456">
                  <w:pPr>
                    <w:jc w:val="center"/>
                    <w:rPr>
                      <w:b w:val="0"/>
                      <w:bCs w:val="0"/>
                      <w:color w:val="auto"/>
                      <w:szCs w:val="21"/>
                    </w:rPr>
                  </w:pPr>
                  <w:r>
                    <w:rPr>
                      <w:b w:val="0"/>
                      <w:bCs w:val="0"/>
                      <w:color w:val="auto"/>
                      <w:szCs w:val="21"/>
                    </w:rPr>
                    <w:t>序号</w:t>
                  </w:r>
                </w:p>
              </w:tc>
              <w:tc>
                <w:tcPr>
                  <w:tcW w:w="1086" w:type="pct"/>
                  <w:tcBorders>
                    <w:tl2br w:val="nil"/>
                    <w:tr2bl w:val="nil"/>
                  </w:tcBorders>
                  <w:vAlign w:val="center"/>
                </w:tcPr>
                <w:p w14:paraId="4852CD07">
                  <w:pPr>
                    <w:jc w:val="center"/>
                    <w:rPr>
                      <w:b w:val="0"/>
                      <w:bCs w:val="0"/>
                      <w:color w:val="auto"/>
                      <w:szCs w:val="21"/>
                    </w:rPr>
                  </w:pPr>
                  <w:r>
                    <w:rPr>
                      <w:b w:val="0"/>
                      <w:bCs w:val="0"/>
                      <w:color w:val="auto"/>
                      <w:szCs w:val="21"/>
                    </w:rPr>
                    <w:t>设备名称</w:t>
                  </w:r>
                </w:p>
              </w:tc>
              <w:tc>
                <w:tcPr>
                  <w:tcW w:w="1247" w:type="pct"/>
                  <w:tcBorders>
                    <w:tl2br w:val="nil"/>
                    <w:tr2bl w:val="nil"/>
                  </w:tcBorders>
                  <w:vAlign w:val="center"/>
                </w:tcPr>
                <w:p w14:paraId="2B907410">
                  <w:pPr>
                    <w:jc w:val="center"/>
                    <w:rPr>
                      <w:b w:val="0"/>
                      <w:bCs w:val="0"/>
                      <w:color w:val="auto"/>
                      <w:szCs w:val="21"/>
                    </w:rPr>
                  </w:pPr>
                  <w:r>
                    <w:rPr>
                      <w:b w:val="0"/>
                      <w:bCs w:val="0"/>
                      <w:color w:val="auto"/>
                      <w:szCs w:val="21"/>
                    </w:rPr>
                    <w:t>型号/规格</w:t>
                  </w:r>
                </w:p>
              </w:tc>
              <w:tc>
                <w:tcPr>
                  <w:tcW w:w="983" w:type="pct"/>
                  <w:tcBorders>
                    <w:tl2br w:val="nil"/>
                    <w:tr2bl w:val="nil"/>
                  </w:tcBorders>
                  <w:vAlign w:val="center"/>
                </w:tcPr>
                <w:p w14:paraId="5FC16094">
                  <w:pPr>
                    <w:jc w:val="center"/>
                    <w:rPr>
                      <w:b w:val="0"/>
                      <w:bCs w:val="0"/>
                      <w:color w:val="auto"/>
                      <w:szCs w:val="21"/>
                    </w:rPr>
                  </w:pPr>
                  <w:r>
                    <w:rPr>
                      <w:b w:val="0"/>
                      <w:bCs w:val="0"/>
                      <w:color w:val="auto"/>
                      <w:szCs w:val="21"/>
                    </w:rPr>
                    <w:t>数量（台/套）</w:t>
                  </w:r>
                </w:p>
              </w:tc>
              <w:tc>
                <w:tcPr>
                  <w:tcW w:w="1263" w:type="pct"/>
                  <w:tcBorders>
                    <w:tl2br w:val="nil"/>
                    <w:tr2bl w:val="nil"/>
                  </w:tcBorders>
                  <w:vAlign w:val="center"/>
                </w:tcPr>
                <w:p w14:paraId="18A2F4A5">
                  <w:pPr>
                    <w:jc w:val="center"/>
                    <w:rPr>
                      <w:b w:val="0"/>
                      <w:bCs w:val="0"/>
                      <w:color w:val="auto"/>
                      <w:szCs w:val="21"/>
                    </w:rPr>
                  </w:pPr>
                  <w:r>
                    <w:rPr>
                      <w:rFonts w:hint="eastAsia"/>
                      <w:b w:val="0"/>
                      <w:bCs w:val="0"/>
                      <w:color w:val="auto"/>
                      <w:szCs w:val="21"/>
                    </w:rPr>
                    <w:t>主要工艺/生产单元</w:t>
                  </w:r>
                </w:p>
              </w:tc>
            </w:tr>
            <w:tr w14:paraId="3833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3A3ACD8D">
                  <w:pPr>
                    <w:widowControl/>
                    <w:jc w:val="center"/>
                    <w:textAlignment w:val="center"/>
                    <w:rPr>
                      <w:color w:val="auto"/>
                      <w:kern w:val="0"/>
                      <w:szCs w:val="21"/>
                      <w:lang w:bidi="ar"/>
                    </w:rPr>
                  </w:pPr>
                  <w:r>
                    <w:rPr>
                      <w:color w:val="auto"/>
                      <w:kern w:val="0"/>
                      <w:szCs w:val="21"/>
                      <w:lang w:bidi="ar"/>
                    </w:rPr>
                    <w:t>1</w:t>
                  </w:r>
                </w:p>
              </w:tc>
              <w:tc>
                <w:tcPr>
                  <w:tcW w:w="1086" w:type="pct"/>
                  <w:tcBorders>
                    <w:tl2br w:val="nil"/>
                    <w:tr2bl w:val="nil"/>
                  </w:tcBorders>
                  <w:vAlign w:val="center"/>
                </w:tcPr>
                <w:p w14:paraId="7CEC5CE8">
                  <w:pPr>
                    <w:widowControl/>
                    <w:jc w:val="center"/>
                    <w:textAlignment w:val="center"/>
                    <w:rPr>
                      <w:color w:val="auto"/>
                      <w:kern w:val="0"/>
                      <w:szCs w:val="21"/>
                      <w:lang w:bidi="ar"/>
                    </w:rPr>
                  </w:pPr>
                  <w:r>
                    <w:rPr>
                      <w:rFonts w:hint="eastAsia"/>
                      <w:color w:val="auto"/>
                      <w:kern w:val="0"/>
                      <w:szCs w:val="21"/>
                      <w:lang w:bidi="ar"/>
                    </w:rPr>
                    <w:t>混料机</w:t>
                  </w:r>
                </w:p>
              </w:tc>
              <w:tc>
                <w:tcPr>
                  <w:tcW w:w="1247" w:type="pct"/>
                  <w:tcBorders>
                    <w:tl2br w:val="nil"/>
                    <w:tr2bl w:val="nil"/>
                  </w:tcBorders>
                  <w:vAlign w:val="center"/>
                </w:tcPr>
                <w:p w14:paraId="12B52373">
                  <w:pPr>
                    <w:widowControl/>
                    <w:jc w:val="center"/>
                    <w:textAlignment w:val="center"/>
                    <w:rPr>
                      <w:color w:val="auto"/>
                      <w:kern w:val="0"/>
                      <w:szCs w:val="21"/>
                      <w:lang w:bidi="ar"/>
                    </w:rPr>
                  </w:pPr>
                  <w:r>
                    <w:rPr>
                      <w:rFonts w:hint="eastAsia"/>
                      <w:color w:val="auto"/>
                      <w:kern w:val="0"/>
                      <w:szCs w:val="21"/>
                      <w:lang w:bidi="ar"/>
                    </w:rPr>
                    <w:t>800型</w:t>
                  </w:r>
                </w:p>
              </w:tc>
              <w:tc>
                <w:tcPr>
                  <w:tcW w:w="983" w:type="pct"/>
                  <w:tcBorders>
                    <w:tl2br w:val="nil"/>
                    <w:tr2bl w:val="nil"/>
                  </w:tcBorders>
                  <w:vAlign w:val="center"/>
                </w:tcPr>
                <w:p w14:paraId="4A1DAD4C">
                  <w:pPr>
                    <w:widowControl/>
                    <w:jc w:val="center"/>
                    <w:textAlignment w:val="center"/>
                    <w:rPr>
                      <w:rFonts w:hint="eastAsia" w:eastAsia="宋体"/>
                      <w:color w:val="auto"/>
                      <w:kern w:val="0"/>
                      <w:szCs w:val="21"/>
                      <w:lang w:eastAsia="zh-CN" w:bidi="ar"/>
                    </w:rPr>
                  </w:pPr>
                  <w:r>
                    <w:rPr>
                      <w:rFonts w:hint="eastAsia"/>
                      <w:color w:val="auto"/>
                      <w:kern w:val="0"/>
                      <w:szCs w:val="21"/>
                      <w:lang w:val="en-US" w:eastAsia="zh-CN" w:bidi="ar"/>
                    </w:rPr>
                    <w:t>1</w:t>
                  </w:r>
                </w:p>
              </w:tc>
              <w:tc>
                <w:tcPr>
                  <w:tcW w:w="1263" w:type="pct"/>
                  <w:tcBorders>
                    <w:tl2br w:val="nil"/>
                    <w:tr2bl w:val="nil"/>
                  </w:tcBorders>
                  <w:vAlign w:val="center"/>
                </w:tcPr>
                <w:p w14:paraId="6F8E1120">
                  <w:pPr>
                    <w:widowControl/>
                    <w:jc w:val="center"/>
                    <w:textAlignment w:val="center"/>
                    <w:rPr>
                      <w:color w:val="auto"/>
                      <w:kern w:val="0"/>
                      <w:szCs w:val="21"/>
                      <w:lang w:bidi="ar"/>
                    </w:rPr>
                  </w:pPr>
                  <w:r>
                    <w:rPr>
                      <w:rFonts w:hint="eastAsia"/>
                      <w:color w:val="auto"/>
                      <w:kern w:val="0"/>
                      <w:szCs w:val="21"/>
                      <w:lang w:bidi="ar"/>
                    </w:rPr>
                    <w:t>混料</w:t>
                  </w:r>
                </w:p>
              </w:tc>
            </w:tr>
            <w:tr w14:paraId="609B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0C87C01E">
                  <w:pPr>
                    <w:widowControl/>
                    <w:jc w:val="center"/>
                    <w:textAlignment w:val="center"/>
                    <w:rPr>
                      <w:color w:val="auto"/>
                      <w:kern w:val="0"/>
                      <w:szCs w:val="21"/>
                      <w:lang w:bidi="ar"/>
                    </w:rPr>
                  </w:pPr>
                  <w:r>
                    <w:rPr>
                      <w:rFonts w:hint="eastAsia"/>
                      <w:color w:val="auto"/>
                      <w:kern w:val="0"/>
                      <w:szCs w:val="21"/>
                      <w:lang w:bidi="ar"/>
                    </w:rPr>
                    <w:t>2</w:t>
                  </w:r>
                </w:p>
              </w:tc>
              <w:tc>
                <w:tcPr>
                  <w:tcW w:w="1086" w:type="pct"/>
                  <w:tcBorders>
                    <w:tl2br w:val="nil"/>
                    <w:tr2bl w:val="nil"/>
                  </w:tcBorders>
                  <w:vAlign w:val="center"/>
                </w:tcPr>
                <w:p w14:paraId="2A19276A">
                  <w:pPr>
                    <w:widowControl/>
                    <w:jc w:val="center"/>
                    <w:textAlignment w:val="center"/>
                    <w:rPr>
                      <w:rFonts w:hint="eastAsia"/>
                      <w:color w:val="auto"/>
                      <w:kern w:val="0"/>
                      <w:szCs w:val="21"/>
                      <w:lang w:bidi="ar"/>
                    </w:rPr>
                  </w:pPr>
                  <w:r>
                    <w:rPr>
                      <w:rFonts w:hint="eastAsia"/>
                      <w:color w:val="auto"/>
                      <w:kern w:val="0"/>
                      <w:szCs w:val="21"/>
                      <w:lang w:bidi="ar"/>
                    </w:rPr>
                    <w:t>混料机</w:t>
                  </w:r>
                </w:p>
              </w:tc>
              <w:tc>
                <w:tcPr>
                  <w:tcW w:w="1247" w:type="pct"/>
                  <w:tcBorders>
                    <w:tl2br w:val="nil"/>
                    <w:tr2bl w:val="nil"/>
                  </w:tcBorders>
                  <w:vAlign w:val="center"/>
                </w:tcPr>
                <w:p w14:paraId="29185C55">
                  <w:pPr>
                    <w:widowControl/>
                    <w:jc w:val="center"/>
                    <w:textAlignment w:val="center"/>
                    <w:rPr>
                      <w:rFonts w:hint="eastAsia"/>
                      <w:color w:val="auto"/>
                      <w:kern w:val="0"/>
                      <w:szCs w:val="21"/>
                      <w:lang w:bidi="ar"/>
                    </w:rPr>
                  </w:pPr>
                  <w:r>
                    <w:rPr>
                      <w:rFonts w:hint="eastAsia"/>
                      <w:color w:val="auto"/>
                      <w:kern w:val="0"/>
                      <w:szCs w:val="21"/>
                      <w:lang w:bidi="ar"/>
                    </w:rPr>
                    <w:t>2500型</w:t>
                  </w:r>
                </w:p>
              </w:tc>
              <w:tc>
                <w:tcPr>
                  <w:tcW w:w="983" w:type="pct"/>
                  <w:tcBorders>
                    <w:tl2br w:val="nil"/>
                    <w:tr2bl w:val="nil"/>
                  </w:tcBorders>
                  <w:vAlign w:val="center"/>
                </w:tcPr>
                <w:p w14:paraId="41BBF9D2">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1</w:t>
                  </w:r>
                </w:p>
              </w:tc>
              <w:tc>
                <w:tcPr>
                  <w:tcW w:w="1263" w:type="pct"/>
                  <w:tcBorders>
                    <w:tl2br w:val="nil"/>
                    <w:tr2bl w:val="nil"/>
                  </w:tcBorders>
                  <w:vAlign w:val="center"/>
                </w:tcPr>
                <w:p w14:paraId="1E80521C">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混料</w:t>
                  </w:r>
                </w:p>
              </w:tc>
            </w:tr>
            <w:tr w14:paraId="773A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3C3CB601">
                  <w:pPr>
                    <w:widowControl/>
                    <w:jc w:val="center"/>
                    <w:textAlignment w:val="center"/>
                    <w:rPr>
                      <w:color w:val="auto"/>
                      <w:kern w:val="0"/>
                      <w:szCs w:val="21"/>
                      <w:lang w:bidi="ar"/>
                    </w:rPr>
                  </w:pPr>
                  <w:r>
                    <w:rPr>
                      <w:rFonts w:hint="eastAsia"/>
                      <w:color w:val="auto"/>
                      <w:kern w:val="0"/>
                      <w:szCs w:val="21"/>
                      <w:lang w:bidi="ar"/>
                    </w:rPr>
                    <w:t>3</w:t>
                  </w:r>
                </w:p>
              </w:tc>
              <w:tc>
                <w:tcPr>
                  <w:tcW w:w="1086" w:type="pct"/>
                  <w:tcBorders>
                    <w:tl2br w:val="nil"/>
                    <w:tr2bl w:val="nil"/>
                  </w:tcBorders>
                  <w:vAlign w:val="center"/>
                </w:tcPr>
                <w:p w14:paraId="001F2553">
                  <w:pPr>
                    <w:widowControl/>
                    <w:jc w:val="center"/>
                    <w:textAlignment w:val="center"/>
                    <w:rPr>
                      <w:color w:val="auto"/>
                      <w:kern w:val="0"/>
                      <w:szCs w:val="21"/>
                      <w:lang w:bidi="ar"/>
                    </w:rPr>
                  </w:pPr>
                  <w:r>
                    <w:rPr>
                      <w:rFonts w:hint="eastAsia"/>
                      <w:color w:val="auto"/>
                      <w:kern w:val="0"/>
                      <w:szCs w:val="21"/>
                      <w:lang w:bidi="ar"/>
                    </w:rPr>
                    <w:t>挤塑机</w:t>
                  </w:r>
                </w:p>
              </w:tc>
              <w:tc>
                <w:tcPr>
                  <w:tcW w:w="1247" w:type="pct"/>
                  <w:tcBorders>
                    <w:tl2br w:val="nil"/>
                    <w:tr2bl w:val="nil"/>
                  </w:tcBorders>
                  <w:vAlign w:val="center"/>
                </w:tcPr>
                <w:p w14:paraId="45E79647">
                  <w:pPr>
                    <w:widowControl/>
                    <w:jc w:val="center"/>
                    <w:textAlignment w:val="center"/>
                    <w:rPr>
                      <w:color w:val="auto"/>
                      <w:kern w:val="0"/>
                      <w:szCs w:val="21"/>
                      <w:lang w:bidi="ar"/>
                    </w:rPr>
                  </w:pPr>
                  <w:r>
                    <w:rPr>
                      <w:rFonts w:hint="eastAsia"/>
                      <w:color w:val="auto"/>
                      <w:kern w:val="0"/>
                      <w:szCs w:val="21"/>
                      <w:lang w:bidi="ar"/>
                    </w:rPr>
                    <w:t>92型</w:t>
                  </w:r>
                </w:p>
              </w:tc>
              <w:tc>
                <w:tcPr>
                  <w:tcW w:w="983" w:type="pct"/>
                  <w:tcBorders>
                    <w:tl2br w:val="nil"/>
                    <w:tr2bl w:val="nil"/>
                  </w:tcBorders>
                  <w:vAlign w:val="center"/>
                </w:tcPr>
                <w:p w14:paraId="607CF351">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2</w:t>
                  </w:r>
                </w:p>
              </w:tc>
              <w:tc>
                <w:tcPr>
                  <w:tcW w:w="1263" w:type="pct"/>
                  <w:tcBorders>
                    <w:tl2br w:val="nil"/>
                    <w:tr2bl w:val="nil"/>
                  </w:tcBorders>
                  <w:vAlign w:val="center"/>
                </w:tcPr>
                <w:p w14:paraId="348F4444">
                  <w:pPr>
                    <w:widowControl/>
                    <w:jc w:val="center"/>
                    <w:textAlignment w:val="center"/>
                    <w:rPr>
                      <w:color w:val="auto"/>
                      <w:kern w:val="0"/>
                      <w:szCs w:val="21"/>
                      <w:lang w:bidi="ar"/>
                    </w:rPr>
                  </w:pPr>
                  <w:r>
                    <w:rPr>
                      <w:rFonts w:hint="eastAsia"/>
                      <w:color w:val="auto"/>
                      <w:kern w:val="0"/>
                      <w:szCs w:val="21"/>
                      <w:lang w:bidi="ar"/>
                    </w:rPr>
                    <w:t>挤出（木塑门）</w:t>
                  </w:r>
                </w:p>
              </w:tc>
            </w:tr>
            <w:tr w14:paraId="6C6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22735A44">
                  <w:pPr>
                    <w:widowControl/>
                    <w:jc w:val="center"/>
                    <w:textAlignment w:val="center"/>
                    <w:rPr>
                      <w:color w:val="auto"/>
                      <w:kern w:val="0"/>
                      <w:szCs w:val="21"/>
                      <w:lang w:bidi="ar"/>
                    </w:rPr>
                  </w:pPr>
                  <w:r>
                    <w:rPr>
                      <w:rFonts w:hint="eastAsia"/>
                      <w:color w:val="auto"/>
                      <w:kern w:val="0"/>
                      <w:szCs w:val="21"/>
                      <w:lang w:bidi="ar"/>
                    </w:rPr>
                    <w:t>4</w:t>
                  </w:r>
                </w:p>
              </w:tc>
              <w:tc>
                <w:tcPr>
                  <w:tcW w:w="1086" w:type="pct"/>
                  <w:tcBorders>
                    <w:tl2br w:val="nil"/>
                    <w:tr2bl w:val="nil"/>
                  </w:tcBorders>
                  <w:vAlign w:val="center"/>
                </w:tcPr>
                <w:p w14:paraId="3E5AB101">
                  <w:pPr>
                    <w:widowControl/>
                    <w:jc w:val="center"/>
                    <w:textAlignment w:val="center"/>
                    <w:rPr>
                      <w:color w:val="auto"/>
                      <w:kern w:val="0"/>
                      <w:szCs w:val="21"/>
                      <w:lang w:bidi="ar"/>
                    </w:rPr>
                  </w:pPr>
                  <w:r>
                    <w:rPr>
                      <w:rFonts w:hint="eastAsia"/>
                      <w:color w:val="auto"/>
                      <w:kern w:val="0"/>
                      <w:szCs w:val="21"/>
                      <w:lang w:bidi="ar"/>
                    </w:rPr>
                    <w:t>挤塑机</w:t>
                  </w:r>
                </w:p>
              </w:tc>
              <w:tc>
                <w:tcPr>
                  <w:tcW w:w="1247" w:type="pct"/>
                  <w:tcBorders>
                    <w:tl2br w:val="nil"/>
                    <w:tr2bl w:val="nil"/>
                  </w:tcBorders>
                  <w:vAlign w:val="center"/>
                </w:tcPr>
                <w:p w14:paraId="38454616">
                  <w:pPr>
                    <w:widowControl/>
                    <w:jc w:val="center"/>
                    <w:textAlignment w:val="center"/>
                    <w:rPr>
                      <w:color w:val="auto"/>
                      <w:kern w:val="0"/>
                      <w:szCs w:val="21"/>
                      <w:lang w:bidi="ar"/>
                    </w:rPr>
                  </w:pPr>
                  <w:r>
                    <w:rPr>
                      <w:rFonts w:hint="eastAsia"/>
                      <w:color w:val="auto"/>
                      <w:kern w:val="0"/>
                      <w:szCs w:val="21"/>
                      <w:lang w:bidi="ar"/>
                    </w:rPr>
                    <w:t>65型</w:t>
                  </w:r>
                </w:p>
              </w:tc>
              <w:tc>
                <w:tcPr>
                  <w:tcW w:w="983" w:type="pct"/>
                  <w:tcBorders>
                    <w:tl2br w:val="nil"/>
                    <w:tr2bl w:val="nil"/>
                  </w:tcBorders>
                  <w:vAlign w:val="center"/>
                </w:tcPr>
                <w:p w14:paraId="549E81D9">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6</w:t>
                  </w:r>
                </w:p>
              </w:tc>
              <w:tc>
                <w:tcPr>
                  <w:tcW w:w="1263" w:type="pct"/>
                  <w:tcBorders>
                    <w:tl2br w:val="nil"/>
                    <w:tr2bl w:val="nil"/>
                  </w:tcBorders>
                  <w:vAlign w:val="center"/>
                </w:tcPr>
                <w:p w14:paraId="5FE84316">
                  <w:pPr>
                    <w:widowControl/>
                    <w:jc w:val="center"/>
                    <w:textAlignment w:val="center"/>
                    <w:rPr>
                      <w:color w:val="auto"/>
                      <w:kern w:val="0"/>
                      <w:szCs w:val="21"/>
                      <w:lang w:bidi="ar"/>
                    </w:rPr>
                  </w:pPr>
                  <w:r>
                    <w:rPr>
                      <w:rFonts w:hint="eastAsia"/>
                      <w:color w:val="auto"/>
                      <w:kern w:val="0"/>
                      <w:szCs w:val="21"/>
                      <w:lang w:bidi="ar"/>
                    </w:rPr>
                    <w:t>挤出（木塑线条）</w:t>
                  </w:r>
                </w:p>
              </w:tc>
            </w:tr>
            <w:tr w14:paraId="4B77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1DC85619">
                  <w:pPr>
                    <w:widowControl/>
                    <w:jc w:val="center"/>
                    <w:textAlignment w:val="center"/>
                    <w:rPr>
                      <w:color w:val="auto"/>
                      <w:kern w:val="0"/>
                      <w:szCs w:val="21"/>
                      <w:lang w:bidi="ar"/>
                    </w:rPr>
                  </w:pPr>
                  <w:r>
                    <w:rPr>
                      <w:rFonts w:hint="eastAsia"/>
                      <w:color w:val="auto"/>
                      <w:kern w:val="0"/>
                      <w:szCs w:val="21"/>
                      <w:lang w:bidi="ar"/>
                    </w:rPr>
                    <w:t>5</w:t>
                  </w:r>
                </w:p>
              </w:tc>
              <w:tc>
                <w:tcPr>
                  <w:tcW w:w="1086" w:type="pct"/>
                  <w:tcBorders>
                    <w:tl2br w:val="nil"/>
                    <w:tr2bl w:val="nil"/>
                  </w:tcBorders>
                  <w:vAlign w:val="center"/>
                </w:tcPr>
                <w:p w14:paraId="299BCA09">
                  <w:pPr>
                    <w:widowControl/>
                    <w:jc w:val="center"/>
                    <w:textAlignment w:val="center"/>
                    <w:rPr>
                      <w:color w:val="auto"/>
                      <w:kern w:val="0"/>
                      <w:szCs w:val="21"/>
                      <w:lang w:bidi="ar"/>
                    </w:rPr>
                  </w:pPr>
                  <w:r>
                    <w:rPr>
                      <w:rFonts w:hint="eastAsia"/>
                      <w:color w:val="auto"/>
                      <w:kern w:val="0"/>
                      <w:szCs w:val="21"/>
                      <w:lang w:bidi="ar"/>
                    </w:rPr>
                    <w:t>挤塑机</w:t>
                  </w:r>
                </w:p>
              </w:tc>
              <w:tc>
                <w:tcPr>
                  <w:tcW w:w="1247" w:type="pct"/>
                  <w:tcBorders>
                    <w:tl2br w:val="nil"/>
                    <w:tr2bl w:val="nil"/>
                  </w:tcBorders>
                  <w:vAlign w:val="center"/>
                </w:tcPr>
                <w:p w14:paraId="58A283A6">
                  <w:pPr>
                    <w:widowControl/>
                    <w:jc w:val="center"/>
                    <w:textAlignment w:val="center"/>
                    <w:rPr>
                      <w:color w:val="auto"/>
                    </w:rPr>
                  </w:pPr>
                  <w:r>
                    <w:rPr>
                      <w:rFonts w:hint="eastAsia"/>
                      <w:color w:val="auto"/>
                      <w:kern w:val="0"/>
                      <w:szCs w:val="21"/>
                      <w:lang w:bidi="ar"/>
                    </w:rPr>
                    <w:t>51型</w:t>
                  </w:r>
                </w:p>
              </w:tc>
              <w:tc>
                <w:tcPr>
                  <w:tcW w:w="983" w:type="pct"/>
                  <w:tcBorders>
                    <w:tl2br w:val="nil"/>
                    <w:tr2bl w:val="nil"/>
                  </w:tcBorders>
                  <w:vAlign w:val="center"/>
                </w:tcPr>
                <w:p w14:paraId="6DA162F9">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10</w:t>
                  </w:r>
                </w:p>
              </w:tc>
              <w:tc>
                <w:tcPr>
                  <w:tcW w:w="1263" w:type="pct"/>
                  <w:tcBorders>
                    <w:tl2br w:val="nil"/>
                    <w:tr2bl w:val="nil"/>
                  </w:tcBorders>
                  <w:vAlign w:val="center"/>
                </w:tcPr>
                <w:p w14:paraId="635EEB55">
                  <w:pPr>
                    <w:widowControl/>
                    <w:jc w:val="center"/>
                    <w:textAlignment w:val="center"/>
                    <w:rPr>
                      <w:color w:val="auto"/>
                      <w:kern w:val="0"/>
                      <w:szCs w:val="21"/>
                      <w:lang w:bidi="ar"/>
                    </w:rPr>
                  </w:pPr>
                  <w:r>
                    <w:rPr>
                      <w:rFonts w:hint="eastAsia"/>
                      <w:color w:val="auto"/>
                      <w:kern w:val="0"/>
                      <w:szCs w:val="21"/>
                      <w:lang w:bidi="ar"/>
                    </w:rPr>
                    <w:t>挤出（木塑线条）</w:t>
                  </w:r>
                </w:p>
              </w:tc>
            </w:tr>
            <w:tr w14:paraId="5430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302A4995">
                  <w:pPr>
                    <w:widowControl/>
                    <w:jc w:val="center"/>
                    <w:textAlignment w:val="center"/>
                    <w:rPr>
                      <w:color w:val="auto"/>
                      <w:kern w:val="0"/>
                      <w:szCs w:val="21"/>
                      <w:lang w:bidi="ar"/>
                    </w:rPr>
                  </w:pPr>
                  <w:r>
                    <w:rPr>
                      <w:rFonts w:hint="eastAsia"/>
                      <w:color w:val="auto"/>
                      <w:kern w:val="0"/>
                      <w:szCs w:val="21"/>
                      <w:lang w:bidi="ar"/>
                    </w:rPr>
                    <w:t>6</w:t>
                  </w:r>
                </w:p>
              </w:tc>
              <w:tc>
                <w:tcPr>
                  <w:tcW w:w="1086" w:type="pct"/>
                  <w:tcBorders>
                    <w:tl2br w:val="nil"/>
                    <w:tr2bl w:val="nil"/>
                  </w:tcBorders>
                  <w:vAlign w:val="center"/>
                </w:tcPr>
                <w:p w14:paraId="6155AAB9">
                  <w:pPr>
                    <w:widowControl/>
                    <w:jc w:val="center"/>
                    <w:textAlignment w:val="center"/>
                    <w:rPr>
                      <w:color w:val="auto"/>
                      <w:kern w:val="0"/>
                      <w:szCs w:val="21"/>
                      <w:lang w:bidi="ar"/>
                    </w:rPr>
                  </w:pPr>
                  <w:r>
                    <w:rPr>
                      <w:rFonts w:hint="eastAsia"/>
                      <w:color w:val="auto"/>
                      <w:kern w:val="0"/>
                      <w:szCs w:val="21"/>
                      <w:lang w:bidi="ar"/>
                    </w:rPr>
                    <w:t>储料罐</w:t>
                  </w:r>
                </w:p>
              </w:tc>
              <w:tc>
                <w:tcPr>
                  <w:tcW w:w="1247" w:type="pct"/>
                  <w:tcBorders>
                    <w:tl2br w:val="nil"/>
                    <w:tr2bl w:val="nil"/>
                  </w:tcBorders>
                  <w:vAlign w:val="center"/>
                </w:tcPr>
                <w:p w14:paraId="2E8373FE">
                  <w:pPr>
                    <w:widowControl/>
                    <w:jc w:val="center"/>
                    <w:textAlignment w:val="center"/>
                    <w:rPr>
                      <w:color w:val="auto"/>
                      <w:kern w:val="0"/>
                      <w:szCs w:val="21"/>
                      <w:lang w:bidi="ar"/>
                    </w:rPr>
                  </w:pPr>
                  <w:r>
                    <w:rPr>
                      <w:rFonts w:hint="eastAsia"/>
                      <w:color w:val="auto"/>
                      <w:kern w:val="0"/>
                      <w:szCs w:val="21"/>
                      <w:lang w:bidi="ar"/>
                    </w:rPr>
                    <w:t>5t</w:t>
                  </w:r>
                </w:p>
              </w:tc>
              <w:tc>
                <w:tcPr>
                  <w:tcW w:w="983" w:type="pct"/>
                  <w:tcBorders>
                    <w:tl2br w:val="nil"/>
                    <w:tr2bl w:val="nil"/>
                  </w:tcBorders>
                  <w:vAlign w:val="center"/>
                </w:tcPr>
                <w:p w14:paraId="0405A9A0">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10</w:t>
                  </w:r>
                </w:p>
              </w:tc>
              <w:tc>
                <w:tcPr>
                  <w:tcW w:w="1263" w:type="pct"/>
                  <w:tcBorders>
                    <w:tl2br w:val="nil"/>
                    <w:tr2bl w:val="nil"/>
                  </w:tcBorders>
                  <w:vAlign w:val="center"/>
                </w:tcPr>
                <w:p w14:paraId="68490423">
                  <w:pPr>
                    <w:widowControl/>
                    <w:jc w:val="center"/>
                    <w:textAlignment w:val="center"/>
                    <w:rPr>
                      <w:color w:val="auto"/>
                      <w:kern w:val="0"/>
                      <w:szCs w:val="21"/>
                      <w:lang w:bidi="ar"/>
                    </w:rPr>
                  </w:pPr>
                  <w:r>
                    <w:rPr>
                      <w:rFonts w:hint="eastAsia"/>
                      <w:color w:val="auto"/>
                      <w:kern w:val="0"/>
                      <w:szCs w:val="21"/>
                      <w:lang w:bidi="ar"/>
                    </w:rPr>
                    <w:t>储料</w:t>
                  </w:r>
                </w:p>
              </w:tc>
            </w:tr>
            <w:tr w14:paraId="54DA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69C004E3">
                  <w:pPr>
                    <w:widowControl/>
                    <w:jc w:val="center"/>
                    <w:textAlignment w:val="center"/>
                    <w:rPr>
                      <w:color w:val="auto"/>
                      <w:kern w:val="0"/>
                      <w:szCs w:val="21"/>
                      <w:lang w:bidi="ar"/>
                    </w:rPr>
                  </w:pPr>
                  <w:r>
                    <w:rPr>
                      <w:rFonts w:hint="eastAsia"/>
                      <w:color w:val="auto"/>
                      <w:kern w:val="0"/>
                      <w:szCs w:val="21"/>
                      <w:lang w:val="en-US" w:eastAsia="zh-CN" w:bidi="ar"/>
                    </w:rPr>
                    <w:t>7</w:t>
                  </w:r>
                </w:p>
              </w:tc>
              <w:tc>
                <w:tcPr>
                  <w:tcW w:w="1086" w:type="pct"/>
                  <w:tcBorders>
                    <w:tl2br w:val="nil"/>
                    <w:tr2bl w:val="nil"/>
                  </w:tcBorders>
                  <w:vAlign w:val="center"/>
                </w:tcPr>
                <w:p w14:paraId="0688717A">
                  <w:pPr>
                    <w:widowControl/>
                    <w:jc w:val="center"/>
                    <w:textAlignment w:val="center"/>
                    <w:rPr>
                      <w:color w:val="auto"/>
                      <w:kern w:val="0"/>
                      <w:szCs w:val="21"/>
                      <w:lang w:bidi="ar"/>
                    </w:rPr>
                  </w:pPr>
                  <w:r>
                    <w:rPr>
                      <w:rFonts w:hint="eastAsia"/>
                      <w:color w:val="auto"/>
                      <w:kern w:val="0"/>
                      <w:szCs w:val="21"/>
                      <w:lang w:bidi="ar"/>
                    </w:rPr>
                    <w:t>蓄水箱</w:t>
                  </w:r>
                </w:p>
              </w:tc>
              <w:tc>
                <w:tcPr>
                  <w:tcW w:w="1247" w:type="pct"/>
                  <w:tcBorders>
                    <w:tl2br w:val="nil"/>
                    <w:tr2bl w:val="nil"/>
                  </w:tcBorders>
                  <w:vAlign w:val="center"/>
                </w:tcPr>
                <w:p w14:paraId="3B761635">
                  <w:pPr>
                    <w:widowControl/>
                    <w:jc w:val="center"/>
                    <w:textAlignment w:val="center"/>
                    <w:rPr>
                      <w:rFonts w:hint="eastAsia" w:eastAsia="宋体"/>
                      <w:color w:val="auto"/>
                      <w:kern w:val="0"/>
                      <w:szCs w:val="21"/>
                      <w:lang w:val="en-US" w:eastAsia="zh-CN" w:bidi="ar"/>
                    </w:rPr>
                  </w:pPr>
                  <w:r>
                    <w:rPr>
                      <w:rFonts w:hint="eastAsia"/>
                      <w:color w:val="auto"/>
                      <w:kern w:val="0"/>
                      <w:szCs w:val="21"/>
                      <w:lang w:bidi="ar"/>
                    </w:rPr>
                    <w:t>10t</w:t>
                  </w:r>
                  <w:r>
                    <w:rPr>
                      <w:rFonts w:hint="eastAsia"/>
                      <w:color w:val="auto"/>
                      <w:kern w:val="0"/>
                      <w:szCs w:val="21"/>
                      <w:lang w:val="en-US" w:eastAsia="zh-CN" w:bidi="ar"/>
                    </w:rPr>
                    <w:t>.</w:t>
                  </w:r>
                </w:p>
              </w:tc>
              <w:tc>
                <w:tcPr>
                  <w:tcW w:w="983" w:type="pct"/>
                  <w:tcBorders>
                    <w:tl2br w:val="nil"/>
                    <w:tr2bl w:val="nil"/>
                  </w:tcBorders>
                  <w:vAlign w:val="center"/>
                </w:tcPr>
                <w:p w14:paraId="3C3ED4A2">
                  <w:pPr>
                    <w:widowControl/>
                    <w:jc w:val="center"/>
                    <w:textAlignment w:val="center"/>
                    <w:rPr>
                      <w:color w:val="auto"/>
                      <w:kern w:val="0"/>
                      <w:szCs w:val="21"/>
                      <w:lang w:bidi="ar"/>
                    </w:rPr>
                  </w:pPr>
                  <w:r>
                    <w:rPr>
                      <w:rFonts w:hint="eastAsia"/>
                      <w:color w:val="auto"/>
                      <w:kern w:val="0"/>
                      <w:szCs w:val="21"/>
                      <w:lang w:bidi="ar"/>
                    </w:rPr>
                    <w:t>2</w:t>
                  </w:r>
                </w:p>
              </w:tc>
              <w:tc>
                <w:tcPr>
                  <w:tcW w:w="1263" w:type="pct"/>
                  <w:tcBorders>
                    <w:tl2br w:val="nil"/>
                    <w:tr2bl w:val="nil"/>
                  </w:tcBorders>
                  <w:vAlign w:val="center"/>
                </w:tcPr>
                <w:p w14:paraId="51701B79">
                  <w:pPr>
                    <w:widowControl/>
                    <w:jc w:val="center"/>
                    <w:textAlignment w:val="center"/>
                    <w:rPr>
                      <w:color w:val="auto"/>
                      <w:kern w:val="0"/>
                      <w:szCs w:val="21"/>
                      <w:lang w:bidi="ar"/>
                    </w:rPr>
                  </w:pPr>
                  <w:r>
                    <w:rPr>
                      <w:rFonts w:hint="eastAsia"/>
                      <w:color w:val="auto"/>
                      <w:kern w:val="0"/>
                      <w:szCs w:val="21"/>
                      <w:lang w:bidi="ar"/>
                    </w:rPr>
                    <w:t>储存冷却水</w:t>
                  </w:r>
                </w:p>
              </w:tc>
            </w:tr>
            <w:tr w14:paraId="246B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tcBorders>
                    <w:tl2br w:val="nil"/>
                    <w:tr2bl w:val="nil"/>
                  </w:tcBorders>
                  <w:vAlign w:val="center"/>
                </w:tcPr>
                <w:p w14:paraId="5059A5EE">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8</w:t>
                  </w:r>
                </w:p>
              </w:tc>
              <w:tc>
                <w:tcPr>
                  <w:tcW w:w="1086" w:type="pct"/>
                  <w:tcBorders>
                    <w:tl2br w:val="nil"/>
                    <w:tr2bl w:val="nil"/>
                  </w:tcBorders>
                  <w:vAlign w:val="center"/>
                </w:tcPr>
                <w:p w14:paraId="1CF51EB7">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冷却塔</w:t>
                  </w:r>
                </w:p>
              </w:tc>
              <w:tc>
                <w:tcPr>
                  <w:tcW w:w="1247" w:type="pct"/>
                  <w:tcBorders>
                    <w:tl2br w:val="nil"/>
                    <w:tr2bl w:val="nil"/>
                  </w:tcBorders>
                  <w:vAlign w:val="center"/>
                </w:tcPr>
                <w:p w14:paraId="58F751BE">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60t</w:t>
                  </w:r>
                </w:p>
              </w:tc>
              <w:tc>
                <w:tcPr>
                  <w:tcW w:w="983" w:type="pct"/>
                  <w:tcBorders>
                    <w:tl2br w:val="nil"/>
                    <w:tr2bl w:val="nil"/>
                  </w:tcBorders>
                  <w:vAlign w:val="center"/>
                </w:tcPr>
                <w:p w14:paraId="2EF933EF">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2</w:t>
                  </w:r>
                </w:p>
              </w:tc>
              <w:tc>
                <w:tcPr>
                  <w:tcW w:w="1263" w:type="pct"/>
                  <w:tcBorders>
                    <w:tl2br w:val="nil"/>
                    <w:tr2bl w:val="nil"/>
                  </w:tcBorders>
                  <w:vAlign w:val="center"/>
                </w:tcPr>
                <w:p w14:paraId="19248772">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冷却</w:t>
                  </w:r>
                </w:p>
              </w:tc>
            </w:tr>
          </w:tbl>
          <w:p w14:paraId="6B32284B">
            <w:pPr>
              <w:spacing w:line="440" w:lineRule="exact"/>
              <w:ind w:firstLine="482" w:firstLineChars="200"/>
              <w:rPr>
                <w:rFonts w:hint="default" w:eastAsia="宋体"/>
                <w:color w:val="auto"/>
                <w:sz w:val="24"/>
                <w:lang w:val="en-US" w:eastAsia="zh-CN"/>
              </w:rPr>
            </w:pPr>
            <w:r>
              <w:rPr>
                <w:rFonts w:hint="eastAsia" w:ascii="Times New Roman" w:hAnsi="Times New Roman" w:eastAsia="宋体" w:cs="Times New Roman"/>
                <w:b/>
                <w:bCs/>
                <w:color w:val="auto"/>
                <w:sz w:val="24"/>
                <w:szCs w:val="21"/>
                <w:lang w:val="en-US" w:eastAsia="zh-CN"/>
              </w:rPr>
              <w:t>设备与产能匹配性分析</w:t>
            </w:r>
            <w:r>
              <w:rPr>
                <w:rFonts w:hint="eastAsia" w:eastAsia="宋体" w:cs="Times New Roman"/>
                <w:b/>
                <w:bCs/>
                <w:color w:val="auto"/>
                <w:sz w:val="24"/>
                <w:szCs w:val="21"/>
                <w:lang w:val="en-US" w:eastAsia="zh-CN"/>
              </w:rPr>
              <w:t>：</w:t>
            </w:r>
          </w:p>
          <w:p w14:paraId="28F34E7E">
            <w:pPr>
              <w:spacing w:line="440" w:lineRule="exact"/>
              <w:ind w:firstLine="480" w:firstLineChars="200"/>
              <w:rPr>
                <w:rFonts w:hint="eastAsia" w:cs="Times New Roman"/>
                <w:color w:val="auto"/>
                <w:sz w:val="24"/>
                <w:szCs w:val="21"/>
                <w:lang w:val="en-US" w:eastAsia="zh-CN"/>
              </w:rPr>
            </w:pPr>
            <w:r>
              <w:rPr>
                <w:rFonts w:hint="eastAsia" w:cs="Times New Roman"/>
                <w:color w:val="auto"/>
                <w:sz w:val="24"/>
                <w:szCs w:val="21"/>
                <w:lang w:val="en-US" w:eastAsia="zh-CN"/>
              </w:rPr>
              <w:t>根据企业提供的设备生产能力参数，本项目主要生产设备与产能匹配性分析见表2-4和表2-5。</w:t>
            </w:r>
          </w:p>
          <w:p w14:paraId="1ED09492">
            <w:pPr>
              <w:widowControl/>
              <w:numPr>
                <w:ilvl w:val="0"/>
                <w:numId w:val="17"/>
              </w:numPr>
              <w:spacing w:line="440" w:lineRule="exact"/>
              <w:jc w:val="center"/>
              <w:rPr>
                <w:rFonts w:eastAsia="黑体"/>
                <w:b/>
                <w:bCs/>
                <w:color w:val="auto"/>
                <w:kern w:val="0"/>
                <w:szCs w:val="21"/>
              </w:rPr>
            </w:pPr>
            <w:r>
              <w:rPr>
                <w:rFonts w:hint="eastAsia"/>
                <w:b/>
                <w:bCs/>
                <w:color w:val="auto"/>
                <w:kern w:val="0"/>
                <w:sz w:val="24"/>
              </w:rPr>
              <w:t>项目</w:t>
            </w:r>
            <w:r>
              <w:rPr>
                <w:rFonts w:hint="eastAsia"/>
                <w:b/>
                <w:bCs/>
                <w:color w:val="auto"/>
                <w:kern w:val="0"/>
                <w:sz w:val="24"/>
                <w:lang w:val="en-US" w:eastAsia="zh-CN"/>
              </w:rPr>
              <w:t>混料机产能匹配性分析表</w:t>
            </w:r>
          </w:p>
          <w:tbl>
            <w:tblPr>
              <w:tblStyle w:val="89"/>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047"/>
              <w:gridCol w:w="1047"/>
              <w:gridCol w:w="1047"/>
              <w:gridCol w:w="1048"/>
              <w:gridCol w:w="1048"/>
              <w:gridCol w:w="1048"/>
              <w:gridCol w:w="1048"/>
            </w:tblGrid>
            <w:tr w14:paraId="5B59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7" w:type="dxa"/>
                  <w:vAlign w:val="center"/>
                </w:tcPr>
                <w:p w14:paraId="64274CB1">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设备名称</w:t>
                  </w:r>
                </w:p>
              </w:tc>
              <w:tc>
                <w:tcPr>
                  <w:tcW w:w="1047" w:type="dxa"/>
                  <w:vAlign w:val="center"/>
                </w:tcPr>
                <w:p w14:paraId="304B700E">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单次配料时间</w:t>
                  </w:r>
                  <w:r>
                    <w:rPr>
                      <w:rFonts w:hint="eastAsia" w:cs="Times New Roman"/>
                      <w:b w:val="0"/>
                      <w:bCs w:val="0"/>
                      <w:color w:val="auto"/>
                      <w:kern w:val="0"/>
                      <w:szCs w:val="21"/>
                      <w:lang w:val="en-US" w:eastAsia="zh-CN" w:bidi="ar"/>
                    </w:rPr>
                    <w:t>（min）</w:t>
                  </w:r>
                </w:p>
              </w:tc>
              <w:tc>
                <w:tcPr>
                  <w:tcW w:w="1047" w:type="dxa"/>
                  <w:vAlign w:val="center"/>
                </w:tcPr>
                <w:p w14:paraId="49228E72">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单次配料量（t）</w:t>
                  </w:r>
                </w:p>
              </w:tc>
              <w:tc>
                <w:tcPr>
                  <w:tcW w:w="1047" w:type="dxa"/>
                  <w:vAlign w:val="center"/>
                </w:tcPr>
                <w:p w14:paraId="2A5632E1">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年工作时间（h）</w:t>
                  </w:r>
                </w:p>
              </w:tc>
              <w:tc>
                <w:tcPr>
                  <w:tcW w:w="1048" w:type="dxa"/>
                  <w:vAlign w:val="center"/>
                </w:tcPr>
                <w:p w14:paraId="3D63618A">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设备数量（台）</w:t>
                  </w:r>
                </w:p>
              </w:tc>
              <w:tc>
                <w:tcPr>
                  <w:tcW w:w="1048" w:type="dxa"/>
                  <w:vAlign w:val="center"/>
                </w:tcPr>
                <w:p w14:paraId="5AC6B7C7">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满负荷运行产能（t/a）</w:t>
                  </w:r>
                </w:p>
              </w:tc>
              <w:tc>
                <w:tcPr>
                  <w:tcW w:w="1048" w:type="dxa"/>
                  <w:vAlign w:val="center"/>
                </w:tcPr>
                <w:p w14:paraId="692C053B">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设计生产规模（t/a）</w:t>
                  </w:r>
                </w:p>
              </w:tc>
              <w:tc>
                <w:tcPr>
                  <w:tcW w:w="1048" w:type="dxa"/>
                  <w:vAlign w:val="center"/>
                </w:tcPr>
                <w:p w14:paraId="7BDAC674">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产能负荷（%）</w:t>
                  </w:r>
                </w:p>
              </w:tc>
            </w:tr>
            <w:tr w14:paraId="6F6E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7" w:type="dxa"/>
                  <w:vAlign w:val="center"/>
                </w:tcPr>
                <w:p w14:paraId="5F4B3D41">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混料机</w:t>
                  </w:r>
                  <w:r>
                    <w:rPr>
                      <w:rFonts w:hint="eastAsia" w:cs="Times New Roman"/>
                      <w:b w:val="0"/>
                      <w:bCs w:val="0"/>
                      <w:color w:val="auto"/>
                      <w:kern w:val="0"/>
                      <w:szCs w:val="21"/>
                      <w:lang w:val="en-US" w:eastAsia="zh-CN" w:bidi="ar"/>
                    </w:rPr>
                    <w:t>(</w:t>
                  </w:r>
                  <w:r>
                    <w:rPr>
                      <w:rFonts w:hint="eastAsia"/>
                      <w:color w:val="auto"/>
                      <w:kern w:val="0"/>
                      <w:szCs w:val="21"/>
                      <w:lang w:bidi="ar"/>
                    </w:rPr>
                    <w:t>800型</w:t>
                  </w:r>
                  <w:r>
                    <w:rPr>
                      <w:rFonts w:hint="eastAsia" w:cs="Times New Roman"/>
                      <w:b w:val="0"/>
                      <w:bCs w:val="0"/>
                      <w:color w:val="auto"/>
                      <w:kern w:val="0"/>
                      <w:szCs w:val="21"/>
                      <w:lang w:val="en-US" w:eastAsia="zh-CN" w:bidi="ar"/>
                    </w:rPr>
                    <w:t>)</w:t>
                  </w:r>
                </w:p>
              </w:tc>
              <w:tc>
                <w:tcPr>
                  <w:tcW w:w="1047" w:type="dxa"/>
                  <w:vAlign w:val="center"/>
                </w:tcPr>
                <w:p w14:paraId="1FD733C6">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30</w:t>
                  </w:r>
                </w:p>
              </w:tc>
              <w:tc>
                <w:tcPr>
                  <w:tcW w:w="1047" w:type="dxa"/>
                  <w:vAlign w:val="center"/>
                </w:tcPr>
                <w:p w14:paraId="557AEEB0">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0.3</w:t>
                  </w:r>
                </w:p>
              </w:tc>
              <w:tc>
                <w:tcPr>
                  <w:tcW w:w="1047" w:type="dxa"/>
                  <w:vAlign w:val="center"/>
                </w:tcPr>
                <w:p w14:paraId="5F121B53">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ascii="Times New Roman" w:hAnsi="Times New Roman" w:eastAsia="宋体" w:cs="Times New Roman"/>
                      <w:b w:val="0"/>
                      <w:bCs w:val="0"/>
                      <w:color w:val="auto"/>
                      <w:kern w:val="0"/>
                      <w:szCs w:val="21"/>
                      <w:lang w:val="en-US" w:eastAsia="zh-CN" w:bidi="ar"/>
                    </w:rPr>
                    <w:t>3200</w:t>
                  </w:r>
                </w:p>
              </w:tc>
              <w:tc>
                <w:tcPr>
                  <w:tcW w:w="1048" w:type="dxa"/>
                  <w:vAlign w:val="center"/>
                </w:tcPr>
                <w:p w14:paraId="068B3741">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1</w:t>
                  </w:r>
                </w:p>
              </w:tc>
              <w:tc>
                <w:tcPr>
                  <w:tcW w:w="1048" w:type="dxa"/>
                  <w:vAlign w:val="center"/>
                </w:tcPr>
                <w:p w14:paraId="7B558271">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1920</w:t>
                  </w:r>
                </w:p>
              </w:tc>
              <w:tc>
                <w:tcPr>
                  <w:tcW w:w="1048" w:type="dxa"/>
                  <w:vAlign w:val="center"/>
                </w:tcPr>
                <w:p w14:paraId="59DE70F6">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1019</w:t>
                  </w:r>
                </w:p>
              </w:tc>
              <w:tc>
                <w:tcPr>
                  <w:tcW w:w="1048" w:type="dxa"/>
                  <w:vAlign w:val="center"/>
                </w:tcPr>
                <w:p w14:paraId="171875FE">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53.1%</w:t>
                  </w:r>
                </w:p>
              </w:tc>
            </w:tr>
            <w:tr w14:paraId="2268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7" w:type="dxa"/>
                  <w:vAlign w:val="center"/>
                </w:tcPr>
                <w:p w14:paraId="2492EF90">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混料机(</w:t>
                  </w:r>
                  <w:r>
                    <w:rPr>
                      <w:rFonts w:hint="eastAsia"/>
                      <w:color w:val="auto"/>
                      <w:kern w:val="0"/>
                      <w:szCs w:val="21"/>
                      <w:lang w:val="en-US" w:eastAsia="zh-CN" w:bidi="ar"/>
                    </w:rPr>
                    <w:t>25</w:t>
                  </w:r>
                  <w:r>
                    <w:rPr>
                      <w:rFonts w:hint="eastAsia"/>
                      <w:color w:val="auto"/>
                      <w:kern w:val="0"/>
                      <w:szCs w:val="21"/>
                      <w:lang w:bidi="ar"/>
                    </w:rPr>
                    <w:t>00型</w:t>
                  </w:r>
                  <w:r>
                    <w:rPr>
                      <w:rFonts w:hint="eastAsia" w:cs="Times New Roman"/>
                      <w:b w:val="0"/>
                      <w:bCs w:val="0"/>
                      <w:color w:val="auto"/>
                      <w:kern w:val="0"/>
                      <w:szCs w:val="21"/>
                      <w:lang w:val="en-US" w:eastAsia="zh-CN" w:bidi="ar"/>
                    </w:rPr>
                    <w:t>)</w:t>
                  </w:r>
                </w:p>
              </w:tc>
              <w:tc>
                <w:tcPr>
                  <w:tcW w:w="1047" w:type="dxa"/>
                  <w:vAlign w:val="center"/>
                </w:tcPr>
                <w:p w14:paraId="0C27A2B2">
                  <w:pPr>
                    <w:widowControl/>
                    <w:jc w:val="center"/>
                    <w:textAlignment w:val="center"/>
                    <w:rPr>
                      <w:rFonts w:hint="default"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30</w:t>
                  </w:r>
                </w:p>
              </w:tc>
              <w:tc>
                <w:tcPr>
                  <w:tcW w:w="1047" w:type="dxa"/>
                  <w:vAlign w:val="center"/>
                </w:tcPr>
                <w:p w14:paraId="2CCACFF9">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1.0</w:t>
                  </w:r>
                </w:p>
              </w:tc>
              <w:tc>
                <w:tcPr>
                  <w:tcW w:w="1047" w:type="dxa"/>
                  <w:vAlign w:val="center"/>
                </w:tcPr>
                <w:p w14:paraId="00996646">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3200</w:t>
                  </w:r>
                </w:p>
              </w:tc>
              <w:tc>
                <w:tcPr>
                  <w:tcW w:w="1048" w:type="dxa"/>
                  <w:vAlign w:val="center"/>
                </w:tcPr>
                <w:p w14:paraId="289ADABE">
                  <w:pPr>
                    <w:widowControl/>
                    <w:jc w:val="center"/>
                    <w:textAlignment w:val="center"/>
                    <w:rPr>
                      <w:rFonts w:hint="default"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1</w:t>
                  </w:r>
                </w:p>
              </w:tc>
              <w:tc>
                <w:tcPr>
                  <w:tcW w:w="1048" w:type="dxa"/>
                  <w:vAlign w:val="center"/>
                </w:tcPr>
                <w:p w14:paraId="70FD78F6">
                  <w:pPr>
                    <w:widowControl/>
                    <w:jc w:val="center"/>
                    <w:textAlignment w:val="center"/>
                    <w:rPr>
                      <w:rFonts w:hint="default"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6400</w:t>
                  </w:r>
                </w:p>
              </w:tc>
              <w:tc>
                <w:tcPr>
                  <w:tcW w:w="1048" w:type="dxa"/>
                  <w:vAlign w:val="center"/>
                </w:tcPr>
                <w:p w14:paraId="56B796DD">
                  <w:pPr>
                    <w:widowControl/>
                    <w:jc w:val="center"/>
                    <w:textAlignment w:val="center"/>
                    <w:rPr>
                      <w:rFonts w:hint="default"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5605</w:t>
                  </w:r>
                </w:p>
              </w:tc>
              <w:tc>
                <w:tcPr>
                  <w:tcW w:w="1048" w:type="dxa"/>
                  <w:vAlign w:val="center"/>
                </w:tcPr>
                <w:p w14:paraId="4841D5A2">
                  <w:pPr>
                    <w:widowControl/>
                    <w:jc w:val="center"/>
                    <w:textAlignment w:val="center"/>
                    <w:rPr>
                      <w:rFonts w:hint="default"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87.6%</w:t>
                  </w:r>
                </w:p>
              </w:tc>
            </w:tr>
            <w:tr w14:paraId="6E55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80" w:type="dxa"/>
                  <w:gridSpan w:val="8"/>
                  <w:vAlign w:val="center"/>
                </w:tcPr>
                <w:p w14:paraId="3837F85C">
                  <w:pPr>
                    <w:widowControl/>
                    <w:jc w:val="left"/>
                    <w:textAlignment w:val="center"/>
                    <w:rPr>
                      <w:rFonts w:hint="default" w:ascii="Times New Roman" w:hAnsi="Times New Roman" w:eastAsia="宋体" w:cs="Times New Roman"/>
                      <w:b w:val="0"/>
                      <w:bCs w:val="0"/>
                      <w:color w:val="auto"/>
                      <w:kern w:val="0"/>
                      <w:szCs w:val="21"/>
                      <w:lang w:val="en-US" w:eastAsia="zh-CN" w:bidi="ar"/>
                    </w:rPr>
                  </w:pPr>
                  <w:r>
                    <w:rPr>
                      <w:rFonts w:hint="eastAsia" w:cs="Times New Roman"/>
                      <w:b w:val="0"/>
                      <w:bCs w:val="0"/>
                      <w:color w:val="auto"/>
                      <w:kern w:val="0"/>
                      <w:szCs w:val="21"/>
                      <w:lang w:val="en-US" w:eastAsia="zh-CN" w:bidi="ar"/>
                    </w:rPr>
                    <w:t>注：设计生产规模按原辅料用量计算。</w:t>
                  </w:r>
                </w:p>
              </w:tc>
            </w:tr>
          </w:tbl>
          <w:p w14:paraId="420F9187">
            <w:pPr>
              <w:widowControl/>
              <w:numPr>
                <w:ilvl w:val="0"/>
                <w:numId w:val="17"/>
              </w:numPr>
              <w:spacing w:line="440" w:lineRule="exact"/>
              <w:jc w:val="center"/>
              <w:rPr>
                <w:rFonts w:eastAsia="黑体"/>
                <w:b/>
                <w:bCs/>
                <w:color w:val="auto"/>
                <w:kern w:val="0"/>
                <w:szCs w:val="21"/>
              </w:rPr>
            </w:pPr>
            <w:r>
              <w:rPr>
                <w:rFonts w:hint="eastAsia"/>
                <w:b/>
                <w:bCs/>
                <w:color w:val="auto"/>
                <w:kern w:val="0"/>
                <w:sz w:val="24"/>
              </w:rPr>
              <w:t>项目</w:t>
            </w:r>
            <w:r>
              <w:rPr>
                <w:rFonts w:hint="eastAsia"/>
                <w:b/>
                <w:bCs/>
                <w:color w:val="auto"/>
                <w:kern w:val="0"/>
                <w:sz w:val="24"/>
                <w:lang w:val="en-US" w:eastAsia="zh-CN"/>
              </w:rPr>
              <w:t>挤塑机产能匹配性分析表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08"/>
              <w:gridCol w:w="977"/>
              <w:gridCol w:w="876"/>
              <w:gridCol w:w="876"/>
              <w:gridCol w:w="692"/>
              <w:gridCol w:w="1008"/>
              <w:gridCol w:w="1008"/>
              <w:gridCol w:w="943"/>
            </w:tblGrid>
            <w:tr w14:paraId="5D33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2" w:type="dxa"/>
                  <w:vAlign w:val="center"/>
                </w:tcPr>
                <w:p w14:paraId="59861BD6">
                  <w:pPr>
                    <w:widowControl/>
                    <w:jc w:val="center"/>
                    <w:textAlignment w:val="center"/>
                    <w:rPr>
                      <w:rFonts w:hint="default"/>
                      <w:b w:val="0"/>
                      <w:bCs w:val="0"/>
                      <w:color w:val="auto"/>
                      <w:kern w:val="0"/>
                      <w:szCs w:val="21"/>
                      <w:lang w:val="en-US" w:eastAsia="zh-CN" w:bidi="ar"/>
                    </w:rPr>
                  </w:pPr>
                  <w:r>
                    <w:rPr>
                      <w:rFonts w:hint="eastAsia"/>
                      <w:b w:val="0"/>
                      <w:bCs w:val="0"/>
                      <w:color w:val="auto"/>
                      <w:kern w:val="0"/>
                      <w:szCs w:val="21"/>
                      <w:lang w:val="en-US" w:eastAsia="zh-CN" w:bidi="ar"/>
                    </w:rPr>
                    <w:t>产品名称</w:t>
                  </w:r>
                </w:p>
              </w:tc>
              <w:tc>
                <w:tcPr>
                  <w:tcW w:w="1308" w:type="dxa"/>
                  <w:vAlign w:val="center"/>
                </w:tcPr>
                <w:p w14:paraId="52805F02">
                  <w:pPr>
                    <w:widowControl/>
                    <w:jc w:val="center"/>
                    <w:textAlignment w:val="center"/>
                    <w:rPr>
                      <w:rFonts w:hint="default"/>
                      <w:b w:val="0"/>
                      <w:bCs w:val="0"/>
                      <w:color w:val="auto"/>
                      <w:kern w:val="0"/>
                      <w:szCs w:val="21"/>
                      <w:lang w:val="en-US" w:eastAsia="zh-CN" w:bidi="ar"/>
                    </w:rPr>
                  </w:pPr>
                  <w:r>
                    <w:rPr>
                      <w:rFonts w:hint="eastAsia"/>
                      <w:b w:val="0"/>
                      <w:bCs w:val="0"/>
                      <w:color w:val="auto"/>
                      <w:kern w:val="0"/>
                      <w:szCs w:val="21"/>
                      <w:lang w:val="en-US" w:eastAsia="zh-CN" w:bidi="ar"/>
                    </w:rPr>
                    <w:t>设备名称</w:t>
                  </w:r>
                </w:p>
              </w:tc>
              <w:tc>
                <w:tcPr>
                  <w:tcW w:w="977" w:type="dxa"/>
                  <w:vAlign w:val="center"/>
                </w:tcPr>
                <w:p w14:paraId="23F2053F">
                  <w:pPr>
                    <w:widowControl/>
                    <w:jc w:val="center"/>
                    <w:textAlignment w:val="center"/>
                    <w:rPr>
                      <w:rFonts w:hint="default"/>
                      <w:b w:val="0"/>
                      <w:bCs w:val="0"/>
                      <w:color w:val="auto"/>
                      <w:kern w:val="0"/>
                      <w:szCs w:val="21"/>
                      <w:lang w:val="en-US" w:eastAsia="zh-CN" w:bidi="ar"/>
                    </w:rPr>
                  </w:pPr>
                  <w:r>
                    <w:rPr>
                      <w:rFonts w:hint="eastAsia"/>
                      <w:b w:val="0"/>
                      <w:bCs w:val="0"/>
                      <w:color w:val="auto"/>
                      <w:kern w:val="0"/>
                      <w:szCs w:val="21"/>
                      <w:lang w:val="en-US" w:eastAsia="zh-CN" w:bidi="ar"/>
                    </w:rPr>
                    <w:t>设备生产能力</w:t>
                  </w:r>
                </w:p>
              </w:tc>
              <w:tc>
                <w:tcPr>
                  <w:tcW w:w="876" w:type="dxa"/>
                  <w:vAlign w:val="center"/>
                </w:tcPr>
                <w:p w14:paraId="30AC5E20">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年工作时间（h）</w:t>
                  </w:r>
                </w:p>
              </w:tc>
              <w:tc>
                <w:tcPr>
                  <w:tcW w:w="876" w:type="dxa"/>
                  <w:vAlign w:val="center"/>
                </w:tcPr>
                <w:p w14:paraId="29F3D11F">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设备数量</w:t>
                  </w:r>
                  <w:r>
                    <w:rPr>
                      <w:rFonts w:hint="eastAsia" w:ascii="Times New Roman" w:hAnsi="Times New Roman" w:cs="Times New Roman"/>
                      <w:b w:val="0"/>
                      <w:bCs w:val="0"/>
                      <w:snapToGrid w:val="0"/>
                      <w:color w:val="auto"/>
                      <w:kern w:val="0"/>
                      <w:sz w:val="21"/>
                      <w:szCs w:val="21"/>
                      <w:lang w:eastAsia="zh-CN"/>
                    </w:rPr>
                    <w:t>（</w:t>
                  </w:r>
                  <w:r>
                    <w:rPr>
                      <w:rFonts w:hint="eastAsia" w:ascii="Times New Roman" w:hAnsi="Times New Roman" w:cs="Times New Roman"/>
                      <w:b w:val="0"/>
                      <w:bCs w:val="0"/>
                      <w:snapToGrid w:val="0"/>
                      <w:color w:val="auto"/>
                      <w:kern w:val="0"/>
                      <w:sz w:val="21"/>
                      <w:szCs w:val="21"/>
                      <w:lang w:val="en-US" w:eastAsia="zh-CN"/>
                    </w:rPr>
                    <w:t>条</w:t>
                  </w:r>
                  <w:r>
                    <w:rPr>
                      <w:rFonts w:hint="eastAsia" w:ascii="Times New Roman" w:hAnsi="Times New Roman" w:cs="Times New Roman"/>
                      <w:b w:val="0"/>
                      <w:bCs w:val="0"/>
                      <w:snapToGrid w:val="0"/>
                      <w:color w:val="auto"/>
                      <w:kern w:val="0"/>
                      <w:sz w:val="21"/>
                      <w:szCs w:val="21"/>
                      <w:lang w:eastAsia="zh-CN"/>
                    </w:rPr>
                    <w:t>）</w:t>
                  </w:r>
                </w:p>
              </w:tc>
              <w:tc>
                <w:tcPr>
                  <w:tcW w:w="1700" w:type="dxa"/>
                  <w:gridSpan w:val="2"/>
                  <w:vAlign w:val="center"/>
                </w:tcPr>
                <w:p w14:paraId="688CB95B">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满负荷运行产能</w:t>
                  </w:r>
                </w:p>
              </w:tc>
              <w:tc>
                <w:tcPr>
                  <w:tcW w:w="1008" w:type="dxa"/>
                  <w:vAlign w:val="center"/>
                </w:tcPr>
                <w:p w14:paraId="02A14F4E">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设计生产规模</w:t>
                  </w:r>
                </w:p>
              </w:tc>
              <w:tc>
                <w:tcPr>
                  <w:tcW w:w="943" w:type="dxa"/>
                  <w:vAlign w:val="center"/>
                </w:tcPr>
                <w:p w14:paraId="6FB19CD7">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eastAsia"/>
                      <w:b w:val="0"/>
                      <w:bCs w:val="0"/>
                      <w:color w:val="auto"/>
                      <w:kern w:val="0"/>
                      <w:szCs w:val="21"/>
                      <w:lang w:val="en-US" w:eastAsia="zh-CN" w:bidi="ar"/>
                    </w:rPr>
                  </w:pPr>
                  <w:r>
                    <w:rPr>
                      <w:rFonts w:hint="default" w:ascii="Times New Roman" w:hAnsi="Times New Roman" w:cs="Times New Roman"/>
                      <w:b w:val="0"/>
                      <w:bCs w:val="0"/>
                      <w:snapToGrid w:val="0"/>
                      <w:color w:val="auto"/>
                      <w:kern w:val="0"/>
                      <w:sz w:val="21"/>
                      <w:szCs w:val="21"/>
                    </w:rPr>
                    <w:t>产能负荷（%）</w:t>
                  </w:r>
                </w:p>
              </w:tc>
            </w:tr>
            <w:tr w14:paraId="18F9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2" w:type="dxa"/>
                  <w:vAlign w:val="center"/>
                </w:tcPr>
                <w:p w14:paraId="5620FA69">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木塑门</w:t>
                  </w:r>
                </w:p>
              </w:tc>
              <w:tc>
                <w:tcPr>
                  <w:tcW w:w="1308" w:type="dxa"/>
                  <w:vAlign w:val="center"/>
                </w:tcPr>
                <w:p w14:paraId="70EF439D">
                  <w:pPr>
                    <w:widowControl/>
                    <w:jc w:val="center"/>
                    <w:textAlignment w:val="center"/>
                    <w:rPr>
                      <w:rFonts w:hint="default"/>
                      <w:color w:val="auto"/>
                      <w:kern w:val="0"/>
                      <w:szCs w:val="21"/>
                      <w:lang w:val="en-US" w:eastAsia="zh-CN" w:bidi="ar"/>
                    </w:rPr>
                  </w:pPr>
                  <w:r>
                    <w:rPr>
                      <w:rFonts w:hint="eastAsia"/>
                      <w:color w:val="auto"/>
                      <w:kern w:val="0"/>
                      <w:szCs w:val="21"/>
                      <w:lang w:bidi="ar"/>
                    </w:rPr>
                    <w:t>92型</w:t>
                  </w:r>
                  <w:r>
                    <w:rPr>
                      <w:rFonts w:hint="eastAsia"/>
                      <w:color w:val="auto"/>
                      <w:kern w:val="0"/>
                      <w:szCs w:val="21"/>
                      <w:lang w:val="en-US" w:eastAsia="zh-CN" w:bidi="ar"/>
                    </w:rPr>
                    <w:t>挤塑机</w:t>
                  </w:r>
                </w:p>
              </w:tc>
              <w:tc>
                <w:tcPr>
                  <w:tcW w:w="977" w:type="dxa"/>
                  <w:vAlign w:val="center"/>
                </w:tcPr>
                <w:p w14:paraId="5689B3A5">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370kg/h</w:t>
                  </w:r>
                </w:p>
              </w:tc>
              <w:tc>
                <w:tcPr>
                  <w:tcW w:w="876" w:type="dxa"/>
                  <w:vAlign w:val="center"/>
                </w:tcPr>
                <w:p w14:paraId="15CC4156">
                  <w:pPr>
                    <w:keepNext w:val="0"/>
                    <w:keepLines w:val="0"/>
                    <w:widowControl/>
                    <w:suppressLineNumbers w:val="0"/>
                    <w:jc w:val="center"/>
                    <w:textAlignment w:val="center"/>
                    <w:rPr>
                      <w:rFonts w:hint="default"/>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7680</w:t>
                  </w:r>
                </w:p>
              </w:tc>
              <w:tc>
                <w:tcPr>
                  <w:tcW w:w="876" w:type="dxa"/>
                  <w:vAlign w:val="center"/>
                </w:tcPr>
                <w:p w14:paraId="6B2B4933">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2</w:t>
                  </w:r>
                </w:p>
              </w:tc>
              <w:tc>
                <w:tcPr>
                  <w:tcW w:w="1700" w:type="dxa"/>
                  <w:gridSpan w:val="2"/>
                  <w:vAlign w:val="center"/>
                </w:tcPr>
                <w:p w14:paraId="1013849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5683.2</w:t>
                  </w:r>
                  <w:r>
                    <w:rPr>
                      <w:rFonts w:hint="default" w:ascii="Times New Roman" w:hAnsi="Times New Roman" w:cs="Times New Roman"/>
                      <w:b w:val="0"/>
                      <w:bCs w:val="0"/>
                      <w:snapToGrid w:val="0"/>
                      <w:color w:val="auto"/>
                      <w:kern w:val="0"/>
                      <w:sz w:val="21"/>
                      <w:szCs w:val="21"/>
                    </w:rPr>
                    <w:t>t/a</w:t>
                  </w:r>
                </w:p>
              </w:tc>
              <w:tc>
                <w:tcPr>
                  <w:tcW w:w="1008" w:type="dxa"/>
                  <w:vAlign w:val="center"/>
                </w:tcPr>
                <w:p w14:paraId="390D61DC">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5500</w:t>
                  </w:r>
                  <w:r>
                    <w:rPr>
                      <w:rFonts w:hint="default" w:ascii="Times New Roman" w:hAnsi="Times New Roman" w:cs="Times New Roman"/>
                      <w:b w:val="0"/>
                      <w:bCs w:val="0"/>
                      <w:snapToGrid w:val="0"/>
                      <w:color w:val="auto"/>
                      <w:kern w:val="0"/>
                      <w:sz w:val="21"/>
                      <w:szCs w:val="21"/>
                    </w:rPr>
                    <w:t>t/a</w:t>
                  </w:r>
                </w:p>
              </w:tc>
              <w:tc>
                <w:tcPr>
                  <w:tcW w:w="943" w:type="dxa"/>
                  <w:vAlign w:val="center"/>
                </w:tcPr>
                <w:p w14:paraId="2585A41A">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96.8%</w:t>
                  </w:r>
                </w:p>
              </w:tc>
            </w:tr>
            <w:tr w14:paraId="188D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2" w:type="dxa"/>
                  <w:vMerge w:val="restart"/>
                  <w:vAlign w:val="center"/>
                </w:tcPr>
                <w:p w14:paraId="456EF80B">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木塑线条</w:t>
                  </w:r>
                </w:p>
              </w:tc>
              <w:tc>
                <w:tcPr>
                  <w:tcW w:w="1308" w:type="dxa"/>
                  <w:vAlign w:val="center"/>
                </w:tcPr>
                <w:p w14:paraId="62F94DA0">
                  <w:pPr>
                    <w:widowControl/>
                    <w:jc w:val="center"/>
                    <w:textAlignment w:val="center"/>
                    <w:rPr>
                      <w:rFonts w:hint="eastAsia"/>
                      <w:color w:val="auto"/>
                      <w:kern w:val="0"/>
                      <w:szCs w:val="21"/>
                      <w:lang w:val="en-US" w:eastAsia="zh-CN" w:bidi="ar"/>
                    </w:rPr>
                  </w:pPr>
                  <w:r>
                    <w:rPr>
                      <w:rFonts w:hint="eastAsia"/>
                      <w:color w:val="auto"/>
                      <w:kern w:val="0"/>
                      <w:szCs w:val="21"/>
                      <w:lang w:bidi="ar"/>
                    </w:rPr>
                    <w:t>65型</w:t>
                  </w:r>
                  <w:r>
                    <w:rPr>
                      <w:rFonts w:hint="eastAsia"/>
                      <w:color w:val="auto"/>
                      <w:kern w:val="0"/>
                      <w:szCs w:val="21"/>
                      <w:lang w:val="en-US" w:eastAsia="zh-CN" w:bidi="ar"/>
                    </w:rPr>
                    <w:t>挤塑机</w:t>
                  </w:r>
                </w:p>
              </w:tc>
              <w:tc>
                <w:tcPr>
                  <w:tcW w:w="977" w:type="dxa"/>
                  <w:vAlign w:val="center"/>
                </w:tcPr>
                <w:p w14:paraId="17B2A6D6">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30m/h</w:t>
                  </w:r>
                </w:p>
              </w:tc>
              <w:tc>
                <w:tcPr>
                  <w:tcW w:w="876" w:type="dxa"/>
                  <w:vAlign w:val="center"/>
                </w:tcPr>
                <w:p w14:paraId="3F45FACE">
                  <w:pPr>
                    <w:keepNext w:val="0"/>
                    <w:keepLines w:val="0"/>
                    <w:widowControl/>
                    <w:suppressLineNumbers w:val="0"/>
                    <w:jc w:val="center"/>
                    <w:textAlignment w:val="center"/>
                    <w:rPr>
                      <w:rFonts w:hint="eastAsia"/>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7680</w:t>
                  </w:r>
                </w:p>
              </w:tc>
              <w:tc>
                <w:tcPr>
                  <w:tcW w:w="876" w:type="dxa"/>
                  <w:vAlign w:val="center"/>
                </w:tcPr>
                <w:p w14:paraId="3B816E5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6</w:t>
                  </w:r>
                </w:p>
              </w:tc>
              <w:tc>
                <w:tcPr>
                  <w:tcW w:w="692" w:type="dxa"/>
                  <w:vAlign w:val="center"/>
                </w:tcPr>
                <w:p w14:paraId="5AC1020B">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138.2万米</w:t>
                  </w:r>
                </w:p>
              </w:tc>
              <w:tc>
                <w:tcPr>
                  <w:tcW w:w="1008" w:type="dxa"/>
                  <w:vMerge w:val="restart"/>
                  <w:vAlign w:val="center"/>
                </w:tcPr>
                <w:p w14:paraId="726A719B">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330.2</w:t>
                  </w:r>
                </w:p>
                <w:p w14:paraId="41F808F2">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万米</w:t>
                  </w:r>
                </w:p>
                <w:p w14:paraId="3A12B80B">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(合计)</w:t>
                  </w:r>
                </w:p>
              </w:tc>
              <w:tc>
                <w:tcPr>
                  <w:tcW w:w="1008" w:type="dxa"/>
                  <w:vMerge w:val="restart"/>
                  <w:vAlign w:val="center"/>
                </w:tcPr>
                <w:p w14:paraId="3155E412">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200万米</w:t>
                  </w:r>
                </w:p>
              </w:tc>
              <w:tc>
                <w:tcPr>
                  <w:tcW w:w="943" w:type="dxa"/>
                  <w:vMerge w:val="restart"/>
                  <w:vAlign w:val="center"/>
                </w:tcPr>
                <w:p w14:paraId="27BE545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60.7%</w:t>
                  </w:r>
                </w:p>
              </w:tc>
            </w:tr>
            <w:tr w14:paraId="70E8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2" w:type="dxa"/>
                  <w:vMerge w:val="continue"/>
                  <w:vAlign w:val="center"/>
                </w:tcPr>
                <w:p w14:paraId="30C251FA">
                  <w:pPr>
                    <w:widowControl/>
                    <w:jc w:val="center"/>
                    <w:textAlignment w:val="center"/>
                    <w:rPr>
                      <w:rFonts w:hint="eastAsia"/>
                      <w:color w:val="auto"/>
                      <w:kern w:val="0"/>
                      <w:szCs w:val="21"/>
                      <w:lang w:val="en-US" w:eastAsia="zh-CN" w:bidi="ar"/>
                    </w:rPr>
                  </w:pPr>
                </w:p>
              </w:tc>
              <w:tc>
                <w:tcPr>
                  <w:tcW w:w="1308" w:type="dxa"/>
                  <w:vAlign w:val="center"/>
                </w:tcPr>
                <w:p w14:paraId="41390103">
                  <w:pPr>
                    <w:widowControl/>
                    <w:jc w:val="center"/>
                    <w:textAlignment w:val="center"/>
                    <w:rPr>
                      <w:rFonts w:hint="eastAsia"/>
                      <w:color w:val="auto"/>
                      <w:kern w:val="0"/>
                      <w:szCs w:val="21"/>
                      <w:lang w:val="en-US" w:eastAsia="zh-CN" w:bidi="ar"/>
                    </w:rPr>
                  </w:pPr>
                  <w:r>
                    <w:rPr>
                      <w:rFonts w:hint="eastAsia"/>
                      <w:color w:val="auto"/>
                      <w:kern w:val="0"/>
                      <w:szCs w:val="21"/>
                      <w:lang w:bidi="ar"/>
                    </w:rPr>
                    <w:t>51型</w:t>
                  </w:r>
                  <w:r>
                    <w:rPr>
                      <w:rFonts w:hint="eastAsia"/>
                      <w:color w:val="auto"/>
                      <w:kern w:val="0"/>
                      <w:szCs w:val="21"/>
                      <w:lang w:val="en-US" w:eastAsia="zh-CN" w:bidi="ar"/>
                    </w:rPr>
                    <w:t>挤塑机</w:t>
                  </w:r>
                </w:p>
              </w:tc>
              <w:tc>
                <w:tcPr>
                  <w:tcW w:w="977" w:type="dxa"/>
                  <w:vAlign w:val="center"/>
                </w:tcPr>
                <w:p w14:paraId="3982D528">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25m/h</w:t>
                  </w:r>
                </w:p>
              </w:tc>
              <w:tc>
                <w:tcPr>
                  <w:tcW w:w="876" w:type="dxa"/>
                  <w:vAlign w:val="center"/>
                </w:tcPr>
                <w:p w14:paraId="44A4EAD9">
                  <w:pPr>
                    <w:keepNext w:val="0"/>
                    <w:keepLines w:val="0"/>
                    <w:widowControl/>
                    <w:suppressLineNumbers w:val="0"/>
                    <w:jc w:val="center"/>
                    <w:textAlignment w:val="center"/>
                    <w:rPr>
                      <w:rFonts w:hint="eastAsia"/>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7680</w:t>
                  </w:r>
                </w:p>
              </w:tc>
              <w:tc>
                <w:tcPr>
                  <w:tcW w:w="876" w:type="dxa"/>
                  <w:vAlign w:val="center"/>
                </w:tcPr>
                <w:p w14:paraId="33A34869">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10</w:t>
                  </w:r>
                </w:p>
              </w:tc>
              <w:tc>
                <w:tcPr>
                  <w:tcW w:w="692" w:type="dxa"/>
                  <w:vAlign w:val="center"/>
                </w:tcPr>
                <w:p w14:paraId="6AED155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192.0万米</w:t>
                  </w:r>
                </w:p>
              </w:tc>
              <w:tc>
                <w:tcPr>
                  <w:tcW w:w="1008" w:type="dxa"/>
                  <w:vMerge w:val="continue"/>
                  <w:vAlign w:val="center"/>
                </w:tcPr>
                <w:p w14:paraId="49926FA8">
                  <w:pPr>
                    <w:widowControl/>
                    <w:jc w:val="center"/>
                    <w:textAlignment w:val="center"/>
                    <w:rPr>
                      <w:rFonts w:hint="eastAsia"/>
                      <w:color w:val="auto"/>
                      <w:kern w:val="0"/>
                      <w:szCs w:val="21"/>
                      <w:lang w:val="en-US" w:eastAsia="zh-CN" w:bidi="ar"/>
                    </w:rPr>
                  </w:pPr>
                </w:p>
              </w:tc>
              <w:tc>
                <w:tcPr>
                  <w:tcW w:w="1008" w:type="dxa"/>
                  <w:vMerge w:val="continue"/>
                  <w:vAlign w:val="center"/>
                </w:tcPr>
                <w:p w14:paraId="42D60621">
                  <w:pPr>
                    <w:widowControl/>
                    <w:jc w:val="center"/>
                    <w:textAlignment w:val="center"/>
                    <w:rPr>
                      <w:rFonts w:hint="eastAsia"/>
                      <w:color w:val="auto"/>
                      <w:kern w:val="0"/>
                      <w:szCs w:val="21"/>
                      <w:lang w:val="en-US" w:eastAsia="zh-CN" w:bidi="ar"/>
                    </w:rPr>
                  </w:pPr>
                </w:p>
              </w:tc>
              <w:tc>
                <w:tcPr>
                  <w:tcW w:w="943" w:type="dxa"/>
                  <w:vMerge w:val="continue"/>
                  <w:vAlign w:val="center"/>
                </w:tcPr>
                <w:p w14:paraId="66A1324D">
                  <w:pPr>
                    <w:widowControl/>
                    <w:jc w:val="center"/>
                    <w:textAlignment w:val="center"/>
                    <w:rPr>
                      <w:rFonts w:hint="eastAsia"/>
                      <w:color w:val="auto"/>
                      <w:kern w:val="0"/>
                      <w:szCs w:val="21"/>
                      <w:lang w:val="en-US" w:eastAsia="zh-CN" w:bidi="ar"/>
                    </w:rPr>
                  </w:pPr>
                </w:p>
              </w:tc>
            </w:tr>
          </w:tbl>
          <w:p w14:paraId="2190ECCC">
            <w:pPr>
              <w:spacing w:line="440" w:lineRule="exact"/>
              <w:ind w:firstLine="480" w:firstLineChars="200"/>
              <w:rPr>
                <w:rFonts w:hint="default" w:cs="Times New Roman"/>
                <w:color w:val="auto"/>
                <w:sz w:val="24"/>
                <w:szCs w:val="21"/>
                <w:lang w:val="en-US" w:eastAsia="zh-CN"/>
              </w:rPr>
            </w:pPr>
            <w:r>
              <w:rPr>
                <w:rFonts w:hint="eastAsia" w:cs="Times New Roman"/>
                <w:color w:val="auto"/>
                <w:sz w:val="24"/>
                <w:szCs w:val="21"/>
                <w:lang w:val="en-US" w:eastAsia="zh-CN"/>
              </w:rPr>
              <w:t>综上，项目设置的生产设备的数量能够满足项目的产能需求。</w:t>
            </w:r>
          </w:p>
          <w:p w14:paraId="7E40B21D">
            <w:pPr>
              <w:numPr>
                <w:ilvl w:val="0"/>
                <w:numId w:val="16"/>
              </w:numPr>
              <w:tabs>
                <w:tab w:val="left" w:pos="142"/>
                <w:tab w:val="left" w:pos="993"/>
              </w:tabs>
              <w:adjustRightInd w:val="0"/>
              <w:spacing w:line="360" w:lineRule="auto"/>
              <w:rPr>
                <w:b/>
                <w:color w:val="auto"/>
                <w:sz w:val="24"/>
              </w:rPr>
            </w:pPr>
            <w:r>
              <w:rPr>
                <w:b/>
                <w:color w:val="auto"/>
                <w:sz w:val="24"/>
              </w:rPr>
              <w:t>主要原辅材料及能源消耗</w:t>
            </w:r>
          </w:p>
          <w:p w14:paraId="12FDFFE5">
            <w:pPr>
              <w:widowControl/>
              <w:spacing w:line="360" w:lineRule="auto"/>
              <w:ind w:firstLine="425"/>
              <w:jc w:val="left"/>
              <w:rPr>
                <w:color w:val="auto"/>
                <w:sz w:val="24"/>
              </w:rPr>
            </w:pPr>
            <w:r>
              <w:rPr>
                <w:color w:val="auto"/>
                <w:sz w:val="24"/>
              </w:rPr>
              <w:t>（</w:t>
            </w:r>
            <w:r>
              <w:rPr>
                <w:rFonts w:hint="eastAsia"/>
                <w:color w:val="auto"/>
                <w:sz w:val="24"/>
              </w:rPr>
              <w:t>1</w:t>
            </w:r>
            <w:r>
              <w:rPr>
                <w:color w:val="auto"/>
                <w:sz w:val="24"/>
              </w:rPr>
              <w:t>）</w:t>
            </w:r>
            <w:r>
              <w:rPr>
                <w:rFonts w:hint="eastAsia"/>
                <w:color w:val="auto"/>
                <w:sz w:val="24"/>
              </w:rPr>
              <w:t>主要原辅材料消耗情况</w:t>
            </w:r>
          </w:p>
          <w:p w14:paraId="354EA353">
            <w:pPr>
              <w:widowControl/>
              <w:spacing w:line="360" w:lineRule="auto"/>
              <w:ind w:firstLine="425"/>
              <w:jc w:val="left"/>
              <w:rPr>
                <w:color w:val="auto"/>
                <w:szCs w:val="21"/>
              </w:rPr>
            </w:pPr>
            <w:r>
              <w:rPr>
                <w:color w:val="auto"/>
                <w:sz w:val="24"/>
              </w:rPr>
              <w:t>本项目的主要为</w:t>
            </w:r>
            <w:r>
              <w:rPr>
                <w:rFonts w:hint="eastAsia"/>
                <w:color w:val="auto"/>
                <w:sz w:val="24"/>
              </w:rPr>
              <w:t>PVC粉</w:t>
            </w:r>
            <w:r>
              <w:rPr>
                <w:color w:val="auto"/>
                <w:sz w:val="24"/>
              </w:rPr>
              <w:t>，</w:t>
            </w:r>
            <w:r>
              <w:rPr>
                <w:rFonts w:hint="eastAsia"/>
                <w:color w:val="auto"/>
                <w:sz w:val="24"/>
              </w:rPr>
              <w:t>本项目</w:t>
            </w:r>
            <w:r>
              <w:rPr>
                <w:color w:val="auto"/>
                <w:sz w:val="24"/>
              </w:rPr>
              <w:t>主要原辅材料消耗见下表。</w:t>
            </w:r>
          </w:p>
          <w:p w14:paraId="24DC644C">
            <w:pPr>
              <w:widowControl/>
              <w:numPr>
                <w:ilvl w:val="0"/>
                <w:numId w:val="17"/>
              </w:numPr>
              <w:spacing w:line="440" w:lineRule="exact"/>
              <w:jc w:val="center"/>
              <w:rPr>
                <w:rFonts w:eastAsia="黑体"/>
                <w:b/>
                <w:bCs/>
                <w:color w:val="auto"/>
                <w:kern w:val="0"/>
                <w:szCs w:val="21"/>
              </w:rPr>
            </w:pPr>
            <w:r>
              <w:rPr>
                <w:rFonts w:hint="eastAsia"/>
                <w:b/>
                <w:bCs/>
                <w:color w:val="auto"/>
                <w:kern w:val="0"/>
                <w:sz w:val="24"/>
              </w:rPr>
              <w:t>项目主要原辅材料及能源消耗情况</w:t>
            </w:r>
          </w:p>
          <w:tbl>
            <w:tblPr>
              <w:tblStyle w:val="8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8"/>
              <w:gridCol w:w="1583"/>
              <w:gridCol w:w="1186"/>
              <w:gridCol w:w="2027"/>
              <w:gridCol w:w="1474"/>
              <w:gridCol w:w="1179"/>
            </w:tblGrid>
            <w:tr w14:paraId="4C64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3600737A">
                  <w:pPr>
                    <w:snapToGrid w:val="0"/>
                    <w:jc w:val="center"/>
                    <w:rPr>
                      <w:b w:val="0"/>
                      <w:bCs w:val="0"/>
                      <w:color w:val="auto"/>
                      <w:kern w:val="0"/>
                      <w:szCs w:val="21"/>
                    </w:rPr>
                  </w:pPr>
                  <w:r>
                    <w:rPr>
                      <w:rFonts w:hint="eastAsia"/>
                      <w:b w:val="0"/>
                      <w:bCs w:val="0"/>
                      <w:color w:val="auto"/>
                      <w:kern w:val="0"/>
                      <w:szCs w:val="21"/>
                    </w:rPr>
                    <w:t>序号</w:t>
                  </w:r>
                </w:p>
              </w:tc>
              <w:tc>
                <w:tcPr>
                  <w:tcW w:w="945" w:type="pct"/>
                  <w:tcBorders>
                    <w:tl2br w:val="nil"/>
                    <w:tr2bl w:val="nil"/>
                  </w:tcBorders>
                  <w:vAlign w:val="center"/>
                </w:tcPr>
                <w:p w14:paraId="4A5AEE2E">
                  <w:pPr>
                    <w:snapToGrid w:val="0"/>
                    <w:jc w:val="center"/>
                    <w:rPr>
                      <w:b w:val="0"/>
                      <w:bCs w:val="0"/>
                      <w:color w:val="auto"/>
                      <w:kern w:val="0"/>
                      <w:szCs w:val="21"/>
                    </w:rPr>
                  </w:pPr>
                  <w:r>
                    <w:rPr>
                      <w:rFonts w:hint="eastAsia"/>
                      <w:b w:val="0"/>
                      <w:bCs w:val="0"/>
                      <w:color w:val="auto"/>
                      <w:kern w:val="0"/>
                      <w:szCs w:val="21"/>
                    </w:rPr>
                    <w:t>原辅材料</w:t>
                  </w:r>
                  <w:r>
                    <w:rPr>
                      <w:b w:val="0"/>
                      <w:bCs w:val="0"/>
                      <w:color w:val="auto"/>
                      <w:kern w:val="0"/>
                      <w:szCs w:val="21"/>
                    </w:rPr>
                    <w:t>名称</w:t>
                  </w:r>
                </w:p>
              </w:tc>
              <w:tc>
                <w:tcPr>
                  <w:tcW w:w="708" w:type="pct"/>
                  <w:tcBorders>
                    <w:tl2br w:val="nil"/>
                    <w:tr2bl w:val="nil"/>
                  </w:tcBorders>
                  <w:vAlign w:val="center"/>
                </w:tcPr>
                <w:p w14:paraId="1D7032E7">
                  <w:pPr>
                    <w:snapToGrid w:val="0"/>
                    <w:jc w:val="center"/>
                    <w:rPr>
                      <w:b w:val="0"/>
                      <w:bCs w:val="0"/>
                      <w:color w:val="auto"/>
                      <w:kern w:val="0"/>
                      <w:szCs w:val="21"/>
                    </w:rPr>
                  </w:pPr>
                  <w:r>
                    <w:rPr>
                      <w:rFonts w:hint="eastAsia"/>
                      <w:b w:val="0"/>
                      <w:bCs w:val="0"/>
                      <w:color w:val="auto"/>
                      <w:kern w:val="0"/>
                      <w:szCs w:val="21"/>
                    </w:rPr>
                    <w:t>年耗量</w:t>
                  </w:r>
                </w:p>
              </w:tc>
              <w:tc>
                <w:tcPr>
                  <w:tcW w:w="1210" w:type="pct"/>
                  <w:tcBorders>
                    <w:tl2br w:val="nil"/>
                    <w:tr2bl w:val="nil"/>
                  </w:tcBorders>
                  <w:vAlign w:val="center"/>
                </w:tcPr>
                <w:p w14:paraId="745D99BD">
                  <w:pPr>
                    <w:snapToGrid w:val="0"/>
                    <w:jc w:val="center"/>
                    <w:rPr>
                      <w:b w:val="0"/>
                      <w:bCs w:val="0"/>
                      <w:color w:val="auto"/>
                      <w:kern w:val="0"/>
                      <w:szCs w:val="21"/>
                    </w:rPr>
                  </w:pPr>
                  <w:r>
                    <w:rPr>
                      <w:rFonts w:hint="eastAsia"/>
                      <w:b w:val="0"/>
                      <w:bCs w:val="0"/>
                      <w:color w:val="auto"/>
                      <w:kern w:val="0"/>
                      <w:szCs w:val="21"/>
                    </w:rPr>
                    <w:t>包装规格/形态</w:t>
                  </w:r>
                </w:p>
              </w:tc>
              <w:tc>
                <w:tcPr>
                  <w:tcW w:w="880" w:type="pct"/>
                  <w:tcBorders>
                    <w:tl2br w:val="nil"/>
                    <w:tr2bl w:val="nil"/>
                  </w:tcBorders>
                  <w:vAlign w:val="center"/>
                </w:tcPr>
                <w:p w14:paraId="45DFCEFC">
                  <w:pPr>
                    <w:snapToGrid w:val="0"/>
                    <w:jc w:val="center"/>
                    <w:rPr>
                      <w:b w:val="0"/>
                      <w:bCs w:val="0"/>
                      <w:color w:val="auto"/>
                      <w:kern w:val="0"/>
                      <w:szCs w:val="21"/>
                    </w:rPr>
                  </w:pPr>
                  <w:r>
                    <w:rPr>
                      <w:rFonts w:hint="eastAsia"/>
                      <w:b w:val="0"/>
                      <w:bCs w:val="0"/>
                      <w:color w:val="auto"/>
                      <w:kern w:val="0"/>
                      <w:szCs w:val="21"/>
                    </w:rPr>
                    <w:t>最大储存量</w:t>
                  </w:r>
                </w:p>
              </w:tc>
              <w:tc>
                <w:tcPr>
                  <w:tcW w:w="704" w:type="pct"/>
                  <w:tcBorders>
                    <w:tl2br w:val="nil"/>
                    <w:tr2bl w:val="nil"/>
                  </w:tcBorders>
                  <w:vAlign w:val="center"/>
                </w:tcPr>
                <w:p w14:paraId="361485F8">
                  <w:pPr>
                    <w:snapToGrid w:val="0"/>
                    <w:jc w:val="center"/>
                    <w:rPr>
                      <w:b w:val="0"/>
                      <w:bCs w:val="0"/>
                      <w:color w:val="auto"/>
                      <w:kern w:val="0"/>
                      <w:szCs w:val="21"/>
                    </w:rPr>
                  </w:pPr>
                  <w:r>
                    <w:rPr>
                      <w:rFonts w:hint="eastAsia"/>
                      <w:b w:val="0"/>
                      <w:bCs w:val="0"/>
                      <w:color w:val="auto"/>
                      <w:kern w:val="0"/>
                      <w:szCs w:val="21"/>
                    </w:rPr>
                    <w:t>暂存位置</w:t>
                  </w:r>
                </w:p>
              </w:tc>
            </w:tr>
            <w:tr w14:paraId="020C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3F26D17D">
                  <w:pPr>
                    <w:widowControl/>
                    <w:jc w:val="center"/>
                    <w:textAlignment w:val="center"/>
                    <w:rPr>
                      <w:color w:val="auto"/>
                      <w:kern w:val="0"/>
                      <w:szCs w:val="21"/>
                      <w:lang w:bidi="ar"/>
                    </w:rPr>
                  </w:pPr>
                  <w:r>
                    <w:rPr>
                      <w:rFonts w:hint="eastAsia"/>
                      <w:color w:val="auto"/>
                      <w:kern w:val="0"/>
                      <w:szCs w:val="21"/>
                      <w:lang w:bidi="ar"/>
                    </w:rPr>
                    <w:t>1</w:t>
                  </w:r>
                </w:p>
              </w:tc>
              <w:tc>
                <w:tcPr>
                  <w:tcW w:w="945" w:type="pct"/>
                  <w:tcBorders>
                    <w:tl2br w:val="nil"/>
                    <w:tr2bl w:val="nil"/>
                  </w:tcBorders>
                  <w:vAlign w:val="center"/>
                </w:tcPr>
                <w:p w14:paraId="4F3F86D2">
                  <w:pPr>
                    <w:widowControl/>
                    <w:jc w:val="center"/>
                    <w:textAlignment w:val="center"/>
                    <w:rPr>
                      <w:color w:val="auto"/>
                      <w:kern w:val="0"/>
                      <w:szCs w:val="21"/>
                      <w:lang w:bidi="ar"/>
                    </w:rPr>
                  </w:pPr>
                  <w:r>
                    <w:rPr>
                      <w:rFonts w:hint="eastAsia"/>
                      <w:color w:val="auto"/>
                      <w:kern w:val="0"/>
                      <w:szCs w:val="21"/>
                      <w:lang w:bidi="ar"/>
                    </w:rPr>
                    <w:t>PVC粉</w:t>
                  </w:r>
                </w:p>
                <w:p w14:paraId="5323FB08">
                  <w:pPr>
                    <w:widowControl/>
                    <w:jc w:val="center"/>
                    <w:textAlignment w:val="center"/>
                    <w:rPr>
                      <w:color w:val="auto"/>
                      <w:kern w:val="0"/>
                      <w:szCs w:val="21"/>
                      <w:lang w:bidi="ar"/>
                    </w:rPr>
                  </w:pPr>
                  <w:r>
                    <w:rPr>
                      <w:rFonts w:hint="eastAsia"/>
                      <w:color w:val="auto"/>
                      <w:kern w:val="0"/>
                      <w:szCs w:val="21"/>
                      <w:lang w:bidi="ar"/>
                    </w:rPr>
                    <w:t>（新料）</w:t>
                  </w:r>
                </w:p>
              </w:tc>
              <w:tc>
                <w:tcPr>
                  <w:tcW w:w="708" w:type="pct"/>
                  <w:tcBorders>
                    <w:tl2br w:val="nil"/>
                    <w:tr2bl w:val="nil"/>
                  </w:tcBorders>
                  <w:vAlign w:val="center"/>
                </w:tcPr>
                <w:p w14:paraId="26624C75">
                  <w:pPr>
                    <w:jc w:val="center"/>
                    <w:rPr>
                      <w:color w:val="auto"/>
                      <w:szCs w:val="21"/>
                    </w:rPr>
                  </w:pPr>
                  <w:r>
                    <w:rPr>
                      <w:rFonts w:hint="eastAsia"/>
                      <w:color w:val="auto"/>
                      <w:szCs w:val="21"/>
                      <w:lang w:val="en-US" w:eastAsia="zh-CN"/>
                    </w:rPr>
                    <w:t>2560</w:t>
                  </w:r>
                  <w:r>
                    <w:rPr>
                      <w:rFonts w:hint="eastAsia"/>
                      <w:color w:val="auto"/>
                      <w:szCs w:val="21"/>
                    </w:rPr>
                    <w:t>t</w:t>
                  </w:r>
                </w:p>
              </w:tc>
              <w:tc>
                <w:tcPr>
                  <w:tcW w:w="1210" w:type="pct"/>
                  <w:tcBorders>
                    <w:tl2br w:val="nil"/>
                    <w:tr2bl w:val="nil"/>
                  </w:tcBorders>
                  <w:vAlign w:val="center"/>
                </w:tcPr>
                <w:p w14:paraId="241BE339">
                  <w:pPr>
                    <w:widowControl/>
                    <w:jc w:val="center"/>
                    <w:textAlignment w:val="center"/>
                    <w:rPr>
                      <w:rFonts w:hint="eastAsia" w:eastAsia="宋体"/>
                      <w:color w:val="auto"/>
                      <w:kern w:val="0"/>
                      <w:szCs w:val="21"/>
                      <w:lang w:val="en-US" w:eastAsia="zh-CN"/>
                    </w:rPr>
                  </w:pPr>
                  <w:r>
                    <w:rPr>
                      <w:rFonts w:hint="eastAsia"/>
                      <w:color w:val="auto"/>
                      <w:kern w:val="0"/>
                      <w:szCs w:val="21"/>
                    </w:rPr>
                    <w:t>25kg/袋装/</w:t>
                  </w:r>
                  <w:r>
                    <w:rPr>
                      <w:rFonts w:hint="eastAsia"/>
                      <w:color w:val="auto"/>
                      <w:kern w:val="0"/>
                      <w:szCs w:val="21"/>
                      <w:lang w:val="en-US" w:eastAsia="zh-CN"/>
                    </w:rPr>
                    <w:t>粉末状</w:t>
                  </w:r>
                </w:p>
              </w:tc>
              <w:tc>
                <w:tcPr>
                  <w:tcW w:w="880" w:type="pct"/>
                  <w:tcBorders>
                    <w:tl2br w:val="nil"/>
                    <w:tr2bl w:val="nil"/>
                  </w:tcBorders>
                  <w:vAlign w:val="center"/>
                </w:tcPr>
                <w:p w14:paraId="5CE8B675">
                  <w:pPr>
                    <w:widowControl/>
                    <w:jc w:val="center"/>
                    <w:textAlignment w:val="center"/>
                    <w:rPr>
                      <w:color w:val="auto"/>
                      <w:kern w:val="0"/>
                      <w:szCs w:val="21"/>
                      <w:lang w:bidi="ar"/>
                    </w:rPr>
                  </w:pPr>
                  <w:r>
                    <w:rPr>
                      <w:rFonts w:hint="eastAsia"/>
                      <w:color w:val="auto"/>
                      <w:kern w:val="0"/>
                      <w:szCs w:val="21"/>
                      <w:lang w:bidi="ar"/>
                    </w:rPr>
                    <w:t>50t</w:t>
                  </w:r>
                </w:p>
              </w:tc>
              <w:tc>
                <w:tcPr>
                  <w:tcW w:w="704" w:type="pct"/>
                  <w:tcBorders>
                    <w:tl2br w:val="nil"/>
                    <w:tr2bl w:val="nil"/>
                  </w:tcBorders>
                  <w:vAlign w:val="center"/>
                </w:tcPr>
                <w:p w14:paraId="66AC7B8C">
                  <w:pPr>
                    <w:widowControl/>
                    <w:jc w:val="center"/>
                    <w:textAlignment w:val="center"/>
                    <w:rPr>
                      <w:color w:val="auto"/>
                      <w:kern w:val="0"/>
                      <w:szCs w:val="21"/>
                      <w:lang w:bidi="ar"/>
                    </w:rPr>
                  </w:pPr>
                  <w:r>
                    <w:rPr>
                      <w:rFonts w:hint="eastAsia"/>
                      <w:color w:val="auto"/>
                      <w:kern w:val="0"/>
                      <w:szCs w:val="21"/>
                      <w:lang w:bidi="ar"/>
                    </w:rPr>
                    <w:t>原料仓库</w:t>
                  </w:r>
                </w:p>
              </w:tc>
            </w:tr>
            <w:tr w14:paraId="2F12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3613D0F7">
                  <w:pPr>
                    <w:widowControl/>
                    <w:jc w:val="center"/>
                    <w:textAlignment w:val="center"/>
                    <w:rPr>
                      <w:color w:val="auto"/>
                      <w:kern w:val="0"/>
                      <w:szCs w:val="21"/>
                      <w:lang w:bidi="ar"/>
                    </w:rPr>
                  </w:pPr>
                  <w:r>
                    <w:rPr>
                      <w:rFonts w:hint="eastAsia"/>
                      <w:color w:val="auto"/>
                      <w:kern w:val="0"/>
                      <w:szCs w:val="21"/>
                      <w:lang w:bidi="ar"/>
                    </w:rPr>
                    <w:t>2</w:t>
                  </w:r>
                </w:p>
              </w:tc>
              <w:tc>
                <w:tcPr>
                  <w:tcW w:w="945" w:type="pct"/>
                  <w:tcBorders>
                    <w:tl2br w:val="nil"/>
                    <w:tr2bl w:val="nil"/>
                  </w:tcBorders>
                  <w:vAlign w:val="center"/>
                </w:tcPr>
                <w:p w14:paraId="31447058">
                  <w:pPr>
                    <w:widowControl/>
                    <w:jc w:val="center"/>
                    <w:textAlignment w:val="center"/>
                    <w:rPr>
                      <w:color w:val="auto"/>
                      <w:kern w:val="0"/>
                      <w:szCs w:val="21"/>
                      <w:lang w:bidi="ar"/>
                    </w:rPr>
                  </w:pPr>
                  <w:r>
                    <w:rPr>
                      <w:rFonts w:hint="eastAsia"/>
                      <w:color w:val="auto"/>
                      <w:kern w:val="0"/>
                      <w:szCs w:val="21"/>
                      <w:lang w:bidi="ar"/>
                    </w:rPr>
                    <w:t>钙粉（CaCO</w:t>
                  </w:r>
                  <w:r>
                    <w:rPr>
                      <w:rFonts w:hint="eastAsia"/>
                      <w:color w:val="auto"/>
                      <w:kern w:val="0"/>
                      <w:szCs w:val="21"/>
                      <w:vertAlign w:val="subscript"/>
                      <w:lang w:bidi="ar"/>
                    </w:rPr>
                    <w:t>3</w:t>
                  </w:r>
                  <w:r>
                    <w:rPr>
                      <w:rFonts w:hint="eastAsia"/>
                      <w:color w:val="auto"/>
                      <w:kern w:val="0"/>
                      <w:szCs w:val="21"/>
                      <w:lang w:bidi="ar"/>
                    </w:rPr>
                    <w:t>）</w:t>
                  </w:r>
                </w:p>
              </w:tc>
              <w:tc>
                <w:tcPr>
                  <w:tcW w:w="708" w:type="pct"/>
                  <w:tcBorders>
                    <w:tl2br w:val="nil"/>
                    <w:tr2bl w:val="nil"/>
                  </w:tcBorders>
                  <w:vAlign w:val="center"/>
                </w:tcPr>
                <w:p w14:paraId="2996BDEE">
                  <w:pPr>
                    <w:jc w:val="center"/>
                    <w:rPr>
                      <w:color w:val="auto"/>
                      <w:szCs w:val="21"/>
                    </w:rPr>
                  </w:pPr>
                  <w:r>
                    <w:rPr>
                      <w:rFonts w:hint="eastAsia"/>
                      <w:color w:val="auto"/>
                      <w:szCs w:val="21"/>
                      <w:lang w:val="en-US" w:eastAsia="zh-CN"/>
                    </w:rPr>
                    <w:t>3840</w:t>
                  </w:r>
                  <w:r>
                    <w:rPr>
                      <w:rFonts w:hint="eastAsia"/>
                      <w:color w:val="auto"/>
                      <w:szCs w:val="21"/>
                    </w:rPr>
                    <w:t>t</w:t>
                  </w:r>
                </w:p>
              </w:tc>
              <w:tc>
                <w:tcPr>
                  <w:tcW w:w="1210" w:type="pct"/>
                  <w:tcBorders>
                    <w:tl2br w:val="nil"/>
                    <w:tr2bl w:val="nil"/>
                  </w:tcBorders>
                  <w:vAlign w:val="center"/>
                </w:tcPr>
                <w:p w14:paraId="170124C3">
                  <w:pPr>
                    <w:jc w:val="center"/>
                    <w:rPr>
                      <w:color w:val="auto"/>
                      <w:kern w:val="0"/>
                      <w:szCs w:val="21"/>
                    </w:rPr>
                  </w:pPr>
                  <w:r>
                    <w:rPr>
                      <w:rFonts w:hint="eastAsia"/>
                      <w:color w:val="auto"/>
                      <w:szCs w:val="21"/>
                    </w:rPr>
                    <w:t>25kg/袋装/</w:t>
                  </w:r>
                  <w:r>
                    <w:rPr>
                      <w:rFonts w:hint="eastAsia"/>
                      <w:color w:val="auto"/>
                      <w:kern w:val="0"/>
                      <w:szCs w:val="21"/>
                      <w:lang w:val="en-US" w:eastAsia="zh-CN"/>
                    </w:rPr>
                    <w:t>粉末状</w:t>
                  </w:r>
                </w:p>
              </w:tc>
              <w:tc>
                <w:tcPr>
                  <w:tcW w:w="880" w:type="pct"/>
                  <w:tcBorders>
                    <w:tl2br w:val="nil"/>
                    <w:tr2bl w:val="nil"/>
                  </w:tcBorders>
                  <w:vAlign w:val="center"/>
                </w:tcPr>
                <w:p w14:paraId="21EC0364">
                  <w:pPr>
                    <w:widowControl/>
                    <w:jc w:val="center"/>
                    <w:textAlignment w:val="center"/>
                    <w:rPr>
                      <w:color w:val="auto"/>
                      <w:kern w:val="0"/>
                      <w:szCs w:val="21"/>
                      <w:lang w:bidi="ar"/>
                    </w:rPr>
                  </w:pPr>
                  <w:r>
                    <w:rPr>
                      <w:rFonts w:hint="eastAsia"/>
                      <w:color w:val="auto"/>
                      <w:szCs w:val="21"/>
                    </w:rPr>
                    <w:t>75t</w:t>
                  </w:r>
                </w:p>
              </w:tc>
              <w:tc>
                <w:tcPr>
                  <w:tcW w:w="704" w:type="pct"/>
                  <w:tcBorders>
                    <w:tl2br w:val="nil"/>
                    <w:tr2bl w:val="nil"/>
                  </w:tcBorders>
                  <w:vAlign w:val="center"/>
                </w:tcPr>
                <w:p w14:paraId="764ACFCB">
                  <w:pPr>
                    <w:widowControl/>
                    <w:jc w:val="center"/>
                    <w:textAlignment w:val="center"/>
                    <w:rPr>
                      <w:color w:val="auto"/>
                      <w:kern w:val="0"/>
                      <w:szCs w:val="21"/>
                      <w:lang w:bidi="ar"/>
                    </w:rPr>
                  </w:pPr>
                  <w:r>
                    <w:rPr>
                      <w:rFonts w:hint="eastAsia"/>
                      <w:color w:val="auto"/>
                      <w:kern w:val="0"/>
                      <w:szCs w:val="21"/>
                      <w:lang w:bidi="ar"/>
                    </w:rPr>
                    <w:t>原料仓库</w:t>
                  </w:r>
                </w:p>
              </w:tc>
            </w:tr>
            <w:tr w14:paraId="6964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76045DA4">
                  <w:pPr>
                    <w:widowControl/>
                    <w:jc w:val="center"/>
                    <w:textAlignment w:val="center"/>
                    <w:rPr>
                      <w:color w:val="auto"/>
                      <w:kern w:val="0"/>
                      <w:szCs w:val="21"/>
                      <w:lang w:bidi="ar"/>
                    </w:rPr>
                  </w:pPr>
                  <w:r>
                    <w:rPr>
                      <w:rFonts w:hint="eastAsia"/>
                      <w:color w:val="auto"/>
                      <w:kern w:val="0"/>
                      <w:szCs w:val="21"/>
                      <w:lang w:bidi="ar"/>
                    </w:rPr>
                    <w:t>3</w:t>
                  </w:r>
                </w:p>
              </w:tc>
              <w:tc>
                <w:tcPr>
                  <w:tcW w:w="945" w:type="pct"/>
                  <w:tcBorders>
                    <w:tl2br w:val="nil"/>
                    <w:tr2bl w:val="nil"/>
                  </w:tcBorders>
                  <w:vAlign w:val="center"/>
                </w:tcPr>
                <w:p w14:paraId="208965B3">
                  <w:pPr>
                    <w:widowControl/>
                    <w:jc w:val="center"/>
                    <w:textAlignment w:val="center"/>
                    <w:rPr>
                      <w:color w:val="auto"/>
                      <w:kern w:val="0"/>
                      <w:szCs w:val="21"/>
                      <w:lang w:bidi="ar"/>
                    </w:rPr>
                  </w:pPr>
                  <w:r>
                    <w:rPr>
                      <w:rFonts w:hint="eastAsia"/>
                      <w:color w:val="auto"/>
                      <w:kern w:val="0"/>
                      <w:szCs w:val="21"/>
                      <w:lang w:bidi="ar"/>
                    </w:rPr>
                    <w:t>助剂HL-100</w:t>
                  </w:r>
                </w:p>
              </w:tc>
              <w:tc>
                <w:tcPr>
                  <w:tcW w:w="708" w:type="pct"/>
                  <w:tcBorders>
                    <w:tl2br w:val="nil"/>
                    <w:tr2bl w:val="nil"/>
                  </w:tcBorders>
                  <w:vAlign w:val="center"/>
                </w:tcPr>
                <w:p w14:paraId="520F4716">
                  <w:pPr>
                    <w:jc w:val="center"/>
                    <w:rPr>
                      <w:color w:val="auto"/>
                      <w:szCs w:val="21"/>
                    </w:rPr>
                  </w:pPr>
                  <w:r>
                    <w:rPr>
                      <w:rFonts w:hint="eastAsia"/>
                      <w:color w:val="auto"/>
                      <w:szCs w:val="21"/>
                      <w:lang w:val="en-US" w:eastAsia="zh-CN"/>
                    </w:rPr>
                    <w:t>128</w:t>
                  </w:r>
                  <w:r>
                    <w:rPr>
                      <w:rFonts w:hint="eastAsia"/>
                      <w:color w:val="auto"/>
                      <w:szCs w:val="21"/>
                    </w:rPr>
                    <w:t>t</w:t>
                  </w:r>
                </w:p>
              </w:tc>
              <w:tc>
                <w:tcPr>
                  <w:tcW w:w="1210" w:type="pct"/>
                  <w:tcBorders>
                    <w:tl2br w:val="nil"/>
                    <w:tr2bl w:val="nil"/>
                  </w:tcBorders>
                  <w:vAlign w:val="center"/>
                </w:tcPr>
                <w:p w14:paraId="2F2706A3">
                  <w:pPr>
                    <w:jc w:val="center"/>
                    <w:rPr>
                      <w:color w:val="auto"/>
                      <w:kern w:val="0"/>
                      <w:szCs w:val="21"/>
                    </w:rPr>
                  </w:pPr>
                  <w:r>
                    <w:rPr>
                      <w:rFonts w:hint="eastAsia"/>
                      <w:color w:val="auto"/>
                      <w:szCs w:val="21"/>
                    </w:rPr>
                    <w:t>25kg/袋装/</w:t>
                  </w:r>
                  <w:r>
                    <w:rPr>
                      <w:rFonts w:hint="eastAsia"/>
                      <w:color w:val="auto"/>
                      <w:kern w:val="0"/>
                      <w:szCs w:val="21"/>
                      <w:lang w:val="en-US" w:eastAsia="zh-CN"/>
                    </w:rPr>
                    <w:t>粉末状</w:t>
                  </w:r>
                </w:p>
              </w:tc>
              <w:tc>
                <w:tcPr>
                  <w:tcW w:w="880" w:type="pct"/>
                  <w:tcBorders>
                    <w:tl2br w:val="nil"/>
                    <w:tr2bl w:val="nil"/>
                  </w:tcBorders>
                  <w:vAlign w:val="center"/>
                </w:tcPr>
                <w:p w14:paraId="0736676C">
                  <w:pPr>
                    <w:widowControl/>
                    <w:jc w:val="center"/>
                    <w:textAlignment w:val="center"/>
                    <w:rPr>
                      <w:color w:val="auto"/>
                      <w:kern w:val="0"/>
                      <w:szCs w:val="21"/>
                      <w:lang w:bidi="ar"/>
                    </w:rPr>
                  </w:pPr>
                  <w:r>
                    <w:rPr>
                      <w:rFonts w:hint="eastAsia"/>
                      <w:color w:val="auto"/>
                      <w:szCs w:val="21"/>
                    </w:rPr>
                    <w:t>7t</w:t>
                  </w:r>
                </w:p>
              </w:tc>
              <w:tc>
                <w:tcPr>
                  <w:tcW w:w="704" w:type="pct"/>
                  <w:tcBorders>
                    <w:tl2br w:val="nil"/>
                    <w:tr2bl w:val="nil"/>
                  </w:tcBorders>
                  <w:vAlign w:val="center"/>
                </w:tcPr>
                <w:p w14:paraId="4D2A434B">
                  <w:pPr>
                    <w:widowControl/>
                    <w:jc w:val="center"/>
                    <w:textAlignment w:val="center"/>
                    <w:rPr>
                      <w:color w:val="auto"/>
                      <w:kern w:val="0"/>
                      <w:szCs w:val="21"/>
                      <w:lang w:bidi="ar"/>
                    </w:rPr>
                  </w:pPr>
                  <w:r>
                    <w:rPr>
                      <w:rFonts w:hint="eastAsia"/>
                      <w:color w:val="auto"/>
                      <w:kern w:val="0"/>
                      <w:szCs w:val="21"/>
                      <w:lang w:bidi="ar"/>
                    </w:rPr>
                    <w:t>原料仓库</w:t>
                  </w:r>
                </w:p>
              </w:tc>
            </w:tr>
            <w:tr w14:paraId="7B0C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4FF96FF8">
                  <w:pPr>
                    <w:widowControl/>
                    <w:jc w:val="center"/>
                    <w:textAlignment w:val="center"/>
                    <w:rPr>
                      <w:color w:val="auto"/>
                      <w:kern w:val="0"/>
                      <w:szCs w:val="21"/>
                      <w:lang w:bidi="ar"/>
                    </w:rPr>
                  </w:pPr>
                  <w:r>
                    <w:rPr>
                      <w:rFonts w:hint="eastAsia"/>
                      <w:color w:val="auto"/>
                      <w:kern w:val="0"/>
                      <w:szCs w:val="21"/>
                      <w:lang w:bidi="ar"/>
                    </w:rPr>
                    <w:t>4</w:t>
                  </w:r>
                </w:p>
              </w:tc>
              <w:tc>
                <w:tcPr>
                  <w:tcW w:w="945" w:type="pct"/>
                  <w:tcBorders>
                    <w:tl2br w:val="nil"/>
                    <w:tr2bl w:val="nil"/>
                  </w:tcBorders>
                  <w:vAlign w:val="center"/>
                </w:tcPr>
                <w:p w14:paraId="2F4963F9">
                  <w:pPr>
                    <w:widowControl/>
                    <w:jc w:val="center"/>
                    <w:textAlignment w:val="center"/>
                    <w:rPr>
                      <w:color w:val="auto"/>
                      <w:kern w:val="0"/>
                      <w:szCs w:val="21"/>
                      <w:lang w:bidi="ar"/>
                    </w:rPr>
                  </w:pPr>
                  <w:r>
                    <w:rPr>
                      <w:rFonts w:hint="eastAsia"/>
                      <w:color w:val="auto"/>
                      <w:kern w:val="0"/>
                      <w:szCs w:val="21"/>
                      <w:lang w:bidi="ar"/>
                    </w:rPr>
                    <w:t>钙锌稳定剂</w:t>
                  </w:r>
                </w:p>
              </w:tc>
              <w:tc>
                <w:tcPr>
                  <w:tcW w:w="708" w:type="pct"/>
                  <w:tcBorders>
                    <w:tl2br w:val="nil"/>
                    <w:tr2bl w:val="nil"/>
                  </w:tcBorders>
                  <w:vAlign w:val="center"/>
                </w:tcPr>
                <w:p w14:paraId="2D8D09FF">
                  <w:pPr>
                    <w:jc w:val="center"/>
                    <w:rPr>
                      <w:color w:val="auto"/>
                      <w:szCs w:val="21"/>
                    </w:rPr>
                  </w:pPr>
                  <w:r>
                    <w:rPr>
                      <w:rFonts w:hint="eastAsia"/>
                      <w:color w:val="auto"/>
                      <w:szCs w:val="21"/>
                      <w:lang w:val="en-US" w:eastAsia="zh-CN"/>
                    </w:rPr>
                    <w:t>64</w:t>
                  </w:r>
                  <w:r>
                    <w:rPr>
                      <w:rFonts w:hint="eastAsia"/>
                      <w:color w:val="auto"/>
                      <w:szCs w:val="21"/>
                    </w:rPr>
                    <w:t>t</w:t>
                  </w:r>
                </w:p>
              </w:tc>
              <w:tc>
                <w:tcPr>
                  <w:tcW w:w="1210" w:type="pct"/>
                  <w:tcBorders>
                    <w:tl2br w:val="nil"/>
                    <w:tr2bl w:val="nil"/>
                  </w:tcBorders>
                  <w:vAlign w:val="center"/>
                </w:tcPr>
                <w:p w14:paraId="16C53A81">
                  <w:pPr>
                    <w:jc w:val="center"/>
                    <w:rPr>
                      <w:color w:val="auto"/>
                      <w:kern w:val="0"/>
                      <w:szCs w:val="21"/>
                    </w:rPr>
                  </w:pPr>
                  <w:r>
                    <w:rPr>
                      <w:rFonts w:hint="eastAsia"/>
                      <w:color w:val="auto"/>
                      <w:szCs w:val="21"/>
                    </w:rPr>
                    <w:t>25kg/袋装/</w:t>
                  </w:r>
                  <w:r>
                    <w:rPr>
                      <w:rFonts w:hint="eastAsia"/>
                      <w:color w:val="auto"/>
                      <w:kern w:val="0"/>
                      <w:szCs w:val="21"/>
                      <w:lang w:val="en-US" w:eastAsia="zh-CN"/>
                    </w:rPr>
                    <w:t>粉末状</w:t>
                  </w:r>
                </w:p>
              </w:tc>
              <w:tc>
                <w:tcPr>
                  <w:tcW w:w="880" w:type="pct"/>
                  <w:tcBorders>
                    <w:tl2br w:val="nil"/>
                    <w:tr2bl w:val="nil"/>
                  </w:tcBorders>
                  <w:vAlign w:val="center"/>
                </w:tcPr>
                <w:p w14:paraId="2762298D">
                  <w:pPr>
                    <w:widowControl/>
                    <w:jc w:val="center"/>
                    <w:textAlignment w:val="center"/>
                    <w:rPr>
                      <w:color w:val="auto"/>
                      <w:kern w:val="0"/>
                      <w:szCs w:val="21"/>
                      <w:lang w:bidi="ar"/>
                    </w:rPr>
                  </w:pPr>
                  <w:r>
                    <w:rPr>
                      <w:rFonts w:hint="eastAsia"/>
                      <w:color w:val="auto"/>
                      <w:szCs w:val="21"/>
                    </w:rPr>
                    <w:t>4t</w:t>
                  </w:r>
                </w:p>
              </w:tc>
              <w:tc>
                <w:tcPr>
                  <w:tcW w:w="704" w:type="pct"/>
                  <w:tcBorders>
                    <w:tl2br w:val="nil"/>
                    <w:tr2bl w:val="nil"/>
                  </w:tcBorders>
                  <w:vAlign w:val="center"/>
                </w:tcPr>
                <w:p w14:paraId="7BE0D305">
                  <w:pPr>
                    <w:widowControl/>
                    <w:jc w:val="center"/>
                    <w:textAlignment w:val="center"/>
                    <w:rPr>
                      <w:color w:val="auto"/>
                      <w:kern w:val="0"/>
                      <w:szCs w:val="21"/>
                      <w:lang w:bidi="ar"/>
                    </w:rPr>
                  </w:pPr>
                  <w:r>
                    <w:rPr>
                      <w:rFonts w:hint="eastAsia"/>
                      <w:color w:val="auto"/>
                      <w:kern w:val="0"/>
                      <w:szCs w:val="21"/>
                      <w:lang w:bidi="ar"/>
                    </w:rPr>
                    <w:t>原料仓库</w:t>
                  </w:r>
                </w:p>
              </w:tc>
            </w:tr>
            <w:tr w14:paraId="2257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26E45076">
                  <w:pPr>
                    <w:widowControl/>
                    <w:jc w:val="center"/>
                    <w:textAlignment w:val="center"/>
                    <w:rPr>
                      <w:color w:val="auto"/>
                      <w:kern w:val="0"/>
                      <w:szCs w:val="21"/>
                      <w:lang w:bidi="ar"/>
                    </w:rPr>
                  </w:pPr>
                  <w:r>
                    <w:rPr>
                      <w:rFonts w:hint="eastAsia"/>
                      <w:color w:val="auto"/>
                      <w:kern w:val="0"/>
                      <w:szCs w:val="21"/>
                      <w:lang w:bidi="ar"/>
                    </w:rPr>
                    <w:t>5</w:t>
                  </w:r>
                </w:p>
              </w:tc>
              <w:tc>
                <w:tcPr>
                  <w:tcW w:w="945" w:type="pct"/>
                  <w:tcBorders>
                    <w:tl2br w:val="nil"/>
                    <w:tr2bl w:val="nil"/>
                  </w:tcBorders>
                  <w:vAlign w:val="center"/>
                </w:tcPr>
                <w:p w14:paraId="1FEF98B5">
                  <w:pPr>
                    <w:widowControl/>
                    <w:jc w:val="center"/>
                    <w:textAlignment w:val="center"/>
                    <w:rPr>
                      <w:color w:val="auto"/>
                      <w:kern w:val="0"/>
                      <w:szCs w:val="21"/>
                      <w:lang w:bidi="ar"/>
                    </w:rPr>
                  </w:pPr>
                  <w:r>
                    <w:rPr>
                      <w:rFonts w:hint="eastAsia"/>
                      <w:color w:val="auto"/>
                      <w:kern w:val="0"/>
                      <w:szCs w:val="21"/>
                      <w:lang w:bidi="ar"/>
                    </w:rPr>
                    <w:t>PE蜡</w:t>
                  </w:r>
                </w:p>
              </w:tc>
              <w:tc>
                <w:tcPr>
                  <w:tcW w:w="708" w:type="pct"/>
                  <w:tcBorders>
                    <w:tl2br w:val="nil"/>
                    <w:tr2bl w:val="nil"/>
                  </w:tcBorders>
                  <w:vAlign w:val="center"/>
                </w:tcPr>
                <w:p w14:paraId="45C2296D">
                  <w:pPr>
                    <w:jc w:val="center"/>
                    <w:rPr>
                      <w:color w:val="auto"/>
                      <w:szCs w:val="21"/>
                    </w:rPr>
                  </w:pPr>
                  <w:r>
                    <w:rPr>
                      <w:rFonts w:hint="eastAsia"/>
                      <w:color w:val="auto"/>
                      <w:szCs w:val="21"/>
                      <w:lang w:val="en-US" w:eastAsia="zh-CN"/>
                    </w:rPr>
                    <w:t>32</w:t>
                  </w:r>
                  <w:r>
                    <w:rPr>
                      <w:rFonts w:hint="eastAsia"/>
                      <w:color w:val="auto"/>
                      <w:szCs w:val="21"/>
                    </w:rPr>
                    <w:t>t</w:t>
                  </w:r>
                </w:p>
              </w:tc>
              <w:tc>
                <w:tcPr>
                  <w:tcW w:w="1210" w:type="pct"/>
                  <w:tcBorders>
                    <w:tl2br w:val="nil"/>
                    <w:tr2bl w:val="nil"/>
                  </w:tcBorders>
                  <w:vAlign w:val="center"/>
                </w:tcPr>
                <w:p w14:paraId="44BC13FD">
                  <w:pPr>
                    <w:jc w:val="center"/>
                    <w:rPr>
                      <w:color w:val="auto"/>
                      <w:kern w:val="0"/>
                      <w:szCs w:val="21"/>
                    </w:rPr>
                  </w:pPr>
                  <w:r>
                    <w:rPr>
                      <w:rFonts w:hint="eastAsia"/>
                      <w:color w:val="auto"/>
                      <w:szCs w:val="21"/>
                    </w:rPr>
                    <w:t>25kg/袋装/</w:t>
                  </w:r>
                  <w:r>
                    <w:rPr>
                      <w:rFonts w:hint="eastAsia"/>
                      <w:color w:val="auto"/>
                      <w:kern w:val="0"/>
                      <w:szCs w:val="21"/>
                      <w:lang w:val="en-US" w:eastAsia="zh-CN"/>
                    </w:rPr>
                    <w:t>粉末状</w:t>
                  </w:r>
                </w:p>
              </w:tc>
              <w:tc>
                <w:tcPr>
                  <w:tcW w:w="880" w:type="pct"/>
                  <w:tcBorders>
                    <w:tl2br w:val="nil"/>
                    <w:tr2bl w:val="nil"/>
                  </w:tcBorders>
                  <w:vAlign w:val="center"/>
                </w:tcPr>
                <w:p w14:paraId="7E579F22">
                  <w:pPr>
                    <w:widowControl/>
                    <w:jc w:val="center"/>
                    <w:textAlignment w:val="center"/>
                    <w:rPr>
                      <w:color w:val="auto"/>
                      <w:kern w:val="0"/>
                      <w:szCs w:val="21"/>
                      <w:lang w:bidi="ar"/>
                    </w:rPr>
                  </w:pPr>
                  <w:r>
                    <w:rPr>
                      <w:rFonts w:hint="eastAsia"/>
                      <w:color w:val="auto"/>
                      <w:szCs w:val="21"/>
                    </w:rPr>
                    <w:t>3t</w:t>
                  </w:r>
                </w:p>
              </w:tc>
              <w:tc>
                <w:tcPr>
                  <w:tcW w:w="704" w:type="pct"/>
                  <w:tcBorders>
                    <w:tl2br w:val="nil"/>
                    <w:tr2bl w:val="nil"/>
                  </w:tcBorders>
                  <w:vAlign w:val="center"/>
                </w:tcPr>
                <w:p w14:paraId="0280CD79">
                  <w:pPr>
                    <w:widowControl/>
                    <w:jc w:val="center"/>
                    <w:textAlignment w:val="center"/>
                    <w:rPr>
                      <w:color w:val="auto"/>
                      <w:kern w:val="0"/>
                      <w:szCs w:val="21"/>
                      <w:lang w:bidi="ar"/>
                    </w:rPr>
                  </w:pPr>
                  <w:r>
                    <w:rPr>
                      <w:rFonts w:hint="eastAsia"/>
                      <w:color w:val="auto"/>
                      <w:kern w:val="0"/>
                      <w:szCs w:val="21"/>
                      <w:lang w:bidi="ar"/>
                    </w:rPr>
                    <w:t>原料仓库</w:t>
                  </w:r>
                </w:p>
              </w:tc>
            </w:tr>
            <w:tr w14:paraId="7A2B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0857E1CC">
                  <w:pPr>
                    <w:widowControl/>
                    <w:jc w:val="center"/>
                    <w:textAlignment w:val="center"/>
                    <w:rPr>
                      <w:color w:val="auto"/>
                      <w:kern w:val="0"/>
                      <w:szCs w:val="21"/>
                      <w:lang w:bidi="ar"/>
                    </w:rPr>
                  </w:pPr>
                  <w:r>
                    <w:rPr>
                      <w:rFonts w:hint="eastAsia"/>
                      <w:color w:val="auto"/>
                      <w:kern w:val="0"/>
                      <w:szCs w:val="21"/>
                      <w:lang w:bidi="ar"/>
                    </w:rPr>
                    <w:t>6</w:t>
                  </w:r>
                </w:p>
              </w:tc>
              <w:tc>
                <w:tcPr>
                  <w:tcW w:w="945" w:type="pct"/>
                  <w:tcBorders>
                    <w:tl2br w:val="nil"/>
                    <w:tr2bl w:val="nil"/>
                  </w:tcBorders>
                  <w:vAlign w:val="center"/>
                </w:tcPr>
                <w:p w14:paraId="2E7E1026">
                  <w:pPr>
                    <w:widowControl/>
                    <w:jc w:val="center"/>
                    <w:textAlignment w:val="center"/>
                    <w:rPr>
                      <w:rFonts w:hint="eastAsia" w:eastAsia="宋体"/>
                      <w:color w:val="auto"/>
                      <w:kern w:val="0"/>
                      <w:szCs w:val="21"/>
                      <w:lang w:eastAsia="zh-CN" w:bidi="ar"/>
                    </w:rPr>
                  </w:pPr>
                  <w:r>
                    <w:rPr>
                      <w:rFonts w:hint="eastAsia"/>
                      <w:color w:val="auto"/>
                      <w:kern w:val="0"/>
                      <w:szCs w:val="21"/>
                      <w:lang w:val="en-US" w:eastAsia="zh-CN" w:bidi="ar"/>
                    </w:rPr>
                    <w:t>液压油</w:t>
                  </w:r>
                </w:p>
              </w:tc>
              <w:tc>
                <w:tcPr>
                  <w:tcW w:w="708" w:type="pct"/>
                  <w:tcBorders>
                    <w:tl2br w:val="nil"/>
                    <w:tr2bl w:val="nil"/>
                  </w:tcBorders>
                  <w:vAlign w:val="center"/>
                </w:tcPr>
                <w:p w14:paraId="353E4EC2">
                  <w:pPr>
                    <w:jc w:val="center"/>
                    <w:rPr>
                      <w:color w:val="auto"/>
                      <w:szCs w:val="21"/>
                    </w:rPr>
                  </w:pPr>
                  <w:r>
                    <w:rPr>
                      <w:rFonts w:hint="eastAsia"/>
                      <w:color w:val="auto"/>
                      <w:szCs w:val="21"/>
                    </w:rPr>
                    <w:t>0.5t</w:t>
                  </w:r>
                </w:p>
              </w:tc>
              <w:tc>
                <w:tcPr>
                  <w:tcW w:w="1210" w:type="pct"/>
                  <w:tcBorders>
                    <w:tl2br w:val="nil"/>
                    <w:tr2bl w:val="nil"/>
                  </w:tcBorders>
                  <w:vAlign w:val="center"/>
                </w:tcPr>
                <w:p w14:paraId="326030DC">
                  <w:pPr>
                    <w:jc w:val="center"/>
                    <w:rPr>
                      <w:rFonts w:hint="eastAsia" w:eastAsia="宋体"/>
                      <w:color w:val="auto"/>
                      <w:szCs w:val="21"/>
                      <w:lang w:eastAsia="zh-CN"/>
                    </w:rPr>
                  </w:pPr>
                  <w:r>
                    <w:rPr>
                      <w:rFonts w:hint="eastAsia"/>
                      <w:color w:val="auto"/>
                      <w:szCs w:val="21"/>
                    </w:rPr>
                    <w:t>200kg/桶装/</w:t>
                  </w:r>
                  <w:r>
                    <w:rPr>
                      <w:rFonts w:hint="eastAsia"/>
                      <w:color w:val="auto"/>
                      <w:szCs w:val="21"/>
                      <w:lang w:val="en-US" w:eastAsia="zh-CN"/>
                    </w:rPr>
                    <w:t>液态</w:t>
                  </w:r>
                </w:p>
              </w:tc>
              <w:tc>
                <w:tcPr>
                  <w:tcW w:w="880" w:type="pct"/>
                  <w:tcBorders>
                    <w:tl2br w:val="nil"/>
                    <w:tr2bl w:val="nil"/>
                  </w:tcBorders>
                  <w:vAlign w:val="center"/>
                </w:tcPr>
                <w:p w14:paraId="2F3F2D3B">
                  <w:pPr>
                    <w:widowControl/>
                    <w:jc w:val="center"/>
                    <w:textAlignment w:val="center"/>
                    <w:rPr>
                      <w:color w:val="auto"/>
                      <w:szCs w:val="21"/>
                    </w:rPr>
                  </w:pPr>
                  <w:r>
                    <w:rPr>
                      <w:rFonts w:hint="eastAsia"/>
                      <w:color w:val="auto"/>
                      <w:szCs w:val="21"/>
                    </w:rPr>
                    <w:t>0.</w:t>
                  </w:r>
                  <w:r>
                    <w:rPr>
                      <w:rFonts w:hint="eastAsia"/>
                      <w:color w:val="auto"/>
                      <w:szCs w:val="21"/>
                      <w:lang w:val="en-US" w:eastAsia="zh-CN"/>
                    </w:rPr>
                    <w:t>2</w:t>
                  </w:r>
                  <w:r>
                    <w:rPr>
                      <w:rFonts w:hint="eastAsia"/>
                      <w:color w:val="auto"/>
                      <w:szCs w:val="21"/>
                    </w:rPr>
                    <w:t>t</w:t>
                  </w:r>
                </w:p>
              </w:tc>
              <w:tc>
                <w:tcPr>
                  <w:tcW w:w="704" w:type="pct"/>
                  <w:tcBorders>
                    <w:tl2br w:val="nil"/>
                    <w:tr2bl w:val="nil"/>
                  </w:tcBorders>
                  <w:vAlign w:val="center"/>
                </w:tcPr>
                <w:p w14:paraId="25B70AF3">
                  <w:pPr>
                    <w:widowControl/>
                    <w:jc w:val="center"/>
                    <w:textAlignment w:val="center"/>
                    <w:rPr>
                      <w:color w:val="auto"/>
                      <w:kern w:val="0"/>
                      <w:szCs w:val="21"/>
                      <w:lang w:bidi="ar"/>
                    </w:rPr>
                  </w:pPr>
                  <w:r>
                    <w:rPr>
                      <w:rFonts w:hint="eastAsia"/>
                      <w:color w:val="auto"/>
                      <w:kern w:val="0"/>
                      <w:szCs w:val="21"/>
                      <w:lang w:bidi="ar"/>
                    </w:rPr>
                    <w:t>原料仓库</w:t>
                  </w:r>
                </w:p>
              </w:tc>
            </w:tr>
            <w:tr w14:paraId="1927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7DD504D9">
                  <w:pPr>
                    <w:widowControl/>
                    <w:jc w:val="center"/>
                    <w:textAlignment w:val="center"/>
                    <w:rPr>
                      <w:color w:val="auto"/>
                      <w:kern w:val="0"/>
                      <w:szCs w:val="21"/>
                      <w:lang w:bidi="ar"/>
                    </w:rPr>
                  </w:pPr>
                  <w:r>
                    <w:rPr>
                      <w:rFonts w:hint="eastAsia"/>
                      <w:color w:val="auto"/>
                      <w:kern w:val="0"/>
                      <w:szCs w:val="21"/>
                      <w:lang w:bidi="ar"/>
                    </w:rPr>
                    <w:t>7</w:t>
                  </w:r>
                </w:p>
              </w:tc>
              <w:tc>
                <w:tcPr>
                  <w:tcW w:w="945" w:type="pct"/>
                  <w:tcBorders>
                    <w:tl2br w:val="nil"/>
                    <w:tr2bl w:val="nil"/>
                  </w:tcBorders>
                  <w:vAlign w:val="center"/>
                </w:tcPr>
                <w:p w14:paraId="7027F0F1">
                  <w:pPr>
                    <w:widowControl/>
                    <w:jc w:val="center"/>
                    <w:textAlignment w:val="center"/>
                    <w:rPr>
                      <w:color w:val="auto"/>
                      <w:kern w:val="0"/>
                      <w:szCs w:val="21"/>
                      <w:lang w:bidi="ar"/>
                    </w:rPr>
                  </w:pPr>
                  <w:r>
                    <w:rPr>
                      <w:rFonts w:hint="eastAsia"/>
                      <w:color w:val="auto"/>
                      <w:kern w:val="0"/>
                      <w:szCs w:val="21"/>
                      <w:lang w:bidi="ar"/>
                    </w:rPr>
                    <w:t>水</w:t>
                  </w:r>
                </w:p>
              </w:tc>
              <w:tc>
                <w:tcPr>
                  <w:tcW w:w="708" w:type="pct"/>
                  <w:tcBorders>
                    <w:tl2br w:val="nil"/>
                    <w:tr2bl w:val="nil"/>
                  </w:tcBorders>
                  <w:vAlign w:val="center"/>
                </w:tcPr>
                <w:p w14:paraId="47532DFC">
                  <w:pPr>
                    <w:jc w:val="center"/>
                    <w:rPr>
                      <w:color w:val="auto"/>
                      <w:szCs w:val="21"/>
                    </w:rPr>
                  </w:pPr>
                  <w:r>
                    <w:rPr>
                      <w:rFonts w:hint="eastAsia"/>
                      <w:color w:val="auto"/>
                      <w:szCs w:val="21"/>
                      <w:lang w:val="en-US" w:eastAsia="zh-CN"/>
                    </w:rPr>
                    <w:t>2688</w:t>
                  </w:r>
                  <w:r>
                    <w:rPr>
                      <w:rFonts w:hint="eastAsia"/>
                      <w:color w:val="auto"/>
                      <w:szCs w:val="21"/>
                    </w:rPr>
                    <w:t>t</w:t>
                  </w:r>
                </w:p>
              </w:tc>
              <w:tc>
                <w:tcPr>
                  <w:tcW w:w="1210" w:type="pct"/>
                  <w:tcBorders>
                    <w:tl2br w:val="nil"/>
                    <w:tr2bl w:val="nil"/>
                  </w:tcBorders>
                  <w:vAlign w:val="center"/>
                </w:tcPr>
                <w:p w14:paraId="5D17EDB1">
                  <w:pPr>
                    <w:jc w:val="center"/>
                    <w:rPr>
                      <w:color w:val="auto"/>
                      <w:szCs w:val="21"/>
                    </w:rPr>
                  </w:pPr>
                  <w:r>
                    <w:rPr>
                      <w:rFonts w:hint="eastAsia"/>
                      <w:color w:val="auto"/>
                      <w:szCs w:val="21"/>
                    </w:rPr>
                    <w:t>/</w:t>
                  </w:r>
                </w:p>
              </w:tc>
              <w:tc>
                <w:tcPr>
                  <w:tcW w:w="880" w:type="pct"/>
                  <w:tcBorders>
                    <w:tl2br w:val="nil"/>
                    <w:tr2bl w:val="nil"/>
                  </w:tcBorders>
                  <w:vAlign w:val="center"/>
                </w:tcPr>
                <w:p w14:paraId="7A0694A3">
                  <w:pPr>
                    <w:widowControl/>
                    <w:jc w:val="center"/>
                    <w:textAlignment w:val="center"/>
                    <w:rPr>
                      <w:color w:val="auto"/>
                      <w:szCs w:val="21"/>
                    </w:rPr>
                  </w:pPr>
                  <w:r>
                    <w:rPr>
                      <w:rFonts w:hint="eastAsia"/>
                      <w:color w:val="auto"/>
                      <w:szCs w:val="21"/>
                    </w:rPr>
                    <w:t>/</w:t>
                  </w:r>
                </w:p>
              </w:tc>
              <w:tc>
                <w:tcPr>
                  <w:tcW w:w="704" w:type="pct"/>
                  <w:tcBorders>
                    <w:tl2br w:val="nil"/>
                    <w:tr2bl w:val="nil"/>
                  </w:tcBorders>
                  <w:vAlign w:val="center"/>
                </w:tcPr>
                <w:p w14:paraId="69811C49">
                  <w:pPr>
                    <w:widowControl/>
                    <w:jc w:val="center"/>
                    <w:textAlignment w:val="center"/>
                    <w:rPr>
                      <w:color w:val="auto"/>
                      <w:kern w:val="0"/>
                      <w:szCs w:val="21"/>
                      <w:lang w:bidi="ar"/>
                    </w:rPr>
                  </w:pPr>
                  <w:r>
                    <w:rPr>
                      <w:rFonts w:hint="eastAsia"/>
                      <w:color w:val="auto"/>
                      <w:kern w:val="0"/>
                      <w:szCs w:val="21"/>
                      <w:lang w:bidi="ar"/>
                    </w:rPr>
                    <w:t>/</w:t>
                  </w:r>
                </w:p>
              </w:tc>
            </w:tr>
            <w:tr w14:paraId="61EA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9" w:type="pct"/>
                  <w:tcBorders>
                    <w:tl2br w:val="nil"/>
                    <w:tr2bl w:val="nil"/>
                  </w:tcBorders>
                  <w:vAlign w:val="center"/>
                </w:tcPr>
                <w:p w14:paraId="0A079398">
                  <w:pPr>
                    <w:widowControl/>
                    <w:jc w:val="center"/>
                    <w:textAlignment w:val="center"/>
                    <w:rPr>
                      <w:color w:val="auto"/>
                      <w:kern w:val="0"/>
                      <w:szCs w:val="21"/>
                      <w:lang w:bidi="ar"/>
                    </w:rPr>
                  </w:pPr>
                  <w:r>
                    <w:rPr>
                      <w:rFonts w:hint="eastAsia"/>
                      <w:color w:val="auto"/>
                      <w:kern w:val="0"/>
                      <w:szCs w:val="21"/>
                      <w:lang w:bidi="ar"/>
                    </w:rPr>
                    <w:t>8</w:t>
                  </w:r>
                </w:p>
              </w:tc>
              <w:tc>
                <w:tcPr>
                  <w:tcW w:w="945" w:type="pct"/>
                  <w:tcBorders>
                    <w:tl2br w:val="nil"/>
                    <w:tr2bl w:val="nil"/>
                  </w:tcBorders>
                  <w:vAlign w:val="center"/>
                </w:tcPr>
                <w:p w14:paraId="5FB5DB66">
                  <w:pPr>
                    <w:widowControl/>
                    <w:jc w:val="center"/>
                    <w:textAlignment w:val="center"/>
                    <w:rPr>
                      <w:color w:val="auto"/>
                      <w:kern w:val="0"/>
                      <w:szCs w:val="21"/>
                      <w:lang w:bidi="ar"/>
                    </w:rPr>
                  </w:pPr>
                  <w:r>
                    <w:rPr>
                      <w:rFonts w:hint="eastAsia"/>
                      <w:color w:val="auto"/>
                      <w:kern w:val="0"/>
                      <w:szCs w:val="21"/>
                      <w:lang w:bidi="ar"/>
                    </w:rPr>
                    <w:t>电</w:t>
                  </w:r>
                </w:p>
              </w:tc>
              <w:tc>
                <w:tcPr>
                  <w:tcW w:w="708" w:type="pct"/>
                  <w:tcBorders>
                    <w:tl2br w:val="nil"/>
                    <w:tr2bl w:val="nil"/>
                  </w:tcBorders>
                  <w:vAlign w:val="center"/>
                </w:tcPr>
                <w:p w14:paraId="5EAEC633">
                  <w:pPr>
                    <w:jc w:val="center"/>
                    <w:rPr>
                      <w:color w:val="auto"/>
                      <w:szCs w:val="21"/>
                    </w:rPr>
                  </w:pPr>
                  <w:r>
                    <w:rPr>
                      <w:rFonts w:hint="eastAsia"/>
                      <w:color w:val="auto"/>
                      <w:szCs w:val="21"/>
                    </w:rPr>
                    <w:t>600万</w:t>
                  </w:r>
                  <w:r>
                    <w:rPr>
                      <w:color w:val="auto"/>
                    </w:rPr>
                    <w:t>kWh</w:t>
                  </w:r>
                </w:p>
              </w:tc>
              <w:tc>
                <w:tcPr>
                  <w:tcW w:w="1210" w:type="pct"/>
                  <w:tcBorders>
                    <w:tl2br w:val="nil"/>
                    <w:tr2bl w:val="nil"/>
                  </w:tcBorders>
                  <w:vAlign w:val="center"/>
                </w:tcPr>
                <w:p w14:paraId="71F66CD0">
                  <w:pPr>
                    <w:jc w:val="center"/>
                    <w:rPr>
                      <w:color w:val="auto"/>
                      <w:szCs w:val="21"/>
                    </w:rPr>
                  </w:pPr>
                  <w:r>
                    <w:rPr>
                      <w:rFonts w:hint="eastAsia"/>
                      <w:color w:val="auto"/>
                      <w:szCs w:val="21"/>
                    </w:rPr>
                    <w:t>/</w:t>
                  </w:r>
                </w:p>
              </w:tc>
              <w:tc>
                <w:tcPr>
                  <w:tcW w:w="880" w:type="pct"/>
                  <w:tcBorders>
                    <w:tl2br w:val="nil"/>
                    <w:tr2bl w:val="nil"/>
                  </w:tcBorders>
                  <w:vAlign w:val="center"/>
                </w:tcPr>
                <w:p w14:paraId="15B9630C">
                  <w:pPr>
                    <w:widowControl/>
                    <w:jc w:val="center"/>
                    <w:textAlignment w:val="center"/>
                    <w:rPr>
                      <w:color w:val="auto"/>
                      <w:szCs w:val="21"/>
                    </w:rPr>
                  </w:pPr>
                  <w:r>
                    <w:rPr>
                      <w:rFonts w:hint="eastAsia"/>
                      <w:color w:val="auto"/>
                      <w:szCs w:val="21"/>
                    </w:rPr>
                    <w:t>/</w:t>
                  </w:r>
                </w:p>
              </w:tc>
              <w:tc>
                <w:tcPr>
                  <w:tcW w:w="704" w:type="pct"/>
                  <w:tcBorders>
                    <w:tl2br w:val="nil"/>
                    <w:tr2bl w:val="nil"/>
                  </w:tcBorders>
                  <w:vAlign w:val="center"/>
                </w:tcPr>
                <w:p w14:paraId="04198407">
                  <w:pPr>
                    <w:widowControl/>
                    <w:jc w:val="center"/>
                    <w:textAlignment w:val="center"/>
                    <w:rPr>
                      <w:color w:val="auto"/>
                      <w:kern w:val="0"/>
                      <w:szCs w:val="21"/>
                      <w:lang w:bidi="ar"/>
                    </w:rPr>
                  </w:pPr>
                  <w:r>
                    <w:rPr>
                      <w:rFonts w:hint="eastAsia"/>
                      <w:color w:val="auto"/>
                      <w:kern w:val="0"/>
                      <w:szCs w:val="21"/>
                      <w:lang w:bidi="ar"/>
                    </w:rPr>
                    <w:t>/</w:t>
                  </w:r>
                </w:p>
              </w:tc>
            </w:tr>
          </w:tbl>
          <w:p w14:paraId="02A1A5A8">
            <w:pPr>
              <w:adjustRightInd w:val="0"/>
              <w:snapToGrid w:val="0"/>
              <w:spacing w:before="120" w:beforeLines="50" w:line="360" w:lineRule="auto"/>
              <w:ind w:firstLine="480" w:firstLineChars="200"/>
              <w:rPr>
                <w:color w:val="auto"/>
                <w:sz w:val="24"/>
                <w:szCs w:val="32"/>
              </w:rPr>
            </w:pPr>
            <w:r>
              <w:rPr>
                <w:rFonts w:hint="eastAsia"/>
                <w:color w:val="auto"/>
                <w:sz w:val="24"/>
                <w:szCs w:val="32"/>
              </w:rPr>
              <w:t>（2）原辅材料主要成分</w:t>
            </w:r>
          </w:p>
          <w:p w14:paraId="0E5CE178">
            <w:pPr>
              <w:autoSpaceDE w:val="0"/>
              <w:autoSpaceDN w:val="0"/>
              <w:adjustRightInd w:val="0"/>
              <w:snapToGrid w:val="0"/>
              <w:spacing w:line="360" w:lineRule="auto"/>
              <w:ind w:firstLine="480" w:firstLineChars="200"/>
              <w:rPr>
                <w:color w:val="auto"/>
                <w:sz w:val="24"/>
              </w:rPr>
            </w:pPr>
            <w:r>
              <w:rPr>
                <w:rFonts w:hint="eastAsia"/>
                <w:color w:val="auto"/>
                <w:sz w:val="24"/>
              </w:rPr>
              <w:t>根据企业内提供的MSDS，项目使用的原辅材料的主要成分及比例见下表。</w:t>
            </w:r>
          </w:p>
          <w:p w14:paraId="1C427E5B">
            <w:pPr>
              <w:widowControl/>
              <w:numPr>
                <w:ilvl w:val="0"/>
                <w:numId w:val="17"/>
              </w:numPr>
              <w:spacing w:line="440" w:lineRule="exact"/>
              <w:jc w:val="center"/>
              <w:rPr>
                <w:rFonts w:eastAsia="黑体"/>
                <w:b/>
                <w:bCs/>
                <w:color w:val="auto"/>
                <w:kern w:val="0"/>
                <w:szCs w:val="21"/>
              </w:rPr>
            </w:pPr>
            <w:r>
              <w:rPr>
                <w:rFonts w:hint="eastAsia"/>
                <w:b/>
                <w:bCs/>
                <w:color w:val="auto"/>
                <w:kern w:val="0"/>
                <w:sz w:val="24"/>
              </w:rPr>
              <w:t>项目原辅材料主要成分清单</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2453"/>
              <w:gridCol w:w="2095"/>
              <w:gridCol w:w="2096"/>
            </w:tblGrid>
            <w:tr w14:paraId="48CD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Align w:val="center"/>
                </w:tcPr>
                <w:p w14:paraId="3DF637A9">
                  <w:pPr>
                    <w:widowControl/>
                    <w:jc w:val="center"/>
                    <w:textAlignment w:val="center"/>
                    <w:rPr>
                      <w:color w:val="auto"/>
                      <w:kern w:val="0"/>
                      <w:szCs w:val="21"/>
                      <w:lang w:bidi="ar"/>
                    </w:rPr>
                  </w:pPr>
                  <w:r>
                    <w:rPr>
                      <w:rFonts w:hint="eastAsia"/>
                      <w:color w:val="auto"/>
                      <w:kern w:val="0"/>
                      <w:szCs w:val="21"/>
                      <w:lang w:bidi="ar"/>
                    </w:rPr>
                    <w:t>名称</w:t>
                  </w:r>
                </w:p>
              </w:tc>
              <w:tc>
                <w:tcPr>
                  <w:tcW w:w="2453" w:type="dxa"/>
                  <w:vAlign w:val="center"/>
                </w:tcPr>
                <w:p w14:paraId="29C216A1">
                  <w:pPr>
                    <w:widowControl/>
                    <w:jc w:val="center"/>
                    <w:textAlignment w:val="center"/>
                    <w:rPr>
                      <w:color w:val="auto"/>
                      <w:kern w:val="0"/>
                      <w:szCs w:val="21"/>
                      <w:lang w:bidi="ar"/>
                    </w:rPr>
                  </w:pPr>
                  <w:r>
                    <w:rPr>
                      <w:rFonts w:hint="eastAsia"/>
                      <w:color w:val="auto"/>
                      <w:kern w:val="0"/>
                      <w:szCs w:val="21"/>
                      <w:lang w:bidi="ar"/>
                    </w:rPr>
                    <w:t>成分</w:t>
                  </w:r>
                </w:p>
              </w:tc>
              <w:tc>
                <w:tcPr>
                  <w:tcW w:w="2095" w:type="dxa"/>
                  <w:vAlign w:val="center"/>
                </w:tcPr>
                <w:p w14:paraId="15EAD5DD">
                  <w:pPr>
                    <w:widowControl/>
                    <w:jc w:val="center"/>
                    <w:textAlignment w:val="center"/>
                    <w:rPr>
                      <w:color w:val="auto"/>
                      <w:kern w:val="0"/>
                      <w:szCs w:val="21"/>
                      <w:lang w:bidi="ar"/>
                    </w:rPr>
                  </w:pPr>
                  <w:r>
                    <w:rPr>
                      <w:rFonts w:hint="eastAsia"/>
                      <w:color w:val="auto"/>
                      <w:kern w:val="0"/>
                      <w:szCs w:val="21"/>
                      <w:lang w:bidi="ar"/>
                    </w:rPr>
                    <w:t>占比（%）</w:t>
                  </w:r>
                </w:p>
              </w:tc>
              <w:tc>
                <w:tcPr>
                  <w:tcW w:w="2096" w:type="dxa"/>
                  <w:vAlign w:val="center"/>
                </w:tcPr>
                <w:p w14:paraId="6D1B3BAD">
                  <w:pPr>
                    <w:widowControl/>
                    <w:jc w:val="center"/>
                    <w:textAlignment w:val="center"/>
                    <w:rPr>
                      <w:color w:val="auto"/>
                      <w:kern w:val="0"/>
                      <w:szCs w:val="21"/>
                      <w:lang w:bidi="ar"/>
                    </w:rPr>
                  </w:pPr>
                  <w:r>
                    <w:rPr>
                      <w:rFonts w:hint="eastAsia"/>
                      <w:color w:val="auto"/>
                      <w:kern w:val="0"/>
                      <w:szCs w:val="21"/>
                      <w:lang w:bidi="ar"/>
                    </w:rPr>
                    <w:t>本次评价取值（%）</w:t>
                  </w:r>
                </w:p>
              </w:tc>
            </w:tr>
            <w:tr w14:paraId="6D4E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restart"/>
                  <w:vAlign w:val="center"/>
                </w:tcPr>
                <w:p w14:paraId="05E1980C">
                  <w:pPr>
                    <w:widowControl/>
                    <w:jc w:val="center"/>
                    <w:textAlignment w:val="center"/>
                    <w:rPr>
                      <w:color w:val="auto"/>
                      <w:kern w:val="0"/>
                      <w:szCs w:val="21"/>
                      <w:lang w:bidi="ar"/>
                    </w:rPr>
                  </w:pPr>
                  <w:r>
                    <w:rPr>
                      <w:rFonts w:hint="eastAsia"/>
                      <w:color w:val="auto"/>
                      <w:kern w:val="0"/>
                      <w:szCs w:val="21"/>
                      <w:lang w:bidi="ar"/>
                    </w:rPr>
                    <w:t>助剂HL-100</w:t>
                  </w:r>
                </w:p>
              </w:tc>
              <w:tc>
                <w:tcPr>
                  <w:tcW w:w="2453" w:type="dxa"/>
                  <w:vAlign w:val="center"/>
                </w:tcPr>
                <w:p w14:paraId="3A92B969">
                  <w:pPr>
                    <w:widowControl/>
                    <w:jc w:val="center"/>
                    <w:textAlignment w:val="center"/>
                    <w:rPr>
                      <w:color w:val="auto"/>
                      <w:kern w:val="0"/>
                      <w:szCs w:val="21"/>
                      <w:lang w:bidi="ar"/>
                    </w:rPr>
                  </w:pPr>
                  <w:r>
                    <w:rPr>
                      <w:color w:val="auto"/>
                      <w:kern w:val="0"/>
                      <w:szCs w:val="21"/>
                      <w:lang w:bidi="ar"/>
                    </w:rPr>
                    <w:t>1-辛烯与乙烯的聚合物</w:t>
                  </w:r>
                </w:p>
              </w:tc>
              <w:tc>
                <w:tcPr>
                  <w:tcW w:w="2095" w:type="dxa"/>
                  <w:vAlign w:val="center"/>
                </w:tcPr>
                <w:p w14:paraId="29DFBBB3">
                  <w:pPr>
                    <w:widowControl/>
                    <w:jc w:val="center"/>
                    <w:textAlignment w:val="center"/>
                    <w:rPr>
                      <w:color w:val="auto"/>
                      <w:kern w:val="0"/>
                      <w:szCs w:val="21"/>
                      <w:lang w:bidi="ar"/>
                    </w:rPr>
                  </w:pPr>
                  <w:r>
                    <w:rPr>
                      <w:rFonts w:hint="eastAsia"/>
                      <w:color w:val="auto"/>
                      <w:kern w:val="0"/>
                      <w:szCs w:val="21"/>
                      <w:lang w:bidi="ar"/>
                    </w:rPr>
                    <w:t>60-70</w:t>
                  </w:r>
                </w:p>
              </w:tc>
              <w:tc>
                <w:tcPr>
                  <w:tcW w:w="2096" w:type="dxa"/>
                  <w:vAlign w:val="center"/>
                </w:tcPr>
                <w:p w14:paraId="0730919B">
                  <w:pPr>
                    <w:widowControl/>
                    <w:jc w:val="center"/>
                    <w:textAlignment w:val="center"/>
                    <w:rPr>
                      <w:color w:val="auto"/>
                      <w:kern w:val="0"/>
                      <w:szCs w:val="21"/>
                      <w:lang w:bidi="ar"/>
                    </w:rPr>
                  </w:pPr>
                  <w:r>
                    <w:rPr>
                      <w:rFonts w:hint="eastAsia"/>
                      <w:color w:val="auto"/>
                      <w:kern w:val="0"/>
                      <w:szCs w:val="21"/>
                      <w:lang w:bidi="ar"/>
                    </w:rPr>
                    <w:t>65</w:t>
                  </w:r>
                </w:p>
              </w:tc>
            </w:tr>
            <w:tr w14:paraId="50B8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7B052928">
                  <w:pPr>
                    <w:widowControl/>
                    <w:jc w:val="center"/>
                    <w:textAlignment w:val="center"/>
                    <w:rPr>
                      <w:color w:val="auto"/>
                      <w:kern w:val="0"/>
                      <w:szCs w:val="21"/>
                      <w:lang w:bidi="ar"/>
                    </w:rPr>
                  </w:pPr>
                </w:p>
              </w:tc>
              <w:tc>
                <w:tcPr>
                  <w:tcW w:w="2453" w:type="dxa"/>
                  <w:vAlign w:val="center"/>
                </w:tcPr>
                <w:p w14:paraId="1008CB29">
                  <w:pPr>
                    <w:widowControl/>
                    <w:jc w:val="center"/>
                    <w:textAlignment w:val="center"/>
                    <w:rPr>
                      <w:color w:val="auto"/>
                      <w:kern w:val="0"/>
                      <w:szCs w:val="21"/>
                      <w:lang w:bidi="ar"/>
                    </w:rPr>
                  </w:pPr>
                  <w:r>
                    <w:rPr>
                      <w:color w:val="auto"/>
                      <w:kern w:val="0"/>
                      <w:szCs w:val="21"/>
                      <w:lang w:bidi="ar"/>
                    </w:rPr>
                    <w:t>氯化聚乙烯</w:t>
                  </w:r>
                </w:p>
              </w:tc>
              <w:tc>
                <w:tcPr>
                  <w:tcW w:w="2095" w:type="dxa"/>
                  <w:vAlign w:val="center"/>
                </w:tcPr>
                <w:p w14:paraId="3C669F77">
                  <w:pPr>
                    <w:widowControl/>
                    <w:jc w:val="center"/>
                    <w:textAlignment w:val="center"/>
                    <w:rPr>
                      <w:color w:val="auto"/>
                      <w:kern w:val="0"/>
                      <w:szCs w:val="21"/>
                      <w:lang w:bidi="ar"/>
                    </w:rPr>
                  </w:pPr>
                  <w:r>
                    <w:rPr>
                      <w:rFonts w:hint="eastAsia"/>
                      <w:color w:val="auto"/>
                      <w:kern w:val="0"/>
                      <w:szCs w:val="21"/>
                      <w:lang w:bidi="ar"/>
                    </w:rPr>
                    <w:t>30-40</w:t>
                  </w:r>
                </w:p>
              </w:tc>
              <w:tc>
                <w:tcPr>
                  <w:tcW w:w="2096" w:type="dxa"/>
                  <w:vAlign w:val="center"/>
                </w:tcPr>
                <w:p w14:paraId="48005B37">
                  <w:pPr>
                    <w:widowControl/>
                    <w:jc w:val="center"/>
                    <w:textAlignment w:val="center"/>
                    <w:rPr>
                      <w:color w:val="auto"/>
                      <w:kern w:val="0"/>
                      <w:szCs w:val="21"/>
                      <w:lang w:bidi="ar"/>
                    </w:rPr>
                  </w:pPr>
                  <w:r>
                    <w:rPr>
                      <w:rFonts w:hint="eastAsia"/>
                      <w:color w:val="auto"/>
                      <w:kern w:val="0"/>
                      <w:szCs w:val="21"/>
                      <w:lang w:bidi="ar"/>
                    </w:rPr>
                    <w:t>35</w:t>
                  </w:r>
                </w:p>
              </w:tc>
            </w:tr>
            <w:tr w14:paraId="082D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restart"/>
                  <w:vAlign w:val="center"/>
                </w:tcPr>
                <w:p w14:paraId="45EF3E5B">
                  <w:pPr>
                    <w:widowControl/>
                    <w:jc w:val="center"/>
                    <w:textAlignment w:val="center"/>
                    <w:rPr>
                      <w:color w:val="auto"/>
                      <w:kern w:val="0"/>
                      <w:szCs w:val="21"/>
                      <w:lang w:bidi="ar"/>
                    </w:rPr>
                  </w:pPr>
                  <w:r>
                    <w:rPr>
                      <w:rFonts w:hint="eastAsia"/>
                      <w:color w:val="auto"/>
                      <w:kern w:val="0"/>
                      <w:szCs w:val="21"/>
                      <w:lang w:bidi="ar"/>
                    </w:rPr>
                    <w:t>钙锌稳定剂</w:t>
                  </w:r>
                </w:p>
              </w:tc>
              <w:tc>
                <w:tcPr>
                  <w:tcW w:w="2453" w:type="dxa"/>
                  <w:vAlign w:val="center"/>
                </w:tcPr>
                <w:p w14:paraId="0637F81D">
                  <w:pPr>
                    <w:widowControl/>
                    <w:jc w:val="center"/>
                    <w:textAlignment w:val="center"/>
                    <w:rPr>
                      <w:color w:val="auto"/>
                      <w:kern w:val="0"/>
                      <w:szCs w:val="21"/>
                      <w:lang w:bidi="ar"/>
                    </w:rPr>
                  </w:pPr>
                  <w:r>
                    <w:rPr>
                      <w:rFonts w:hint="eastAsia"/>
                      <w:color w:val="auto"/>
                      <w:kern w:val="0"/>
                      <w:szCs w:val="21"/>
                      <w:lang w:bidi="ar"/>
                    </w:rPr>
                    <w:t>硬脂酸锌</w:t>
                  </w:r>
                </w:p>
              </w:tc>
              <w:tc>
                <w:tcPr>
                  <w:tcW w:w="2095" w:type="dxa"/>
                  <w:vAlign w:val="center"/>
                </w:tcPr>
                <w:p w14:paraId="2C3615DA">
                  <w:pPr>
                    <w:widowControl/>
                    <w:jc w:val="center"/>
                    <w:textAlignment w:val="center"/>
                    <w:rPr>
                      <w:color w:val="auto"/>
                      <w:kern w:val="0"/>
                      <w:szCs w:val="21"/>
                      <w:lang w:bidi="ar"/>
                    </w:rPr>
                  </w:pPr>
                  <w:r>
                    <w:rPr>
                      <w:rFonts w:hint="eastAsia"/>
                      <w:color w:val="auto"/>
                      <w:kern w:val="0"/>
                      <w:szCs w:val="21"/>
                      <w:lang w:bidi="ar"/>
                    </w:rPr>
                    <w:t>20</w:t>
                  </w:r>
                </w:p>
              </w:tc>
              <w:tc>
                <w:tcPr>
                  <w:tcW w:w="2096" w:type="dxa"/>
                  <w:vAlign w:val="center"/>
                </w:tcPr>
                <w:p w14:paraId="31F11135">
                  <w:pPr>
                    <w:widowControl/>
                    <w:jc w:val="center"/>
                    <w:textAlignment w:val="center"/>
                    <w:rPr>
                      <w:color w:val="auto"/>
                      <w:kern w:val="0"/>
                      <w:szCs w:val="21"/>
                      <w:lang w:bidi="ar"/>
                    </w:rPr>
                  </w:pPr>
                  <w:r>
                    <w:rPr>
                      <w:rFonts w:hint="eastAsia"/>
                      <w:color w:val="auto"/>
                      <w:kern w:val="0"/>
                      <w:szCs w:val="21"/>
                      <w:lang w:bidi="ar"/>
                    </w:rPr>
                    <w:t>20</w:t>
                  </w:r>
                </w:p>
              </w:tc>
            </w:tr>
            <w:tr w14:paraId="416B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62801156">
                  <w:pPr>
                    <w:widowControl/>
                    <w:jc w:val="center"/>
                    <w:textAlignment w:val="center"/>
                    <w:rPr>
                      <w:color w:val="auto"/>
                      <w:kern w:val="0"/>
                      <w:szCs w:val="21"/>
                      <w:lang w:bidi="ar"/>
                    </w:rPr>
                  </w:pPr>
                </w:p>
              </w:tc>
              <w:tc>
                <w:tcPr>
                  <w:tcW w:w="2453" w:type="dxa"/>
                  <w:vAlign w:val="center"/>
                </w:tcPr>
                <w:p w14:paraId="6625E968">
                  <w:pPr>
                    <w:widowControl/>
                    <w:jc w:val="center"/>
                    <w:textAlignment w:val="center"/>
                    <w:rPr>
                      <w:color w:val="auto"/>
                      <w:kern w:val="0"/>
                      <w:szCs w:val="21"/>
                      <w:lang w:bidi="ar"/>
                    </w:rPr>
                  </w:pPr>
                  <w:r>
                    <w:rPr>
                      <w:rFonts w:hint="eastAsia"/>
                      <w:color w:val="auto"/>
                      <w:kern w:val="0"/>
                      <w:szCs w:val="21"/>
                      <w:lang w:bidi="ar"/>
                    </w:rPr>
                    <w:t>硬脂酸钙</w:t>
                  </w:r>
                </w:p>
              </w:tc>
              <w:tc>
                <w:tcPr>
                  <w:tcW w:w="2095" w:type="dxa"/>
                  <w:vAlign w:val="center"/>
                </w:tcPr>
                <w:p w14:paraId="57781A77">
                  <w:pPr>
                    <w:widowControl/>
                    <w:jc w:val="center"/>
                    <w:textAlignment w:val="center"/>
                    <w:rPr>
                      <w:color w:val="auto"/>
                      <w:kern w:val="0"/>
                      <w:szCs w:val="21"/>
                      <w:lang w:bidi="ar"/>
                    </w:rPr>
                  </w:pPr>
                  <w:r>
                    <w:rPr>
                      <w:rFonts w:hint="eastAsia"/>
                      <w:color w:val="auto"/>
                      <w:kern w:val="0"/>
                      <w:szCs w:val="21"/>
                      <w:lang w:bidi="ar"/>
                    </w:rPr>
                    <w:t>10</w:t>
                  </w:r>
                </w:p>
              </w:tc>
              <w:tc>
                <w:tcPr>
                  <w:tcW w:w="2096" w:type="dxa"/>
                  <w:vAlign w:val="center"/>
                </w:tcPr>
                <w:p w14:paraId="359C1F59">
                  <w:pPr>
                    <w:widowControl/>
                    <w:jc w:val="center"/>
                    <w:textAlignment w:val="center"/>
                    <w:rPr>
                      <w:color w:val="auto"/>
                      <w:kern w:val="0"/>
                      <w:szCs w:val="21"/>
                      <w:lang w:bidi="ar"/>
                    </w:rPr>
                  </w:pPr>
                  <w:r>
                    <w:rPr>
                      <w:rFonts w:hint="eastAsia"/>
                      <w:color w:val="auto"/>
                      <w:kern w:val="0"/>
                      <w:szCs w:val="21"/>
                      <w:lang w:bidi="ar"/>
                    </w:rPr>
                    <w:t>10</w:t>
                  </w:r>
                </w:p>
              </w:tc>
            </w:tr>
            <w:tr w14:paraId="3A6D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4FEF4A85">
                  <w:pPr>
                    <w:widowControl/>
                    <w:jc w:val="center"/>
                    <w:textAlignment w:val="center"/>
                    <w:rPr>
                      <w:color w:val="auto"/>
                      <w:kern w:val="0"/>
                      <w:szCs w:val="21"/>
                      <w:lang w:bidi="ar"/>
                    </w:rPr>
                  </w:pPr>
                </w:p>
              </w:tc>
              <w:tc>
                <w:tcPr>
                  <w:tcW w:w="2453" w:type="dxa"/>
                  <w:vAlign w:val="center"/>
                </w:tcPr>
                <w:p w14:paraId="2A0ABC4A">
                  <w:pPr>
                    <w:widowControl/>
                    <w:jc w:val="center"/>
                    <w:textAlignment w:val="center"/>
                    <w:rPr>
                      <w:color w:val="auto"/>
                      <w:kern w:val="0"/>
                      <w:szCs w:val="21"/>
                      <w:lang w:bidi="ar"/>
                    </w:rPr>
                  </w:pPr>
                  <w:r>
                    <w:rPr>
                      <w:rFonts w:hint="eastAsia"/>
                      <w:color w:val="auto"/>
                      <w:kern w:val="0"/>
                      <w:szCs w:val="21"/>
                      <w:lang w:bidi="ar"/>
                    </w:rPr>
                    <w:t>氧化蜡</w:t>
                  </w:r>
                </w:p>
              </w:tc>
              <w:tc>
                <w:tcPr>
                  <w:tcW w:w="2095" w:type="dxa"/>
                  <w:vAlign w:val="center"/>
                </w:tcPr>
                <w:p w14:paraId="78E632E7">
                  <w:pPr>
                    <w:widowControl/>
                    <w:jc w:val="center"/>
                    <w:textAlignment w:val="center"/>
                    <w:rPr>
                      <w:color w:val="auto"/>
                      <w:kern w:val="0"/>
                      <w:szCs w:val="21"/>
                      <w:lang w:bidi="ar"/>
                    </w:rPr>
                  </w:pPr>
                  <w:r>
                    <w:rPr>
                      <w:rFonts w:hint="eastAsia"/>
                      <w:color w:val="auto"/>
                      <w:kern w:val="0"/>
                      <w:szCs w:val="21"/>
                      <w:lang w:bidi="ar"/>
                    </w:rPr>
                    <w:t>2.5</w:t>
                  </w:r>
                </w:p>
              </w:tc>
              <w:tc>
                <w:tcPr>
                  <w:tcW w:w="2096" w:type="dxa"/>
                  <w:vAlign w:val="center"/>
                </w:tcPr>
                <w:p w14:paraId="323BC7D2">
                  <w:pPr>
                    <w:widowControl/>
                    <w:jc w:val="center"/>
                    <w:textAlignment w:val="center"/>
                    <w:rPr>
                      <w:color w:val="auto"/>
                      <w:kern w:val="0"/>
                      <w:szCs w:val="21"/>
                      <w:lang w:bidi="ar"/>
                    </w:rPr>
                  </w:pPr>
                  <w:r>
                    <w:rPr>
                      <w:rFonts w:hint="eastAsia"/>
                      <w:color w:val="auto"/>
                      <w:kern w:val="0"/>
                      <w:szCs w:val="21"/>
                      <w:lang w:bidi="ar"/>
                    </w:rPr>
                    <w:t>2.5</w:t>
                  </w:r>
                </w:p>
              </w:tc>
            </w:tr>
            <w:tr w14:paraId="2E71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1A8DC886">
                  <w:pPr>
                    <w:widowControl/>
                    <w:jc w:val="center"/>
                    <w:textAlignment w:val="center"/>
                    <w:rPr>
                      <w:color w:val="auto"/>
                      <w:kern w:val="0"/>
                      <w:szCs w:val="21"/>
                      <w:lang w:bidi="ar"/>
                    </w:rPr>
                  </w:pPr>
                </w:p>
              </w:tc>
              <w:tc>
                <w:tcPr>
                  <w:tcW w:w="2453" w:type="dxa"/>
                  <w:vAlign w:val="center"/>
                </w:tcPr>
                <w:p w14:paraId="4C528549">
                  <w:pPr>
                    <w:widowControl/>
                    <w:jc w:val="center"/>
                    <w:textAlignment w:val="center"/>
                    <w:rPr>
                      <w:color w:val="auto"/>
                      <w:kern w:val="0"/>
                      <w:szCs w:val="21"/>
                      <w:lang w:bidi="ar"/>
                    </w:rPr>
                  </w:pPr>
                  <w:r>
                    <w:rPr>
                      <w:rFonts w:hint="eastAsia"/>
                      <w:color w:val="auto"/>
                      <w:kern w:val="0"/>
                      <w:szCs w:val="21"/>
                      <w:lang w:bidi="ar"/>
                    </w:rPr>
                    <w:t>A4</w:t>
                  </w:r>
                </w:p>
              </w:tc>
              <w:tc>
                <w:tcPr>
                  <w:tcW w:w="2095" w:type="dxa"/>
                  <w:vAlign w:val="center"/>
                </w:tcPr>
                <w:p w14:paraId="14D01BBC">
                  <w:pPr>
                    <w:widowControl/>
                    <w:jc w:val="center"/>
                    <w:textAlignment w:val="center"/>
                    <w:rPr>
                      <w:color w:val="auto"/>
                      <w:kern w:val="0"/>
                      <w:szCs w:val="21"/>
                      <w:lang w:bidi="ar"/>
                    </w:rPr>
                  </w:pPr>
                  <w:r>
                    <w:rPr>
                      <w:rFonts w:hint="eastAsia"/>
                      <w:color w:val="auto"/>
                      <w:kern w:val="0"/>
                      <w:szCs w:val="21"/>
                      <w:lang w:bidi="ar"/>
                    </w:rPr>
                    <w:t>30</w:t>
                  </w:r>
                </w:p>
              </w:tc>
              <w:tc>
                <w:tcPr>
                  <w:tcW w:w="2096" w:type="dxa"/>
                  <w:vAlign w:val="center"/>
                </w:tcPr>
                <w:p w14:paraId="0EC4C973">
                  <w:pPr>
                    <w:widowControl/>
                    <w:jc w:val="center"/>
                    <w:textAlignment w:val="center"/>
                    <w:rPr>
                      <w:color w:val="auto"/>
                      <w:kern w:val="0"/>
                      <w:szCs w:val="21"/>
                      <w:lang w:bidi="ar"/>
                    </w:rPr>
                  </w:pPr>
                  <w:r>
                    <w:rPr>
                      <w:rFonts w:hint="eastAsia"/>
                      <w:color w:val="auto"/>
                      <w:kern w:val="0"/>
                      <w:szCs w:val="21"/>
                      <w:lang w:bidi="ar"/>
                    </w:rPr>
                    <w:t>30</w:t>
                  </w:r>
                </w:p>
              </w:tc>
            </w:tr>
            <w:tr w14:paraId="28C2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40EF3569">
                  <w:pPr>
                    <w:widowControl/>
                    <w:jc w:val="center"/>
                    <w:textAlignment w:val="center"/>
                    <w:rPr>
                      <w:color w:val="auto"/>
                      <w:kern w:val="0"/>
                      <w:szCs w:val="21"/>
                      <w:lang w:bidi="ar"/>
                    </w:rPr>
                  </w:pPr>
                </w:p>
              </w:tc>
              <w:tc>
                <w:tcPr>
                  <w:tcW w:w="2453" w:type="dxa"/>
                  <w:vAlign w:val="center"/>
                </w:tcPr>
                <w:p w14:paraId="33E0DDA7">
                  <w:pPr>
                    <w:widowControl/>
                    <w:jc w:val="center"/>
                    <w:textAlignment w:val="center"/>
                    <w:rPr>
                      <w:color w:val="auto"/>
                      <w:kern w:val="0"/>
                      <w:szCs w:val="21"/>
                      <w:lang w:bidi="ar"/>
                    </w:rPr>
                  </w:pPr>
                  <w:r>
                    <w:rPr>
                      <w:rFonts w:hint="eastAsia"/>
                      <w:color w:val="auto"/>
                      <w:kern w:val="0"/>
                      <w:szCs w:val="21"/>
                      <w:lang w:bidi="ar"/>
                    </w:rPr>
                    <w:t>G60</w:t>
                  </w:r>
                </w:p>
              </w:tc>
              <w:tc>
                <w:tcPr>
                  <w:tcW w:w="2095" w:type="dxa"/>
                  <w:vAlign w:val="center"/>
                </w:tcPr>
                <w:p w14:paraId="54A427B5">
                  <w:pPr>
                    <w:widowControl/>
                    <w:jc w:val="center"/>
                    <w:textAlignment w:val="center"/>
                    <w:rPr>
                      <w:color w:val="auto"/>
                      <w:kern w:val="0"/>
                      <w:szCs w:val="21"/>
                      <w:lang w:bidi="ar"/>
                    </w:rPr>
                  </w:pPr>
                  <w:r>
                    <w:rPr>
                      <w:rFonts w:hint="eastAsia"/>
                      <w:color w:val="auto"/>
                      <w:kern w:val="0"/>
                      <w:szCs w:val="21"/>
                      <w:lang w:bidi="ar"/>
                    </w:rPr>
                    <w:t>5</w:t>
                  </w:r>
                </w:p>
              </w:tc>
              <w:tc>
                <w:tcPr>
                  <w:tcW w:w="2096" w:type="dxa"/>
                  <w:vAlign w:val="center"/>
                </w:tcPr>
                <w:p w14:paraId="38943501">
                  <w:pPr>
                    <w:widowControl/>
                    <w:jc w:val="center"/>
                    <w:textAlignment w:val="center"/>
                    <w:rPr>
                      <w:color w:val="auto"/>
                      <w:kern w:val="0"/>
                      <w:szCs w:val="21"/>
                      <w:lang w:bidi="ar"/>
                    </w:rPr>
                  </w:pPr>
                  <w:r>
                    <w:rPr>
                      <w:rFonts w:hint="eastAsia"/>
                      <w:color w:val="auto"/>
                      <w:kern w:val="0"/>
                      <w:szCs w:val="21"/>
                      <w:lang w:bidi="ar"/>
                    </w:rPr>
                    <w:t>5</w:t>
                  </w:r>
                </w:p>
              </w:tc>
            </w:tr>
            <w:tr w14:paraId="7DBE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3CCE1646">
                  <w:pPr>
                    <w:widowControl/>
                    <w:jc w:val="center"/>
                    <w:textAlignment w:val="center"/>
                    <w:rPr>
                      <w:color w:val="auto"/>
                      <w:kern w:val="0"/>
                      <w:szCs w:val="21"/>
                      <w:lang w:bidi="ar"/>
                    </w:rPr>
                  </w:pPr>
                </w:p>
              </w:tc>
              <w:tc>
                <w:tcPr>
                  <w:tcW w:w="2453" w:type="dxa"/>
                  <w:vAlign w:val="center"/>
                </w:tcPr>
                <w:p w14:paraId="49394EF9">
                  <w:pPr>
                    <w:widowControl/>
                    <w:jc w:val="center"/>
                    <w:textAlignment w:val="center"/>
                    <w:rPr>
                      <w:color w:val="auto"/>
                      <w:kern w:val="0"/>
                      <w:szCs w:val="21"/>
                      <w:lang w:bidi="ar"/>
                    </w:rPr>
                  </w:pPr>
                  <w:r>
                    <w:rPr>
                      <w:rFonts w:hint="eastAsia"/>
                      <w:color w:val="auto"/>
                      <w:kern w:val="0"/>
                      <w:szCs w:val="21"/>
                      <w:lang w:bidi="ar"/>
                    </w:rPr>
                    <w:t>碳酸钙</w:t>
                  </w:r>
                </w:p>
              </w:tc>
              <w:tc>
                <w:tcPr>
                  <w:tcW w:w="2095" w:type="dxa"/>
                  <w:vAlign w:val="center"/>
                </w:tcPr>
                <w:p w14:paraId="3697949A">
                  <w:pPr>
                    <w:widowControl/>
                    <w:jc w:val="center"/>
                    <w:textAlignment w:val="center"/>
                    <w:rPr>
                      <w:color w:val="auto"/>
                      <w:kern w:val="0"/>
                      <w:szCs w:val="21"/>
                      <w:lang w:bidi="ar"/>
                    </w:rPr>
                  </w:pPr>
                  <w:r>
                    <w:rPr>
                      <w:rFonts w:hint="eastAsia"/>
                      <w:color w:val="auto"/>
                      <w:kern w:val="0"/>
                      <w:szCs w:val="21"/>
                      <w:lang w:bidi="ar"/>
                    </w:rPr>
                    <w:t>5</w:t>
                  </w:r>
                </w:p>
              </w:tc>
              <w:tc>
                <w:tcPr>
                  <w:tcW w:w="2096" w:type="dxa"/>
                  <w:vAlign w:val="center"/>
                </w:tcPr>
                <w:p w14:paraId="702CB23B">
                  <w:pPr>
                    <w:widowControl/>
                    <w:jc w:val="center"/>
                    <w:textAlignment w:val="center"/>
                    <w:rPr>
                      <w:color w:val="auto"/>
                      <w:kern w:val="0"/>
                      <w:szCs w:val="21"/>
                      <w:lang w:bidi="ar"/>
                    </w:rPr>
                  </w:pPr>
                  <w:r>
                    <w:rPr>
                      <w:rFonts w:hint="eastAsia"/>
                      <w:color w:val="auto"/>
                      <w:kern w:val="0"/>
                      <w:szCs w:val="21"/>
                      <w:lang w:bidi="ar"/>
                    </w:rPr>
                    <w:t>5</w:t>
                  </w:r>
                </w:p>
              </w:tc>
            </w:tr>
            <w:tr w14:paraId="5FDF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0FCB040A">
                  <w:pPr>
                    <w:widowControl/>
                    <w:jc w:val="center"/>
                    <w:textAlignment w:val="center"/>
                    <w:rPr>
                      <w:color w:val="auto"/>
                      <w:kern w:val="0"/>
                      <w:szCs w:val="21"/>
                      <w:lang w:bidi="ar"/>
                    </w:rPr>
                  </w:pPr>
                </w:p>
              </w:tc>
              <w:tc>
                <w:tcPr>
                  <w:tcW w:w="2453" w:type="dxa"/>
                  <w:vAlign w:val="center"/>
                </w:tcPr>
                <w:p w14:paraId="7A669DD0">
                  <w:pPr>
                    <w:widowControl/>
                    <w:jc w:val="center"/>
                    <w:textAlignment w:val="center"/>
                    <w:rPr>
                      <w:color w:val="auto"/>
                      <w:kern w:val="0"/>
                      <w:szCs w:val="21"/>
                      <w:lang w:bidi="ar"/>
                    </w:rPr>
                  </w:pPr>
                  <w:r>
                    <w:rPr>
                      <w:rFonts w:hint="eastAsia"/>
                      <w:color w:val="auto"/>
                      <w:kern w:val="0"/>
                      <w:szCs w:val="21"/>
                      <w:lang w:bidi="ar"/>
                    </w:rPr>
                    <w:t>PE蜡</w:t>
                  </w:r>
                </w:p>
              </w:tc>
              <w:tc>
                <w:tcPr>
                  <w:tcW w:w="2095" w:type="dxa"/>
                  <w:vAlign w:val="center"/>
                </w:tcPr>
                <w:p w14:paraId="4DC13EE1">
                  <w:pPr>
                    <w:widowControl/>
                    <w:jc w:val="center"/>
                    <w:textAlignment w:val="center"/>
                    <w:rPr>
                      <w:color w:val="auto"/>
                      <w:kern w:val="0"/>
                      <w:szCs w:val="21"/>
                      <w:lang w:bidi="ar"/>
                    </w:rPr>
                  </w:pPr>
                  <w:r>
                    <w:rPr>
                      <w:rFonts w:hint="eastAsia"/>
                      <w:color w:val="auto"/>
                      <w:kern w:val="0"/>
                      <w:szCs w:val="21"/>
                      <w:lang w:bidi="ar"/>
                    </w:rPr>
                    <w:t>15</w:t>
                  </w:r>
                </w:p>
              </w:tc>
              <w:tc>
                <w:tcPr>
                  <w:tcW w:w="2096" w:type="dxa"/>
                  <w:vAlign w:val="center"/>
                </w:tcPr>
                <w:p w14:paraId="09962392">
                  <w:pPr>
                    <w:widowControl/>
                    <w:jc w:val="center"/>
                    <w:textAlignment w:val="center"/>
                    <w:rPr>
                      <w:color w:val="auto"/>
                      <w:kern w:val="0"/>
                      <w:szCs w:val="21"/>
                      <w:lang w:bidi="ar"/>
                    </w:rPr>
                  </w:pPr>
                  <w:r>
                    <w:rPr>
                      <w:rFonts w:hint="eastAsia"/>
                      <w:color w:val="auto"/>
                      <w:kern w:val="0"/>
                      <w:szCs w:val="21"/>
                      <w:lang w:bidi="ar"/>
                    </w:rPr>
                    <w:t>15</w:t>
                  </w:r>
                </w:p>
              </w:tc>
            </w:tr>
            <w:tr w14:paraId="2B7F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13838296">
                  <w:pPr>
                    <w:widowControl/>
                    <w:jc w:val="center"/>
                    <w:textAlignment w:val="center"/>
                    <w:rPr>
                      <w:color w:val="auto"/>
                      <w:kern w:val="0"/>
                      <w:szCs w:val="21"/>
                      <w:lang w:bidi="ar"/>
                    </w:rPr>
                  </w:pPr>
                </w:p>
              </w:tc>
              <w:tc>
                <w:tcPr>
                  <w:tcW w:w="2453" w:type="dxa"/>
                  <w:vAlign w:val="center"/>
                </w:tcPr>
                <w:p w14:paraId="373571EF">
                  <w:pPr>
                    <w:widowControl/>
                    <w:jc w:val="center"/>
                    <w:textAlignment w:val="center"/>
                    <w:rPr>
                      <w:color w:val="auto"/>
                      <w:kern w:val="0"/>
                      <w:szCs w:val="21"/>
                      <w:lang w:bidi="ar"/>
                    </w:rPr>
                  </w:pPr>
                  <w:r>
                    <w:rPr>
                      <w:rFonts w:hint="eastAsia"/>
                      <w:color w:val="auto"/>
                      <w:kern w:val="0"/>
                      <w:szCs w:val="21"/>
                      <w:lang w:bidi="ar"/>
                    </w:rPr>
                    <w:t>赛克</w:t>
                  </w:r>
                </w:p>
              </w:tc>
              <w:tc>
                <w:tcPr>
                  <w:tcW w:w="2095" w:type="dxa"/>
                  <w:vAlign w:val="center"/>
                </w:tcPr>
                <w:p w14:paraId="1860B591">
                  <w:pPr>
                    <w:widowControl/>
                    <w:jc w:val="center"/>
                    <w:textAlignment w:val="center"/>
                    <w:rPr>
                      <w:color w:val="auto"/>
                      <w:kern w:val="0"/>
                      <w:szCs w:val="21"/>
                      <w:lang w:bidi="ar"/>
                    </w:rPr>
                  </w:pPr>
                  <w:r>
                    <w:rPr>
                      <w:rFonts w:hint="eastAsia"/>
                      <w:color w:val="auto"/>
                      <w:kern w:val="0"/>
                      <w:szCs w:val="21"/>
                      <w:lang w:bidi="ar"/>
                    </w:rPr>
                    <w:t>5</w:t>
                  </w:r>
                </w:p>
              </w:tc>
              <w:tc>
                <w:tcPr>
                  <w:tcW w:w="2096" w:type="dxa"/>
                  <w:vAlign w:val="center"/>
                </w:tcPr>
                <w:p w14:paraId="51224A0D">
                  <w:pPr>
                    <w:widowControl/>
                    <w:jc w:val="center"/>
                    <w:textAlignment w:val="center"/>
                    <w:rPr>
                      <w:color w:val="auto"/>
                      <w:kern w:val="0"/>
                      <w:szCs w:val="21"/>
                      <w:lang w:bidi="ar"/>
                    </w:rPr>
                  </w:pPr>
                  <w:r>
                    <w:rPr>
                      <w:rFonts w:hint="eastAsia"/>
                      <w:color w:val="auto"/>
                      <w:kern w:val="0"/>
                      <w:szCs w:val="21"/>
                      <w:lang w:bidi="ar"/>
                    </w:rPr>
                    <w:t>5</w:t>
                  </w:r>
                </w:p>
              </w:tc>
            </w:tr>
            <w:tr w14:paraId="0BDB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7" w:type="dxa"/>
                  <w:vMerge w:val="continue"/>
                  <w:vAlign w:val="center"/>
                </w:tcPr>
                <w:p w14:paraId="5C52DC3E">
                  <w:pPr>
                    <w:widowControl/>
                    <w:jc w:val="center"/>
                    <w:textAlignment w:val="center"/>
                    <w:rPr>
                      <w:color w:val="auto"/>
                      <w:kern w:val="0"/>
                      <w:szCs w:val="21"/>
                      <w:lang w:bidi="ar"/>
                    </w:rPr>
                  </w:pPr>
                </w:p>
              </w:tc>
              <w:tc>
                <w:tcPr>
                  <w:tcW w:w="2453" w:type="dxa"/>
                  <w:vAlign w:val="center"/>
                </w:tcPr>
                <w:p w14:paraId="71D81827">
                  <w:pPr>
                    <w:widowControl/>
                    <w:jc w:val="center"/>
                    <w:textAlignment w:val="center"/>
                    <w:rPr>
                      <w:color w:val="auto"/>
                      <w:kern w:val="0"/>
                      <w:szCs w:val="21"/>
                      <w:lang w:bidi="ar"/>
                    </w:rPr>
                  </w:pPr>
                  <w:r>
                    <w:rPr>
                      <w:rFonts w:hint="eastAsia"/>
                      <w:color w:val="auto"/>
                      <w:kern w:val="0"/>
                      <w:szCs w:val="21"/>
                      <w:lang w:bidi="ar"/>
                    </w:rPr>
                    <w:t>水滑石</w:t>
                  </w:r>
                </w:p>
              </w:tc>
              <w:tc>
                <w:tcPr>
                  <w:tcW w:w="2095" w:type="dxa"/>
                  <w:vAlign w:val="center"/>
                </w:tcPr>
                <w:p w14:paraId="0A238403">
                  <w:pPr>
                    <w:widowControl/>
                    <w:jc w:val="center"/>
                    <w:textAlignment w:val="center"/>
                    <w:rPr>
                      <w:color w:val="auto"/>
                      <w:kern w:val="0"/>
                      <w:szCs w:val="21"/>
                      <w:lang w:bidi="ar"/>
                    </w:rPr>
                  </w:pPr>
                  <w:r>
                    <w:rPr>
                      <w:rFonts w:hint="eastAsia"/>
                      <w:color w:val="auto"/>
                      <w:kern w:val="0"/>
                      <w:szCs w:val="21"/>
                      <w:lang w:bidi="ar"/>
                    </w:rPr>
                    <w:t>7.5</w:t>
                  </w:r>
                </w:p>
              </w:tc>
              <w:tc>
                <w:tcPr>
                  <w:tcW w:w="2096" w:type="dxa"/>
                  <w:vAlign w:val="center"/>
                </w:tcPr>
                <w:p w14:paraId="0F8C13AD">
                  <w:pPr>
                    <w:widowControl/>
                    <w:jc w:val="center"/>
                    <w:textAlignment w:val="center"/>
                    <w:rPr>
                      <w:color w:val="auto"/>
                      <w:kern w:val="0"/>
                      <w:szCs w:val="21"/>
                      <w:lang w:bidi="ar"/>
                    </w:rPr>
                  </w:pPr>
                  <w:r>
                    <w:rPr>
                      <w:rFonts w:hint="eastAsia"/>
                      <w:color w:val="auto"/>
                      <w:kern w:val="0"/>
                      <w:szCs w:val="21"/>
                      <w:lang w:bidi="ar"/>
                    </w:rPr>
                    <w:t>7.5</w:t>
                  </w:r>
                </w:p>
              </w:tc>
            </w:tr>
          </w:tbl>
          <w:p w14:paraId="005367C9">
            <w:pPr>
              <w:numPr>
                <w:ilvl w:val="0"/>
                <w:numId w:val="18"/>
              </w:numPr>
              <w:adjustRightInd w:val="0"/>
              <w:snapToGrid w:val="0"/>
              <w:spacing w:before="120" w:beforeLines="50" w:line="360" w:lineRule="auto"/>
              <w:ind w:firstLine="480" w:firstLineChars="200"/>
              <w:rPr>
                <w:color w:val="auto"/>
                <w:sz w:val="24"/>
                <w:szCs w:val="32"/>
              </w:rPr>
            </w:pPr>
            <w:r>
              <w:rPr>
                <w:rFonts w:hint="eastAsia"/>
                <w:color w:val="auto"/>
                <w:sz w:val="24"/>
                <w:szCs w:val="32"/>
              </w:rPr>
              <w:t>原辅材料理化性质表</w:t>
            </w:r>
          </w:p>
          <w:p w14:paraId="1AC135C8">
            <w:pPr>
              <w:widowControl/>
              <w:numPr>
                <w:ilvl w:val="0"/>
                <w:numId w:val="17"/>
              </w:numPr>
              <w:spacing w:line="440" w:lineRule="exact"/>
              <w:jc w:val="center"/>
              <w:rPr>
                <w:color w:val="auto"/>
              </w:rPr>
            </w:pPr>
            <w:r>
              <w:rPr>
                <w:rFonts w:hint="eastAsia"/>
                <w:b/>
                <w:bCs/>
                <w:color w:val="auto"/>
                <w:kern w:val="0"/>
                <w:sz w:val="24"/>
              </w:rPr>
              <w:t>项目原辅材料理化性质表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6846"/>
            </w:tblGrid>
            <w:tr w14:paraId="261F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0138F022">
                  <w:pPr>
                    <w:widowControl/>
                    <w:jc w:val="center"/>
                    <w:textAlignment w:val="center"/>
                    <w:rPr>
                      <w:color w:val="auto"/>
                      <w:kern w:val="0"/>
                      <w:szCs w:val="21"/>
                      <w:lang w:bidi="ar"/>
                    </w:rPr>
                  </w:pPr>
                  <w:r>
                    <w:rPr>
                      <w:rFonts w:hint="eastAsia"/>
                      <w:color w:val="auto"/>
                      <w:kern w:val="0"/>
                      <w:szCs w:val="21"/>
                      <w:lang w:bidi="ar"/>
                    </w:rPr>
                    <w:t>名称</w:t>
                  </w:r>
                </w:p>
              </w:tc>
              <w:tc>
                <w:tcPr>
                  <w:tcW w:w="6846" w:type="dxa"/>
                  <w:vAlign w:val="center"/>
                </w:tcPr>
                <w:p w14:paraId="00610C3E">
                  <w:pPr>
                    <w:widowControl/>
                    <w:jc w:val="center"/>
                    <w:textAlignment w:val="center"/>
                    <w:rPr>
                      <w:color w:val="auto"/>
                      <w:kern w:val="0"/>
                      <w:szCs w:val="21"/>
                      <w:lang w:bidi="ar"/>
                    </w:rPr>
                  </w:pPr>
                  <w:r>
                    <w:rPr>
                      <w:rFonts w:hint="eastAsia"/>
                      <w:color w:val="auto"/>
                      <w:kern w:val="0"/>
                      <w:szCs w:val="21"/>
                      <w:lang w:bidi="ar"/>
                    </w:rPr>
                    <w:t>简介</w:t>
                  </w:r>
                </w:p>
              </w:tc>
            </w:tr>
            <w:tr w14:paraId="0121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194E6BE2">
                  <w:pPr>
                    <w:widowControl/>
                    <w:jc w:val="center"/>
                    <w:textAlignment w:val="center"/>
                    <w:rPr>
                      <w:color w:val="auto"/>
                      <w:kern w:val="0"/>
                      <w:szCs w:val="21"/>
                      <w:lang w:bidi="ar"/>
                    </w:rPr>
                  </w:pPr>
                  <w:r>
                    <w:rPr>
                      <w:rFonts w:hint="eastAsia"/>
                      <w:color w:val="auto"/>
                      <w:kern w:val="0"/>
                      <w:szCs w:val="21"/>
                      <w:lang w:bidi="ar"/>
                    </w:rPr>
                    <w:t>PVC</w:t>
                  </w:r>
                </w:p>
              </w:tc>
              <w:tc>
                <w:tcPr>
                  <w:tcW w:w="6846" w:type="dxa"/>
                  <w:vAlign w:val="center"/>
                </w:tcPr>
                <w:p w14:paraId="708D8B2D">
                  <w:pPr>
                    <w:widowControl/>
                    <w:textAlignment w:val="center"/>
                    <w:rPr>
                      <w:color w:val="auto"/>
                      <w:kern w:val="0"/>
                      <w:szCs w:val="21"/>
                      <w:lang w:bidi="ar"/>
                    </w:rPr>
                  </w:pPr>
                  <w:r>
                    <w:rPr>
                      <w:color w:val="auto"/>
                      <w:szCs w:val="21"/>
                    </w:rPr>
                    <w:t>分子式：(C</w:t>
                  </w:r>
                  <w:r>
                    <w:rPr>
                      <w:color w:val="auto"/>
                      <w:szCs w:val="21"/>
                      <w:vertAlign w:val="subscript"/>
                    </w:rPr>
                    <w:t>2</w:t>
                  </w:r>
                  <w:r>
                    <w:rPr>
                      <w:color w:val="auto"/>
                      <w:szCs w:val="21"/>
                    </w:rPr>
                    <w:t>H</w:t>
                  </w:r>
                  <w:r>
                    <w:rPr>
                      <w:color w:val="auto"/>
                      <w:szCs w:val="21"/>
                      <w:vertAlign w:val="subscript"/>
                    </w:rPr>
                    <w:t>3</w:t>
                  </w:r>
                  <w:r>
                    <w:rPr>
                      <w:color w:val="auto"/>
                      <w:szCs w:val="21"/>
                    </w:rPr>
                    <w:t>Cl)</w:t>
                  </w:r>
                  <w:r>
                    <w:rPr>
                      <w:color w:val="auto"/>
                      <w:szCs w:val="21"/>
                      <w:vertAlign w:val="subscript"/>
                    </w:rPr>
                    <w:t>n</w:t>
                  </w:r>
                  <w:r>
                    <w:rPr>
                      <w:color w:val="auto"/>
                      <w:szCs w:val="21"/>
                    </w:rPr>
                    <w:t>，分子量：62.49822，CAS号：9002-86-2，密度；1.4g/ml，白色至类白色粉末，易燃，熔点：170℃~195℃。低分子量的易溶于酮类、酯类和氯代烃类溶剂。高分子量的则难溶解。聚氯乙烯的应用面极为广泛，从建筑材料到汽车制造业、儿童玩具，从工农业制品到日常生活用品，涉及各行各业，各个方面。例如，可用于电器绝缘材料，如电线的绝缘层，目前几乎完全代替了橡胶，可作电器用耐热电线、电线电缆的衬套等;用于汽车方面，可作为方向盘、顶盖板、缓冲垫等;用于建筑方面，可用作各种型材，如管、棒、异型材、门窗框架、室内装饰材料、下水管道等用作化工设备，可加工成各种耐化学药品的管道、容器和防腐材料。软质聚氯乙烯还可制成具有韧性、耐挠曲的各种管子、薄膜、薄片等制品，可用于制作包装材料、雨具、农用薄膜等。聚氯乙烯糊可涂附在棉布、纸张上，经加热在140～145℃时很快发生凝胶，成型为薄膜，再经滚筒压紧，即成人造革，可制成各种制品。聚氯乙烯泡沫塑料还常用作衬垫、拖鞋以及隔热、隔声材料。</w:t>
                  </w:r>
                </w:p>
              </w:tc>
            </w:tr>
            <w:tr w14:paraId="47E9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6F100C56">
                  <w:pPr>
                    <w:widowControl/>
                    <w:jc w:val="center"/>
                    <w:textAlignment w:val="center"/>
                    <w:rPr>
                      <w:color w:val="auto"/>
                      <w:kern w:val="0"/>
                      <w:szCs w:val="21"/>
                      <w:lang w:bidi="ar"/>
                    </w:rPr>
                  </w:pPr>
                  <w:r>
                    <w:rPr>
                      <w:rFonts w:hint="eastAsia"/>
                      <w:color w:val="auto"/>
                      <w:kern w:val="0"/>
                      <w:szCs w:val="21"/>
                      <w:lang w:bidi="ar"/>
                    </w:rPr>
                    <w:t>碳酸钙</w:t>
                  </w:r>
                </w:p>
              </w:tc>
              <w:tc>
                <w:tcPr>
                  <w:tcW w:w="6846" w:type="dxa"/>
                  <w:vAlign w:val="center"/>
                </w:tcPr>
                <w:p w14:paraId="55B62658">
                  <w:pPr>
                    <w:widowControl/>
                    <w:textAlignment w:val="center"/>
                    <w:rPr>
                      <w:color w:val="auto"/>
                      <w:kern w:val="0"/>
                      <w:szCs w:val="21"/>
                      <w:lang w:bidi="ar"/>
                    </w:rPr>
                  </w:pPr>
                  <w:r>
                    <w:rPr>
                      <w:color w:val="auto"/>
                      <w:szCs w:val="21"/>
                    </w:rPr>
                    <w:t>分子式：CaCO</w:t>
                  </w:r>
                  <w:r>
                    <w:rPr>
                      <w:color w:val="auto"/>
                      <w:szCs w:val="21"/>
                      <w:vertAlign w:val="subscript"/>
                    </w:rPr>
                    <w:t>3</w:t>
                  </w:r>
                  <w:r>
                    <w:rPr>
                      <w:color w:val="auto"/>
                      <w:szCs w:val="21"/>
                    </w:rPr>
                    <w:t>，分子量：100.0869，CAS号：471-34-1，熔点：825℃，沸点：800℃，密度：2.93g/ml，白米色至浅米色。碳酸钙又称石灰石、石粉，是地球上常见的一种化学物质，属于无机盐矿物，呈碱性，难溶于水，易溶于酸，天然存在于霰石、方解石、白垩、石灰岩、大理石、石灰石等岩石内，碳酸钙粉末是一种重要的无机化工产品，广泛应用于橡胶、塑料、油漆、造纸、食品、化妆品、医药及日用化工等行业。由于碳酸钙表面具有许多水羟基，表面是亲水疏油性的，易形成聚集体，分散性能差，直接影响应用。如碳酸钙应用于聚合物或橡胶产品中时，它不能与高聚物产生化学结合，难以起补强作用，而仅能起增容作用。因此，由于填充碳酸钙后会引起聚合物某些性能下降，特别是过量填充，更会使高聚物性能急剧下降，以致制品无法使用。为了使碳酸钙粉末具有需要的性能，可以通过物理或化学方法将表面处理剂吸附或反应在碳酸钙粉末的表面，形成表面改性层，使其表面活性化，从而改善与高聚物或其他材料的结合力。此外，经活化改性的碳酸钙用作填充剂时，提高了分散性及流动性，避免团聚结块现象，显著改善制品表面的外观质量。碳酸钙的活性改性主要可分为湿法表面处理及干法表面处理两类。湿法表面处理用于碳化法生产轻质碳酸钙时或超细碳酸钙时，在碳化前或碳化后加入熔融的表面处理剂。干法表面处理是将碳酸钙成品放入捏和机内，加入偶联剂后进行表面包覆操作。本品是以轻质碳酸钙为原料，采用干法处理制取活性碳酸钙，具有处理方法简便可行的特点，所得产品在塑料、橡胶、造纸、食品及医药等行业均具有广阔的市场。</w:t>
                  </w:r>
                </w:p>
              </w:tc>
            </w:tr>
            <w:tr w14:paraId="1453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7267A217">
                  <w:pPr>
                    <w:widowControl/>
                    <w:jc w:val="center"/>
                    <w:textAlignment w:val="center"/>
                    <w:rPr>
                      <w:color w:val="auto"/>
                      <w:kern w:val="0"/>
                      <w:szCs w:val="21"/>
                      <w:lang w:bidi="ar"/>
                    </w:rPr>
                  </w:pPr>
                  <w:r>
                    <w:rPr>
                      <w:color w:val="auto"/>
                      <w:kern w:val="0"/>
                      <w:szCs w:val="21"/>
                      <w:lang w:bidi="ar"/>
                    </w:rPr>
                    <w:t>1-辛烯与乙烯的聚合物</w:t>
                  </w:r>
                </w:p>
              </w:tc>
              <w:tc>
                <w:tcPr>
                  <w:tcW w:w="6846" w:type="dxa"/>
                  <w:vAlign w:val="center"/>
                </w:tcPr>
                <w:p w14:paraId="0CC24811">
                  <w:pPr>
                    <w:widowControl/>
                    <w:textAlignment w:val="center"/>
                    <w:rPr>
                      <w:color w:val="auto"/>
                      <w:kern w:val="0"/>
                      <w:szCs w:val="21"/>
                      <w:lang w:bidi="ar"/>
                    </w:rPr>
                  </w:pPr>
                  <w:r>
                    <w:rPr>
                      <w:color w:val="auto"/>
                      <w:szCs w:val="21"/>
                    </w:rPr>
                    <w:t>分子式：C</w:t>
                  </w:r>
                  <w:r>
                    <w:rPr>
                      <w:color w:val="auto"/>
                      <w:szCs w:val="21"/>
                      <w:vertAlign w:val="subscript"/>
                    </w:rPr>
                    <w:t>10</w:t>
                  </w:r>
                  <w:r>
                    <w:rPr>
                      <w:color w:val="auto"/>
                      <w:szCs w:val="21"/>
                    </w:rPr>
                    <w:t>H</w:t>
                  </w:r>
                  <w:r>
                    <w:rPr>
                      <w:color w:val="auto"/>
                      <w:szCs w:val="21"/>
                      <w:vertAlign w:val="subscript"/>
                    </w:rPr>
                    <w:t>20</w:t>
                  </w:r>
                  <w:r>
                    <w:rPr>
                      <w:color w:val="auto"/>
                      <w:szCs w:val="21"/>
                    </w:rPr>
                    <w:t>，分子量：140.2658，CAS号：26221-73-8，熔点：124℃，密度：0.913g/ml，半透明颗粒。</w:t>
                  </w:r>
                </w:p>
              </w:tc>
            </w:tr>
            <w:tr w14:paraId="6EBC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5E1B4A95">
                  <w:pPr>
                    <w:widowControl/>
                    <w:jc w:val="center"/>
                    <w:textAlignment w:val="center"/>
                    <w:rPr>
                      <w:color w:val="auto"/>
                      <w:szCs w:val="21"/>
                    </w:rPr>
                  </w:pPr>
                  <w:r>
                    <w:rPr>
                      <w:color w:val="auto"/>
                      <w:szCs w:val="21"/>
                    </w:rPr>
                    <w:t>氯化聚乙烯</w:t>
                  </w:r>
                </w:p>
              </w:tc>
              <w:tc>
                <w:tcPr>
                  <w:tcW w:w="6846" w:type="dxa"/>
                  <w:vAlign w:val="center"/>
                </w:tcPr>
                <w:p w14:paraId="5809101E">
                  <w:pPr>
                    <w:widowControl/>
                    <w:textAlignment w:val="center"/>
                    <w:rPr>
                      <w:color w:val="auto"/>
                      <w:szCs w:val="21"/>
                    </w:rPr>
                  </w:pPr>
                  <w:r>
                    <w:rPr>
                      <w:color w:val="auto"/>
                      <w:szCs w:val="21"/>
                    </w:rPr>
                    <w:t>由聚乙烯与氯气通过取代反应而制的改性高聚物，简称CPE，氯化聚乙烯树脂是一种新型的合成材料，具有一系列优异性能。它是PVC塑料优良的抗冲击改性剂，也是综合性能良好的合成橡胶，有着极为广泛的应用领域，已广泛用于电缆、电线、胶管、胶布、橡塑制品、密封材料、阻燃运输带、防水卷材、薄膜和种种异型材等制品。CPE还能与聚丙烯、高低压聚乙烯、ABS等共混，改善这些塑料的阻燃性能、耐老化性能和制品的印刷性能。可看作是乙烯、聚乙烯和1.2一二氯乙烯的无规共聚物，它分子链饱和，极性氯原子无规分布，因为具有优异的物理性能和化学性能，广泛应用于机械、电力、化工、建材和矿山工业。CPE耐热性、耐臭氧和耐候、耐老化优于多数橡胶，耐油性优于丁腈胶（NBR）、氯丁橡胶（CR），耐老化优于氯磺化氯乙烯（CSM）；耐酸、碱、盐等腐蚀性质、无毒、难燃、无爆炸危险。</w:t>
                  </w:r>
                </w:p>
              </w:tc>
            </w:tr>
            <w:tr w14:paraId="6D6B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44510260">
                  <w:pPr>
                    <w:widowControl/>
                    <w:jc w:val="center"/>
                    <w:textAlignment w:val="center"/>
                    <w:rPr>
                      <w:color w:val="auto"/>
                      <w:kern w:val="0"/>
                      <w:szCs w:val="21"/>
                      <w:lang w:bidi="ar"/>
                    </w:rPr>
                  </w:pPr>
                  <w:r>
                    <w:rPr>
                      <w:rFonts w:hint="eastAsia"/>
                      <w:color w:val="auto"/>
                      <w:kern w:val="0"/>
                      <w:szCs w:val="21"/>
                      <w:lang w:bidi="ar"/>
                    </w:rPr>
                    <w:t>硬脂酸锌</w:t>
                  </w:r>
                </w:p>
              </w:tc>
              <w:tc>
                <w:tcPr>
                  <w:tcW w:w="6846" w:type="dxa"/>
                  <w:vAlign w:val="center"/>
                </w:tcPr>
                <w:p w14:paraId="72D4EBEC">
                  <w:pPr>
                    <w:widowControl/>
                    <w:textAlignment w:val="center"/>
                    <w:rPr>
                      <w:color w:val="auto"/>
                      <w:kern w:val="0"/>
                      <w:szCs w:val="21"/>
                      <w:lang w:bidi="ar"/>
                    </w:rPr>
                  </w:pPr>
                  <w:r>
                    <w:rPr>
                      <w:color w:val="auto"/>
                      <w:szCs w:val="21"/>
                    </w:rPr>
                    <w:t>分子式：C</w:t>
                  </w:r>
                  <w:r>
                    <w:rPr>
                      <w:color w:val="auto"/>
                      <w:szCs w:val="21"/>
                      <w:vertAlign w:val="subscript"/>
                    </w:rPr>
                    <w:t>36</w:t>
                  </w:r>
                  <w:r>
                    <w:rPr>
                      <w:color w:val="auto"/>
                      <w:szCs w:val="21"/>
                    </w:rPr>
                    <w:t>H</w:t>
                  </w:r>
                  <w:r>
                    <w:rPr>
                      <w:color w:val="auto"/>
                      <w:szCs w:val="21"/>
                      <w:vertAlign w:val="subscript"/>
                    </w:rPr>
                    <w:t>70</w:t>
                  </w:r>
                  <w:r>
                    <w:rPr>
                      <w:color w:val="auto"/>
                      <w:szCs w:val="21"/>
                    </w:rPr>
                    <w:t>O</w:t>
                  </w:r>
                  <w:r>
                    <w:rPr>
                      <w:color w:val="auto"/>
                      <w:szCs w:val="21"/>
                      <w:vertAlign w:val="subscript"/>
                    </w:rPr>
                    <w:t>4</w:t>
                  </w:r>
                  <w:r>
                    <w:rPr>
                      <w:color w:val="auto"/>
                      <w:szCs w:val="21"/>
                    </w:rPr>
                    <w:t>Zn，分子量：632.33，CAS号：557-05-1，白色粉末，熔点：128℃，沸点：240℃，密度：1.095g/cm</w:t>
                  </w:r>
                  <w:r>
                    <w:rPr>
                      <w:color w:val="auto"/>
                      <w:szCs w:val="21"/>
                      <w:vertAlign w:val="superscript"/>
                    </w:rPr>
                    <w:t>3</w:t>
                  </w:r>
                  <w:r>
                    <w:rPr>
                      <w:color w:val="auto"/>
                      <w:szCs w:val="21"/>
                    </w:rPr>
                    <w:t>，不溶于水、乙醇、乙醚，可溶于热乙醇、松节油、苯等有机溶剂和酸。硬脂酸锌在有机溶剂中加热溶解后遇冷成为胶状物，遇强酸分解为硬脂酸和相应的锌盐。有润滑性，有吸湿性，无毒，微具刺激性、无污染、无危险特性。用作聚氯乙烯塑料制品的稳定剂、橡胶制品的软化剂。</w:t>
                  </w:r>
                </w:p>
              </w:tc>
            </w:tr>
            <w:tr w14:paraId="0BEB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571CCD73">
                  <w:pPr>
                    <w:widowControl/>
                    <w:jc w:val="center"/>
                    <w:textAlignment w:val="center"/>
                    <w:rPr>
                      <w:color w:val="auto"/>
                      <w:kern w:val="0"/>
                      <w:szCs w:val="21"/>
                      <w:lang w:bidi="ar"/>
                    </w:rPr>
                  </w:pPr>
                  <w:r>
                    <w:rPr>
                      <w:rFonts w:hint="eastAsia"/>
                      <w:color w:val="auto"/>
                      <w:kern w:val="0"/>
                      <w:szCs w:val="21"/>
                      <w:lang w:bidi="ar"/>
                    </w:rPr>
                    <w:t>硬脂酸钙</w:t>
                  </w:r>
                </w:p>
              </w:tc>
              <w:tc>
                <w:tcPr>
                  <w:tcW w:w="6846" w:type="dxa"/>
                  <w:vAlign w:val="center"/>
                </w:tcPr>
                <w:p w14:paraId="0702A7CC">
                  <w:pPr>
                    <w:widowControl/>
                    <w:textAlignment w:val="center"/>
                    <w:rPr>
                      <w:color w:val="auto"/>
                      <w:kern w:val="0"/>
                      <w:szCs w:val="21"/>
                      <w:lang w:bidi="ar"/>
                    </w:rPr>
                  </w:pPr>
                  <w:r>
                    <w:rPr>
                      <w:color w:val="auto"/>
                      <w:szCs w:val="21"/>
                    </w:rPr>
                    <w:t>分子式：C</w:t>
                  </w:r>
                  <w:r>
                    <w:rPr>
                      <w:color w:val="auto"/>
                      <w:szCs w:val="21"/>
                      <w:vertAlign w:val="subscript"/>
                    </w:rPr>
                    <w:t>36</w:t>
                  </w:r>
                  <w:r>
                    <w:rPr>
                      <w:color w:val="auto"/>
                      <w:szCs w:val="21"/>
                    </w:rPr>
                    <w:t>H</w:t>
                  </w:r>
                  <w:r>
                    <w:rPr>
                      <w:color w:val="auto"/>
                      <w:szCs w:val="21"/>
                      <w:vertAlign w:val="subscript"/>
                    </w:rPr>
                    <w:t>70</w:t>
                  </w:r>
                  <w:r>
                    <w:rPr>
                      <w:color w:val="auto"/>
                      <w:szCs w:val="21"/>
                    </w:rPr>
                    <w:t>CaO</w:t>
                  </w:r>
                  <w:r>
                    <w:rPr>
                      <w:color w:val="auto"/>
                      <w:szCs w:val="21"/>
                      <w:vertAlign w:val="subscript"/>
                    </w:rPr>
                    <w:t>4</w:t>
                  </w:r>
                  <w:r>
                    <w:rPr>
                      <w:color w:val="auto"/>
                      <w:szCs w:val="21"/>
                    </w:rPr>
                    <w:t>，分子量：607.02，CAS号：1592-23-0，白色粉末，熔点179～180℃，受高热分解。不溶于水、冷的乙醇和乙醚，溶于热的苯、甲苯和松节油，微溶于热的乙醇和乙醚。与强酸分解为硬脂酸和相应的钙盐。在空气中有吸水性。不耐解脂微生物。高温分解生成硬脂酮和烃。无毒。工业品中常杂有相应的油酸盐。用作聚氯乙烯的稳定剂和润滑剂；在聚乙烯、聚丙烯中作为卤素吸收剂；聚烯烃纤维和模塑品的润滑剂；酚醛、氨基等热固性塑料的润滑剂和脱模剂;润滑脂的增厚剂；防水织物的防水剂；油漆的平光剂及铅笔芯的润滑剂等。</w:t>
                  </w:r>
                </w:p>
              </w:tc>
            </w:tr>
            <w:tr w14:paraId="06A6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746E2830">
                  <w:pPr>
                    <w:widowControl/>
                    <w:jc w:val="center"/>
                    <w:textAlignment w:val="center"/>
                    <w:rPr>
                      <w:color w:val="auto"/>
                      <w:kern w:val="0"/>
                      <w:szCs w:val="21"/>
                      <w:lang w:bidi="ar"/>
                    </w:rPr>
                  </w:pPr>
                  <w:r>
                    <w:rPr>
                      <w:rFonts w:hint="eastAsia"/>
                      <w:color w:val="auto"/>
                      <w:kern w:val="0"/>
                      <w:szCs w:val="21"/>
                      <w:lang w:bidi="ar"/>
                    </w:rPr>
                    <w:t>氧化蜡</w:t>
                  </w:r>
                </w:p>
              </w:tc>
              <w:tc>
                <w:tcPr>
                  <w:tcW w:w="6846" w:type="dxa"/>
                  <w:vAlign w:val="center"/>
                </w:tcPr>
                <w:p w14:paraId="4108B8D1">
                  <w:pPr>
                    <w:widowControl/>
                    <w:textAlignment w:val="center"/>
                    <w:rPr>
                      <w:color w:val="auto"/>
                      <w:szCs w:val="21"/>
                    </w:rPr>
                  </w:pPr>
                  <w:r>
                    <w:rPr>
                      <w:color w:val="auto"/>
                      <w:szCs w:val="21"/>
                    </w:rPr>
                    <w:t>又称OPE蜡，由聚乙烯蜡经过特殊的氧化工艺氧化后制得，具有粘度低、软化点高、硬度好等特殊性能，无毒性，热稳定性好，高温挥发性低，对填料、颜料的分散性极佳，既有极优的外部润滑性，又有较强的内部润滑作用，还具有偶联作用，可提高塑料加工的生产效率，降低生产成本，与聚烯烃树脂等有良好的相容性，在常温下的抗湿性能好，耐化学药品能力强，电性能优良，可改善成品外观，是取代蒙旦蜡、川蜡、液体石蜡、微晶石蜡、天然石蜡、聚乙烯蜡等的理想产品。</w:t>
                  </w:r>
                </w:p>
              </w:tc>
            </w:tr>
            <w:tr w14:paraId="58BB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4F11D5D7">
                  <w:pPr>
                    <w:widowControl/>
                    <w:jc w:val="center"/>
                    <w:textAlignment w:val="center"/>
                    <w:rPr>
                      <w:color w:val="auto"/>
                      <w:kern w:val="0"/>
                      <w:szCs w:val="21"/>
                      <w:lang w:bidi="ar"/>
                    </w:rPr>
                  </w:pPr>
                  <w:r>
                    <w:rPr>
                      <w:rFonts w:hint="eastAsia"/>
                      <w:color w:val="auto"/>
                      <w:kern w:val="0"/>
                      <w:szCs w:val="21"/>
                      <w:lang w:bidi="ar"/>
                    </w:rPr>
                    <w:t>A4</w:t>
                  </w:r>
                </w:p>
              </w:tc>
              <w:tc>
                <w:tcPr>
                  <w:tcW w:w="6846" w:type="dxa"/>
                  <w:vAlign w:val="center"/>
                </w:tcPr>
                <w:p w14:paraId="7A458992">
                  <w:pPr>
                    <w:widowControl/>
                    <w:textAlignment w:val="center"/>
                    <w:rPr>
                      <w:color w:val="auto"/>
                    </w:rPr>
                  </w:pPr>
                  <w:r>
                    <w:rPr>
                      <w:color w:val="auto"/>
                      <w:szCs w:val="21"/>
                    </w:rPr>
                    <w:t>分子式：AlKO</w:t>
                  </w:r>
                  <w:r>
                    <w:rPr>
                      <w:color w:val="auto"/>
                      <w:szCs w:val="21"/>
                      <w:vertAlign w:val="subscript"/>
                    </w:rPr>
                    <w:t>6</w:t>
                  </w:r>
                  <w:r>
                    <w:rPr>
                      <w:color w:val="auto"/>
                      <w:szCs w:val="21"/>
                    </w:rPr>
                    <w:t>Si</w:t>
                  </w:r>
                  <w:r>
                    <w:rPr>
                      <w:color w:val="auto"/>
                      <w:szCs w:val="21"/>
                      <w:vertAlign w:val="subscript"/>
                    </w:rPr>
                    <w:t>2</w:t>
                  </w:r>
                  <w:r>
                    <w:rPr>
                      <w:color w:val="auto"/>
                      <w:szCs w:val="21"/>
                    </w:rPr>
                    <w:t>，CAS号：1327-44-2，分子量：218.247238，杆状无色单斜晶体，不溶于水，常用作干燥剂，钙、镁、铁等离子的交换剂。</w:t>
                  </w:r>
                </w:p>
              </w:tc>
            </w:tr>
            <w:tr w14:paraId="3D44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2FD761DD">
                  <w:pPr>
                    <w:widowControl/>
                    <w:jc w:val="center"/>
                    <w:textAlignment w:val="center"/>
                    <w:rPr>
                      <w:color w:val="auto"/>
                      <w:szCs w:val="21"/>
                    </w:rPr>
                  </w:pPr>
                  <w:r>
                    <w:rPr>
                      <w:rFonts w:hint="eastAsia"/>
                      <w:color w:val="auto"/>
                      <w:szCs w:val="21"/>
                    </w:rPr>
                    <w:t>G60</w:t>
                  </w:r>
                </w:p>
              </w:tc>
              <w:tc>
                <w:tcPr>
                  <w:tcW w:w="6846" w:type="dxa"/>
                  <w:vAlign w:val="center"/>
                </w:tcPr>
                <w:p w14:paraId="74D2278F">
                  <w:pPr>
                    <w:widowControl/>
                    <w:textAlignment w:val="center"/>
                    <w:rPr>
                      <w:color w:val="auto"/>
                      <w:szCs w:val="21"/>
                    </w:rPr>
                  </w:pPr>
                  <w:r>
                    <w:rPr>
                      <w:color w:val="auto"/>
                      <w:szCs w:val="21"/>
                    </w:rPr>
                    <w:t>分子式：C</w:t>
                  </w:r>
                  <w:r>
                    <w:rPr>
                      <w:color w:val="auto"/>
                      <w:szCs w:val="21"/>
                      <w:vertAlign w:val="subscript"/>
                    </w:rPr>
                    <w:t>77</w:t>
                  </w:r>
                  <w:r>
                    <w:rPr>
                      <w:color w:val="auto"/>
                      <w:szCs w:val="21"/>
                    </w:rPr>
                    <w:t>H</w:t>
                  </w:r>
                  <w:r>
                    <w:rPr>
                      <w:color w:val="auto"/>
                      <w:szCs w:val="21"/>
                      <w:vertAlign w:val="subscript"/>
                    </w:rPr>
                    <w:t>148</w:t>
                  </w:r>
                  <w:r>
                    <w:rPr>
                      <w:color w:val="auto"/>
                      <w:szCs w:val="21"/>
                    </w:rPr>
                    <w:t>O</w:t>
                  </w:r>
                  <w:r>
                    <w:rPr>
                      <w:color w:val="auto"/>
                      <w:szCs w:val="21"/>
                      <w:vertAlign w:val="subscript"/>
                    </w:rPr>
                    <w:t>8</w:t>
                  </w:r>
                  <w:r>
                    <w:rPr>
                      <w:color w:val="auto"/>
                      <w:szCs w:val="21"/>
                    </w:rPr>
                    <w:t>，分子量：1201.99，CAS号：115-83-3，熔点：60-66℃，白色到近乎白色粉末晶体，能溶于水及一般有机溶剂，在高温下具有良好的热稳定性和低挥发性，良好的脱模和流动性能，对部分结晶的塑料有极好的成核作用，可用于透明产品。</w:t>
                  </w:r>
                </w:p>
              </w:tc>
            </w:tr>
            <w:tr w14:paraId="05DF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0B3004DE">
                  <w:pPr>
                    <w:widowControl/>
                    <w:jc w:val="center"/>
                    <w:textAlignment w:val="center"/>
                    <w:rPr>
                      <w:color w:val="auto"/>
                      <w:kern w:val="0"/>
                      <w:szCs w:val="21"/>
                      <w:lang w:bidi="ar"/>
                    </w:rPr>
                  </w:pPr>
                  <w:r>
                    <w:rPr>
                      <w:rFonts w:hint="eastAsia"/>
                      <w:color w:val="auto"/>
                      <w:kern w:val="0"/>
                      <w:szCs w:val="21"/>
                      <w:lang w:bidi="ar"/>
                    </w:rPr>
                    <w:t>PE蜡</w:t>
                  </w:r>
                </w:p>
              </w:tc>
              <w:tc>
                <w:tcPr>
                  <w:tcW w:w="6846" w:type="dxa"/>
                  <w:vAlign w:val="center"/>
                </w:tcPr>
                <w:p w14:paraId="4C377065">
                  <w:pPr>
                    <w:widowControl/>
                    <w:textAlignment w:val="center"/>
                    <w:rPr>
                      <w:color w:val="auto"/>
                      <w:kern w:val="0"/>
                      <w:szCs w:val="21"/>
                      <w:lang w:bidi="ar"/>
                    </w:rPr>
                  </w:pPr>
                  <w:r>
                    <w:rPr>
                      <w:color w:val="auto"/>
                    </w:rPr>
                    <w:fldChar w:fldCharType="begin"/>
                  </w:r>
                  <w:r>
                    <w:rPr>
                      <w:color w:val="auto"/>
                    </w:rPr>
                    <w:instrText xml:space="preserve"> HYPERLINK "https://baike.baidu.com/item/%E8%81%9A%E4%B9%99%E7%83%AF/274575?fromModule=lemma_inlink" \t "https://baike.baidu.com/item/%E8%81%9A%E4%B9%99%E7%83%AF%E8%9C%A1/_blank" </w:instrText>
                  </w:r>
                  <w:r>
                    <w:rPr>
                      <w:color w:val="auto"/>
                    </w:rPr>
                    <w:fldChar w:fldCharType="separate"/>
                  </w:r>
                  <w:r>
                    <w:rPr>
                      <w:color w:val="auto"/>
                      <w:kern w:val="0"/>
                      <w:szCs w:val="21"/>
                      <w:lang w:bidi="ar"/>
                    </w:rPr>
                    <w:t>聚乙烯</w:t>
                  </w:r>
                  <w:r>
                    <w:rPr>
                      <w:color w:val="auto"/>
                      <w:kern w:val="0"/>
                      <w:szCs w:val="21"/>
                      <w:lang w:bidi="ar"/>
                    </w:rPr>
                    <w:fldChar w:fldCharType="end"/>
                  </w:r>
                  <w:r>
                    <w:rPr>
                      <w:color w:val="auto"/>
                      <w:kern w:val="0"/>
                      <w:szCs w:val="21"/>
                      <w:lang w:bidi="ar"/>
                    </w:rPr>
                    <w:t>蜡（PE蜡），又称高分子蜡简称聚乙烯蜡。因其优良的</w:t>
                  </w:r>
                  <w:r>
                    <w:rPr>
                      <w:color w:val="auto"/>
                    </w:rPr>
                    <w:fldChar w:fldCharType="begin"/>
                  </w:r>
                  <w:r>
                    <w:rPr>
                      <w:color w:val="auto"/>
                    </w:rPr>
                    <w:instrText xml:space="preserve"> HYPERLINK "https://baike.baidu.com/item/%E8%80%90%E5%AF%92%E6%80%A7/4519425?fromModule=lemma_inlink" \t "https://baike.baidu.com/item/%E8%81%9A%E4%B9%99%E7%83%AF%E8%9C%A1/_blank" </w:instrText>
                  </w:r>
                  <w:r>
                    <w:rPr>
                      <w:color w:val="auto"/>
                    </w:rPr>
                    <w:fldChar w:fldCharType="separate"/>
                  </w:r>
                  <w:r>
                    <w:rPr>
                      <w:color w:val="auto"/>
                      <w:kern w:val="0"/>
                      <w:szCs w:val="21"/>
                      <w:lang w:bidi="ar"/>
                    </w:rPr>
                    <w:t>耐寒性</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"https://baike.baidu.com/item/%E8%80%90%E7%83%AD%E6%80%A7/9397486?fromModule=lemma_inlink" \t "https://baike.baidu.com/item/%E8%81%9A%E4%B9%99%E7%83%AF%E8%9C%A1/_blank" </w:instrText>
                  </w:r>
                  <w:r>
                    <w:rPr>
                      <w:color w:val="auto"/>
                    </w:rPr>
                    <w:fldChar w:fldCharType="separate"/>
                  </w:r>
                  <w:r>
                    <w:rPr>
                      <w:color w:val="auto"/>
                      <w:kern w:val="0"/>
                      <w:szCs w:val="21"/>
                      <w:lang w:bidi="ar"/>
                    </w:rPr>
                    <w:t>耐热性</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"https://baike.baidu.com/item/%E8%80%90%E5%8C%96%E5%AD%A6%E6%80%A7/10889316?fromModule=lemma_inlink" \t "https://baike.baidu.com/item/%E8%81%9A%E4%B9%99%E7%83%AF%E8%9C%A1/_blank" </w:instrText>
                  </w:r>
                  <w:r>
                    <w:rPr>
                      <w:color w:val="auto"/>
                    </w:rPr>
                    <w:fldChar w:fldCharType="separate"/>
                  </w:r>
                  <w:r>
                    <w:rPr>
                      <w:color w:val="auto"/>
                      <w:kern w:val="0"/>
                      <w:szCs w:val="21"/>
                      <w:lang w:bidi="ar"/>
                    </w:rPr>
                    <w:t>耐化学性</w:t>
                  </w:r>
                  <w:r>
                    <w:rPr>
                      <w:color w:val="auto"/>
                      <w:kern w:val="0"/>
                      <w:szCs w:val="21"/>
                      <w:lang w:bidi="ar"/>
                    </w:rPr>
                    <w:fldChar w:fldCharType="end"/>
                  </w:r>
                  <w:r>
                    <w:rPr>
                      <w:color w:val="auto"/>
                      <w:kern w:val="0"/>
                      <w:szCs w:val="21"/>
                      <w:lang w:bidi="ar"/>
                    </w:rPr>
                    <w:t>和</w:t>
                  </w:r>
                  <w:r>
                    <w:rPr>
                      <w:color w:val="auto"/>
                    </w:rPr>
                    <w:fldChar w:fldCharType="begin"/>
                  </w:r>
                  <w:r>
                    <w:rPr>
                      <w:color w:val="auto"/>
                    </w:rPr>
                    <w:instrText xml:space="preserve"> HYPERLINK "https://baike.baidu.com/item/%E8%80%90%E7%A3%A8%E6%80%A7/648992?fromModule=lemma_inlink" \t "https://baike.baidu.com/item/%E8%81%9A%E4%B9%99%E7%83%AF%E8%9C%A1/_blank" </w:instrText>
                  </w:r>
                  <w:r>
                    <w:rPr>
                      <w:color w:val="auto"/>
                    </w:rPr>
                    <w:fldChar w:fldCharType="separate"/>
                  </w:r>
                  <w:r>
                    <w:rPr>
                      <w:color w:val="auto"/>
                      <w:kern w:val="0"/>
                      <w:szCs w:val="21"/>
                      <w:lang w:bidi="ar"/>
                    </w:rPr>
                    <w:t>耐磨性</w:t>
                  </w:r>
                  <w:r>
                    <w:rPr>
                      <w:color w:val="auto"/>
                      <w:kern w:val="0"/>
                      <w:szCs w:val="21"/>
                      <w:lang w:bidi="ar"/>
                    </w:rPr>
                    <w:fldChar w:fldCharType="end"/>
                  </w:r>
                  <w:r>
                    <w:rPr>
                      <w:color w:val="auto"/>
                      <w:kern w:val="0"/>
                      <w:szCs w:val="21"/>
                      <w:lang w:bidi="ar"/>
                    </w:rPr>
                    <w:t>而得到广泛的应用。正常生产中，这部分蜡作为一种添加剂可直接加到</w:t>
                  </w:r>
                  <w:r>
                    <w:rPr>
                      <w:color w:val="auto"/>
                    </w:rPr>
                    <w:fldChar w:fldCharType="begin"/>
                  </w:r>
                  <w:r>
                    <w:rPr>
                      <w:color w:val="auto"/>
                    </w:rPr>
                    <w:instrText xml:space="preserve"> HYPERLINK "https://baike.baidu.com/item/%E8%81%9A%E7%83%AF%E7%83%83/1181970?fromModule=lemma_inlink" \t "https://baike.baidu.com/item/%E8%81%9A%E4%B9%99%E7%83%AF%E8%9C%A1/_blank" </w:instrText>
                  </w:r>
                  <w:r>
                    <w:rPr>
                      <w:color w:val="auto"/>
                    </w:rPr>
                    <w:fldChar w:fldCharType="separate"/>
                  </w:r>
                  <w:r>
                    <w:rPr>
                      <w:color w:val="auto"/>
                      <w:kern w:val="0"/>
                      <w:szCs w:val="21"/>
                      <w:lang w:bidi="ar"/>
                    </w:rPr>
                    <w:t>聚烯烃</w:t>
                  </w:r>
                  <w:r>
                    <w:rPr>
                      <w:color w:val="auto"/>
                      <w:kern w:val="0"/>
                      <w:szCs w:val="21"/>
                      <w:lang w:bidi="ar"/>
                    </w:rPr>
                    <w:fldChar w:fldCharType="end"/>
                  </w:r>
                  <w:r>
                    <w:rPr>
                      <w:color w:val="auto"/>
                      <w:kern w:val="0"/>
                      <w:szCs w:val="21"/>
                      <w:lang w:bidi="ar"/>
                    </w:rPr>
                    <w:t>加工中，它可以增加产品的光泽和加工性能。作为</w:t>
                  </w:r>
                  <w:r>
                    <w:rPr>
                      <w:color w:val="auto"/>
                    </w:rPr>
                    <w:fldChar w:fldCharType="begin"/>
                  </w:r>
                  <w:r>
                    <w:rPr>
                      <w:color w:val="auto"/>
                    </w:rPr>
                    <w:instrText xml:space="preserve"> HYPERLINK "https://baike.baidu.com/item/%E6%B6%A6%E6%BB%91%E5%89%82/1238748?fromModule=lemma_inlink" \t "https://baike.baidu.com/item/%E8%81%9A%E4%B9%99%E7%83%AF%E8%9C%A1/_blank" </w:instrText>
                  </w:r>
                  <w:r>
                    <w:rPr>
                      <w:color w:val="auto"/>
                    </w:rPr>
                    <w:fldChar w:fldCharType="separate"/>
                  </w:r>
                  <w:r>
                    <w:rPr>
                      <w:color w:val="auto"/>
                      <w:kern w:val="0"/>
                      <w:szCs w:val="21"/>
                      <w:lang w:bidi="ar"/>
                    </w:rPr>
                    <w:t>润滑剂</w:t>
                  </w:r>
                  <w:r>
                    <w:rPr>
                      <w:color w:val="auto"/>
                      <w:kern w:val="0"/>
                      <w:szCs w:val="21"/>
                      <w:lang w:bidi="ar"/>
                    </w:rPr>
                    <w:fldChar w:fldCharType="end"/>
                  </w:r>
                  <w:r>
                    <w:rPr>
                      <w:color w:val="auto"/>
                      <w:kern w:val="0"/>
                      <w:szCs w:val="21"/>
                      <w:lang w:bidi="ar"/>
                    </w:rPr>
                    <w:t>，其</w:t>
                  </w:r>
                  <w:r>
                    <w:rPr>
                      <w:color w:val="auto"/>
                    </w:rPr>
                    <w:fldChar w:fldCharType="begin"/>
                  </w:r>
                  <w:r>
                    <w:rPr>
                      <w:color w:val="auto"/>
                    </w:rPr>
                    <w:instrText xml:space="preserve"> HYPERLINK "https://baike.baidu.com/item/%E5%8C%96%E5%AD%A6%E6%80%A7%E8%B4%A8/763688?fromModule=lemma_inlink" \t "https://baike.baidu.com/item/%E8%81%9A%E4%B9%99%E7%83%AF%E8%9C%A1/_blank" </w:instrText>
                  </w:r>
                  <w:r>
                    <w:rPr>
                      <w:color w:val="auto"/>
                    </w:rPr>
                    <w:fldChar w:fldCharType="separate"/>
                  </w:r>
                  <w:r>
                    <w:rPr>
                      <w:color w:val="auto"/>
                      <w:kern w:val="0"/>
                      <w:szCs w:val="21"/>
                      <w:lang w:bidi="ar"/>
                    </w:rPr>
                    <w:t>化学性质</w:t>
                  </w:r>
                  <w:r>
                    <w:rPr>
                      <w:color w:val="auto"/>
                      <w:kern w:val="0"/>
                      <w:szCs w:val="21"/>
                      <w:lang w:bidi="ar"/>
                    </w:rPr>
                    <w:fldChar w:fldCharType="end"/>
                  </w:r>
                  <w:r>
                    <w:rPr>
                      <w:color w:val="auto"/>
                      <w:kern w:val="0"/>
                      <w:szCs w:val="21"/>
                      <w:lang w:bidi="ar"/>
                    </w:rPr>
                    <w:t>稳定、电性能良好。聚乙烯蜡与聚乙烯、聚丙烯、</w:t>
                  </w:r>
                  <w:r>
                    <w:rPr>
                      <w:color w:val="auto"/>
                    </w:rPr>
                    <w:fldChar w:fldCharType="begin"/>
                  </w:r>
                  <w:r>
                    <w:rPr>
                      <w:color w:val="auto"/>
                    </w:rPr>
                    <w:instrText xml:space="preserve"> HYPERLINK "https://baike.baidu.com/item/%E8%81%9A%E9%86%8B%E9%85%B8%E4%B9%99%E7%83%AF/10665962?fromModule=lemma_inlink" \t "https://baike.baidu.com/item/%E8%81%9A%E4%B9%99%E7%83%AF%E8%9C%A1/_blank" </w:instrText>
                  </w:r>
                  <w:r>
                    <w:rPr>
                      <w:color w:val="auto"/>
                    </w:rPr>
                    <w:fldChar w:fldCharType="separate"/>
                  </w:r>
                  <w:r>
                    <w:rPr>
                      <w:color w:val="auto"/>
                      <w:kern w:val="0"/>
                      <w:szCs w:val="21"/>
                      <w:lang w:bidi="ar"/>
                    </w:rPr>
                    <w:t>聚醋酸乙烯</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"https://baike.baidu.com/item/%E4%B9%99%E4%B8%99%E6%A9%A1%E8%83%B6/8730567?fromModule=lemma_inlink" \t "https://baike.baidu.com/item/%E8%81%9A%E4%B9%99%E7%83%AF%E8%9C%A1/_blank" </w:instrText>
                  </w:r>
                  <w:r>
                    <w:rPr>
                      <w:color w:val="auto"/>
                    </w:rPr>
                    <w:fldChar w:fldCharType="separate"/>
                  </w:r>
                  <w:r>
                    <w:rPr>
                      <w:color w:val="auto"/>
                      <w:kern w:val="0"/>
                      <w:szCs w:val="21"/>
                      <w:lang w:bidi="ar"/>
                    </w:rPr>
                    <w:t>乙丙橡胶</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"https://baike.baidu.com/item/%E4%B8%81%E5%9F%BA%E6%A9%A1%E8%83%B6/8297286?fromModule=lemma_inlink" \t "https://baike.baidu.com/item/%E8%81%9A%E4%B9%99%E7%83%AF%E8%9C%A1/_blank" </w:instrText>
                  </w:r>
                  <w:r>
                    <w:rPr>
                      <w:color w:val="auto"/>
                    </w:rPr>
                    <w:fldChar w:fldCharType="separate"/>
                  </w:r>
                  <w:r>
                    <w:rPr>
                      <w:color w:val="auto"/>
                      <w:kern w:val="0"/>
                      <w:szCs w:val="21"/>
                      <w:lang w:bidi="ar"/>
                    </w:rPr>
                    <w:t>丁基橡胶</w:t>
                  </w:r>
                  <w:r>
                    <w:rPr>
                      <w:color w:val="auto"/>
                      <w:kern w:val="0"/>
                      <w:szCs w:val="21"/>
                      <w:lang w:bidi="ar"/>
                    </w:rPr>
                    <w:fldChar w:fldCharType="end"/>
                  </w:r>
                  <w:r>
                    <w:rPr>
                      <w:color w:val="auto"/>
                    </w:rPr>
                    <w:fldChar w:fldCharType="begin"/>
                  </w:r>
                  <w:r>
                    <w:rPr>
                      <w:color w:val="auto"/>
                    </w:rPr>
                    <w:instrText xml:space="preserve"> HYPERLINK "https://baike.baidu.com/item/%E7%9B%B8%E6%BA%B6%E6%80%A7/9080418?fromModule=lemma_inlink" \t "https://baike.baidu.com/item/%E8%81%9A%E4%B9%99%E7%83%AF%E8%9C%A1/_blank" </w:instrText>
                  </w:r>
                  <w:r>
                    <w:rPr>
                      <w:color w:val="auto"/>
                    </w:rPr>
                    <w:fldChar w:fldCharType="separate"/>
                  </w:r>
                  <w:r>
                    <w:rPr>
                      <w:color w:val="auto"/>
                      <w:kern w:val="0"/>
                      <w:szCs w:val="21"/>
                      <w:lang w:bidi="ar"/>
                    </w:rPr>
                    <w:t>相溶性</w:t>
                  </w:r>
                  <w:r>
                    <w:rPr>
                      <w:color w:val="auto"/>
                      <w:kern w:val="0"/>
                      <w:szCs w:val="21"/>
                      <w:lang w:bidi="ar"/>
                    </w:rPr>
                    <w:fldChar w:fldCharType="end"/>
                  </w:r>
                  <w:r>
                    <w:rPr>
                      <w:color w:val="auto"/>
                      <w:kern w:val="0"/>
                      <w:szCs w:val="21"/>
                      <w:lang w:bidi="ar"/>
                    </w:rPr>
                    <w:t>好。能改善</w:t>
                  </w:r>
                  <w:r>
                    <w:rPr>
                      <w:color w:val="auto"/>
                    </w:rPr>
                    <w:fldChar w:fldCharType="begin"/>
                  </w:r>
                  <w:r>
                    <w:rPr>
                      <w:color w:val="auto"/>
                    </w:rPr>
                    <w:instrText xml:space="preserve"> HYPERLINK "https://baike.baidu.com/item/%E8%81%9A%E4%B9%99%E7%83%AF/274575?fromModule=lemma_inlink" \t "https://baike.baidu.com/item/%E8%81%9A%E4%B9%99%E7%83%AF%E8%9C%A1/_blank" </w:instrText>
                  </w:r>
                  <w:r>
                    <w:rPr>
                      <w:color w:val="auto"/>
                    </w:rPr>
                    <w:fldChar w:fldCharType="separate"/>
                  </w:r>
                  <w:r>
                    <w:rPr>
                      <w:color w:val="auto"/>
                      <w:kern w:val="0"/>
                      <w:szCs w:val="21"/>
                      <w:lang w:bidi="ar"/>
                    </w:rPr>
                    <w:t>聚乙烯</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"https://baike.baidu.com/item/%E8%81%9A%E4%B8%99%E7%83%AF/893850?fromModule=lemma_inlink" \t "https://baike.baidu.com/item/%E8%81%9A%E4%B9%99%E7%83%AF%E8%9C%A1/_blank" </w:instrText>
                  </w:r>
                  <w:r>
                    <w:rPr>
                      <w:color w:val="auto"/>
                    </w:rPr>
                    <w:fldChar w:fldCharType="separate"/>
                  </w:r>
                  <w:r>
                    <w:rPr>
                      <w:color w:val="auto"/>
                      <w:kern w:val="0"/>
                      <w:szCs w:val="21"/>
                      <w:lang w:bidi="ar"/>
                    </w:rPr>
                    <w:t>聚丙烯</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"https://baike.baidu.com/item/ABS/10934083?fromModule=lemma_inlink" \t "https://baike.baidu.com/item/%E8%81%9A%E4%B9%99%E7%83%AF%E8%9C%A1/_blank" </w:instrText>
                  </w:r>
                  <w:r>
                    <w:rPr>
                      <w:color w:val="auto"/>
                    </w:rPr>
                    <w:fldChar w:fldCharType="separate"/>
                  </w:r>
                  <w:r>
                    <w:rPr>
                      <w:color w:val="auto"/>
                      <w:kern w:val="0"/>
                      <w:szCs w:val="21"/>
                      <w:lang w:bidi="ar"/>
                    </w:rPr>
                    <w:t>ABS</w:t>
                  </w:r>
                  <w:r>
                    <w:rPr>
                      <w:color w:val="auto"/>
                      <w:kern w:val="0"/>
                      <w:szCs w:val="21"/>
                      <w:lang w:bidi="ar"/>
                    </w:rPr>
                    <w:fldChar w:fldCharType="end"/>
                  </w:r>
                  <w:r>
                    <w:rPr>
                      <w:color w:val="auto"/>
                      <w:kern w:val="0"/>
                      <w:szCs w:val="21"/>
                      <w:lang w:bidi="ar"/>
                    </w:rPr>
                    <w:t>的流动性和</w:t>
                  </w:r>
                  <w:r>
                    <w:rPr>
                      <w:color w:val="auto"/>
                    </w:rPr>
                    <w:fldChar w:fldCharType="begin"/>
                  </w:r>
                  <w:r>
                    <w:rPr>
                      <w:color w:val="auto"/>
                    </w:rPr>
                    <w:instrText xml:space="preserve"> HYPERLINK "https://baike.baidu.com/item/%E8%81%9A%E7%94%B2%E5%9F%BA%E4%B8%99%E7%83%AF%E9%85%B8%E7%94%B2%E9%85%AF/10402338?fromModule=lemma_inlink" \t "https://baike.baidu.com/item/%E8%81%9A%E4%B9%99%E7%83%AF%E8%9C%A1/_blank" </w:instrText>
                  </w:r>
                  <w:r>
                    <w:rPr>
                      <w:color w:val="auto"/>
                    </w:rPr>
                    <w:fldChar w:fldCharType="separate"/>
                  </w:r>
                  <w:r>
                    <w:rPr>
                      <w:color w:val="auto"/>
                      <w:kern w:val="0"/>
                      <w:szCs w:val="21"/>
                      <w:lang w:bidi="ar"/>
                    </w:rPr>
                    <w:t>聚甲基丙烯酸甲酯</w:t>
                  </w:r>
                  <w:r>
                    <w:rPr>
                      <w:color w:val="auto"/>
                      <w:kern w:val="0"/>
                      <w:szCs w:val="21"/>
                      <w:lang w:bidi="ar"/>
                    </w:rPr>
                    <w:fldChar w:fldCharType="end"/>
                  </w:r>
                  <w:r>
                    <w:rPr>
                      <w:color w:val="auto"/>
                      <w:kern w:val="0"/>
                      <w:szCs w:val="21"/>
                      <w:lang w:bidi="ar"/>
                    </w:rPr>
                    <w:t>、</w:t>
                  </w:r>
                  <w:r>
                    <w:rPr>
                      <w:color w:val="auto"/>
                    </w:rPr>
                    <w:fldChar w:fldCharType="begin"/>
                  </w:r>
                  <w:r>
                    <w:rPr>
                      <w:color w:val="auto"/>
                    </w:rPr>
                    <w:instrText xml:space="preserve"> HYPERLINK "https://baike.baidu.com/item/%E8%81%9A%E7%A2%B3%E9%85%B8%E9%85%AF/7127305?fromModule=lemma_inlink" \t "https://baike.baidu.com/item/%E8%81%9A%E4%B9%99%E7%83%AF%E8%9C%A1/_blank" </w:instrText>
                  </w:r>
                  <w:r>
                    <w:rPr>
                      <w:color w:val="auto"/>
                    </w:rPr>
                    <w:fldChar w:fldCharType="separate"/>
                  </w:r>
                  <w:r>
                    <w:rPr>
                      <w:color w:val="auto"/>
                      <w:kern w:val="0"/>
                      <w:szCs w:val="21"/>
                      <w:lang w:bidi="ar"/>
                    </w:rPr>
                    <w:t>聚碳酸酯</w:t>
                  </w:r>
                  <w:r>
                    <w:rPr>
                      <w:color w:val="auto"/>
                      <w:kern w:val="0"/>
                      <w:szCs w:val="21"/>
                      <w:lang w:bidi="ar"/>
                    </w:rPr>
                    <w:fldChar w:fldCharType="end"/>
                  </w:r>
                  <w:r>
                    <w:rPr>
                      <w:color w:val="auto"/>
                      <w:kern w:val="0"/>
                      <w:szCs w:val="21"/>
                      <w:lang w:bidi="ar"/>
                    </w:rPr>
                    <w:t>的脱模性。对于</w:t>
                  </w:r>
                  <w:r>
                    <w:rPr>
                      <w:color w:val="auto"/>
                    </w:rPr>
                    <w:fldChar w:fldCharType="begin"/>
                  </w:r>
                  <w:r>
                    <w:rPr>
                      <w:color w:val="auto"/>
                    </w:rPr>
                    <w:instrText xml:space="preserve"> HYPERLINK "https://baike.baidu.com/item/PVC/1405368?fromModule=lemma_inlink" \t "https://baike.baidu.com/item/%E8%81%9A%E4%B9%99%E7%83%AF%E8%9C%A1/_blank" </w:instrText>
                  </w:r>
                  <w:r>
                    <w:rPr>
                      <w:color w:val="auto"/>
                    </w:rPr>
                    <w:fldChar w:fldCharType="separate"/>
                  </w:r>
                  <w:r>
                    <w:rPr>
                      <w:color w:val="auto"/>
                      <w:kern w:val="0"/>
                      <w:szCs w:val="21"/>
                      <w:lang w:bidi="ar"/>
                    </w:rPr>
                    <w:t>PVC</w:t>
                  </w:r>
                  <w:r>
                    <w:rPr>
                      <w:color w:val="auto"/>
                      <w:kern w:val="0"/>
                      <w:szCs w:val="21"/>
                      <w:lang w:bidi="ar"/>
                    </w:rPr>
                    <w:fldChar w:fldCharType="end"/>
                  </w:r>
                  <w:r>
                    <w:rPr>
                      <w:color w:val="auto"/>
                      <w:kern w:val="0"/>
                      <w:szCs w:val="21"/>
                      <w:lang w:bidi="ar"/>
                    </w:rPr>
                    <w:t>和其它的外部润滑剂相比，聚乙烯蜡具有更强的内部润滑作用。</w:t>
                  </w:r>
                </w:p>
              </w:tc>
            </w:tr>
            <w:tr w14:paraId="33E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71B9A5C4">
                  <w:pPr>
                    <w:widowControl/>
                    <w:jc w:val="center"/>
                    <w:textAlignment w:val="center"/>
                    <w:rPr>
                      <w:color w:val="auto"/>
                      <w:kern w:val="0"/>
                      <w:szCs w:val="21"/>
                      <w:lang w:bidi="ar"/>
                    </w:rPr>
                  </w:pPr>
                  <w:r>
                    <w:rPr>
                      <w:rFonts w:hint="eastAsia"/>
                      <w:color w:val="auto"/>
                      <w:kern w:val="0"/>
                      <w:szCs w:val="21"/>
                      <w:lang w:bidi="ar"/>
                    </w:rPr>
                    <w:t>赛克</w:t>
                  </w:r>
                </w:p>
              </w:tc>
              <w:tc>
                <w:tcPr>
                  <w:tcW w:w="6846" w:type="dxa"/>
                  <w:vAlign w:val="center"/>
                </w:tcPr>
                <w:p w14:paraId="7A1933C8">
                  <w:pPr>
                    <w:widowControl/>
                    <w:textAlignment w:val="center"/>
                    <w:rPr>
                      <w:color w:val="auto"/>
                      <w:kern w:val="0"/>
                      <w:szCs w:val="21"/>
                      <w:lang w:bidi="ar"/>
                    </w:rPr>
                  </w:pPr>
                  <w:r>
                    <w:rPr>
                      <w:color w:val="auto"/>
                      <w:kern w:val="0"/>
                      <w:szCs w:val="21"/>
                      <w:lang w:bidi="ar"/>
                    </w:rPr>
                    <w:t>白色结晶性粉末，熔点134～136℃。溶于水和热的稀酒精，可难溶于乙醇、丙酮、四氯化碳、石油醚。不自燃，有防潮性。与羧酸、酸酐、卤化酰基反应生成酯。在高温条件下，与二元酸反应生成三维结构聚酯；在中低温条件下，与异氰酸酯反应生成氨基甲酸酯，在中高温条件下与二异氰酸酯反应生成三维结构的聚氨基甲酸酯，用于制造耐热漆包线及具有优良机械性能的漆，染料、医药等有机合成中间体以及PVC行业的稳定剂的工业用料。</w:t>
                  </w:r>
                </w:p>
              </w:tc>
            </w:tr>
            <w:tr w14:paraId="0CEA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4" w:type="dxa"/>
                  <w:vAlign w:val="center"/>
                </w:tcPr>
                <w:p w14:paraId="5C9A543E">
                  <w:pPr>
                    <w:widowControl/>
                    <w:jc w:val="center"/>
                    <w:textAlignment w:val="center"/>
                    <w:rPr>
                      <w:color w:val="auto"/>
                      <w:kern w:val="0"/>
                      <w:szCs w:val="21"/>
                      <w:lang w:bidi="ar"/>
                    </w:rPr>
                  </w:pPr>
                  <w:r>
                    <w:rPr>
                      <w:rFonts w:hint="eastAsia"/>
                      <w:color w:val="auto"/>
                      <w:kern w:val="0"/>
                      <w:szCs w:val="21"/>
                      <w:lang w:bidi="ar"/>
                    </w:rPr>
                    <w:t>水滑石</w:t>
                  </w:r>
                </w:p>
              </w:tc>
              <w:tc>
                <w:tcPr>
                  <w:tcW w:w="6846" w:type="dxa"/>
                  <w:vAlign w:val="center"/>
                </w:tcPr>
                <w:p w14:paraId="279EA9F0">
                  <w:pPr>
                    <w:widowControl/>
                    <w:textAlignment w:val="center"/>
                    <w:rPr>
                      <w:color w:val="auto"/>
                      <w:kern w:val="0"/>
                      <w:szCs w:val="21"/>
                      <w:lang w:bidi="ar"/>
                    </w:rPr>
                  </w:pPr>
                  <w:r>
                    <w:rPr>
                      <w:color w:val="auto"/>
                      <w:szCs w:val="21"/>
                    </w:rPr>
                    <w:t>分子式：CAlO</w:t>
                  </w:r>
                  <w:r>
                    <w:rPr>
                      <w:color w:val="auto"/>
                      <w:szCs w:val="21"/>
                      <w:vertAlign w:val="subscript"/>
                    </w:rPr>
                    <w:t>9</w:t>
                  </w:r>
                  <w:r>
                    <w:rPr>
                      <w:color w:val="auto"/>
                      <w:szCs w:val="21"/>
                    </w:rPr>
                    <w:t>，分子量:182.99，CAS号：11097-59-9，白色至类白色粉末，熔点：＞300℃，闪点：110℃，密度：2.0g/mL。</w:t>
                  </w:r>
                </w:p>
              </w:tc>
            </w:tr>
          </w:tbl>
          <w:p w14:paraId="0DDD169A">
            <w:pPr>
              <w:numPr>
                <w:ilvl w:val="0"/>
                <w:numId w:val="16"/>
              </w:numPr>
              <w:tabs>
                <w:tab w:val="left" w:pos="142"/>
                <w:tab w:val="left" w:pos="993"/>
              </w:tabs>
              <w:adjustRightInd w:val="0"/>
              <w:spacing w:line="360" w:lineRule="auto"/>
              <w:rPr>
                <w:b/>
                <w:color w:val="auto"/>
                <w:sz w:val="24"/>
              </w:rPr>
            </w:pPr>
            <w:r>
              <w:rPr>
                <w:rFonts w:hint="eastAsia"/>
                <w:b/>
                <w:color w:val="auto"/>
                <w:sz w:val="24"/>
              </w:rPr>
              <w:t>劳动定员及工作制度</w:t>
            </w:r>
          </w:p>
          <w:p w14:paraId="75B8C1AC">
            <w:pPr>
              <w:autoSpaceDE w:val="0"/>
              <w:autoSpaceDN w:val="0"/>
              <w:adjustRightInd w:val="0"/>
              <w:snapToGrid w:val="0"/>
              <w:spacing w:line="360" w:lineRule="auto"/>
              <w:ind w:firstLine="480" w:firstLineChars="200"/>
              <w:rPr>
                <w:bCs/>
                <w:color w:val="auto"/>
                <w:kern w:val="0"/>
                <w:sz w:val="24"/>
              </w:rPr>
            </w:pPr>
            <w:r>
              <w:rPr>
                <w:rFonts w:hint="eastAsia"/>
                <w:bCs/>
                <w:color w:val="auto"/>
                <w:kern w:val="0"/>
                <w:sz w:val="24"/>
              </w:rPr>
              <w:t>本项目劳动定员30人，年工作时间320天，每天实行</w:t>
            </w:r>
            <w:r>
              <w:rPr>
                <w:rFonts w:hint="eastAsia"/>
                <w:bCs/>
                <w:color w:val="auto"/>
                <w:kern w:val="0"/>
                <w:sz w:val="24"/>
                <w:lang w:val="en-US" w:eastAsia="zh-CN"/>
              </w:rPr>
              <w:t>24h</w:t>
            </w:r>
            <w:r>
              <w:rPr>
                <w:rFonts w:hint="eastAsia"/>
                <w:bCs/>
                <w:color w:val="auto"/>
                <w:kern w:val="0"/>
                <w:sz w:val="24"/>
              </w:rPr>
              <w:t>三班制生产，每班工作时长8小时。本项目不设置食堂和员工宿舍。</w:t>
            </w:r>
          </w:p>
          <w:p w14:paraId="4BEAD85F">
            <w:pPr>
              <w:numPr>
                <w:ilvl w:val="0"/>
                <w:numId w:val="16"/>
              </w:numPr>
              <w:tabs>
                <w:tab w:val="left" w:pos="142"/>
                <w:tab w:val="left" w:pos="993"/>
              </w:tabs>
              <w:adjustRightInd w:val="0"/>
              <w:spacing w:line="360" w:lineRule="auto"/>
              <w:rPr>
                <w:b/>
                <w:color w:val="auto"/>
                <w:sz w:val="24"/>
              </w:rPr>
            </w:pPr>
            <w:r>
              <w:rPr>
                <w:rFonts w:hint="eastAsia"/>
                <w:b/>
                <w:color w:val="auto"/>
                <w:sz w:val="24"/>
              </w:rPr>
              <w:t>厂区平面布置</w:t>
            </w:r>
          </w:p>
          <w:p w14:paraId="0B7B9C24">
            <w:pPr>
              <w:autoSpaceDE w:val="0"/>
              <w:autoSpaceDN w:val="0"/>
              <w:adjustRightInd w:val="0"/>
              <w:snapToGrid w:val="0"/>
              <w:spacing w:line="360" w:lineRule="auto"/>
              <w:ind w:firstLine="480" w:firstLineChars="200"/>
              <w:rPr>
                <w:rFonts w:hint="eastAsia" w:eastAsia="宋体"/>
                <w:bCs/>
                <w:color w:val="auto"/>
                <w:kern w:val="0"/>
                <w:sz w:val="24"/>
                <w:lang w:eastAsia="zh-CN"/>
              </w:rPr>
            </w:pPr>
            <w:r>
              <w:rPr>
                <w:rFonts w:hint="eastAsia"/>
                <w:bCs/>
                <w:color w:val="auto"/>
                <w:kern w:val="0"/>
                <w:sz w:val="24"/>
              </w:rPr>
              <w:t>项目厂区内设置办公区、混料区、储料区和挤出区，并设有原料仓库、</w:t>
            </w:r>
            <w:r>
              <w:rPr>
                <w:rFonts w:hint="eastAsia"/>
                <w:bCs/>
                <w:color w:val="auto"/>
                <w:kern w:val="0"/>
                <w:sz w:val="24"/>
                <w:lang w:val="en-US" w:eastAsia="zh-CN"/>
              </w:rPr>
              <w:t>成品</w:t>
            </w:r>
            <w:r>
              <w:rPr>
                <w:rFonts w:hint="eastAsia"/>
                <w:bCs/>
                <w:color w:val="auto"/>
                <w:kern w:val="0"/>
                <w:sz w:val="24"/>
              </w:rPr>
              <w:t>仓库</w:t>
            </w:r>
            <w:r>
              <w:rPr>
                <w:rFonts w:hint="eastAsia"/>
                <w:bCs/>
                <w:color w:val="auto"/>
                <w:kern w:val="0"/>
                <w:sz w:val="24"/>
                <w:lang w:val="en-US" w:eastAsia="zh-CN"/>
              </w:rPr>
              <w:t>等</w:t>
            </w:r>
            <w:r>
              <w:rPr>
                <w:rFonts w:hint="eastAsia"/>
                <w:bCs/>
                <w:color w:val="auto"/>
                <w:kern w:val="0"/>
                <w:sz w:val="24"/>
              </w:rPr>
              <w:t>。厂区</w:t>
            </w:r>
            <w:r>
              <w:rPr>
                <w:rFonts w:hint="eastAsia"/>
                <w:bCs/>
                <w:color w:val="auto"/>
                <w:kern w:val="0"/>
                <w:sz w:val="24"/>
                <w:lang w:val="en-US" w:eastAsia="zh-CN"/>
              </w:rPr>
              <w:t>南</w:t>
            </w:r>
            <w:r>
              <w:rPr>
                <w:rFonts w:hint="eastAsia"/>
                <w:bCs/>
                <w:color w:val="auto"/>
                <w:kern w:val="0"/>
                <w:sz w:val="24"/>
              </w:rPr>
              <w:t>侧设有1个危废仓库和1个一般固废仓库。项目厂区平面布置图详见附图。</w:t>
            </w:r>
            <w:r>
              <w:rPr>
                <w:rFonts w:hint="eastAsia"/>
                <w:bCs/>
                <w:color w:val="auto"/>
                <w:kern w:val="0"/>
                <w:sz w:val="24"/>
                <w:lang w:eastAsia="zh-CN"/>
              </w:rPr>
              <w:t>（</w:t>
            </w:r>
            <w:r>
              <w:rPr>
                <w:rFonts w:hint="eastAsia"/>
                <w:bCs/>
                <w:color w:val="auto"/>
                <w:kern w:val="0"/>
                <w:sz w:val="24"/>
                <w:lang w:val="en-US" w:eastAsia="zh-CN"/>
              </w:rPr>
              <w:t>注：厂区南侧为木线条生产区域，不在本环评的评价范围内</w:t>
            </w:r>
            <w:r>
              <w:rPr>
                <w:rFonts w:hint="eastAsia"/>
                <w:bCs/>
                <w:color w:val="auto"/>
                <w:kern w:val="0"/>
                <w:sz w:val="24"/>
                <w:lang w:eastAsia="zh-CN"/>
              </w:rPr>
              <w:t>）</w:t>
            </w:r>
          </w:p>
          <w:p w14:paraId="2021CC93">
            <w:pPr>
              <w:numPr>
                <w:ilvl w:val="0"/>
                <w:numId w:val="16"/>
              </w:numPr>
              <w:tabs>
                <w:tab w:val="left" w:pos="142"/>
                <w:tab w:val="left" w:pos="993"/>
              </w:tabs>
              <w:adjustRightInd w:val="0"/>
              <w:spacing w:line="360" w:lineRule="auto"/>
              <w:rPr>
                <w:b/>
                <w:color w:val="auto"/>
                <w:sz w:val="24"/>
              </w:rPr>
            </w:pPr>
            <w:r>
              <w:rPr>
                <w:rFonts w:hint="eastAsia"/>
                <w:b/>
                <w:color w:val="auto"/>
                <w:sz w:val="24"/>
              </w:rPr>
              <w:t>水平衡</w:t>
            </w:r>
          </w:p>
          <w:p w14:paraId="4BB1DF6B">
            <w:pPr>
              <w:autoSpaceDE w:val="0"/>
              <w:autoSpaceDN w:val="0"/>
              <w:adjustRightInd w:val="0"/>
              <w:snapToGrid w:val="0"/>
              <w:spacing w:line="360" w:lineRule="auto"/>
              <w:ind w:firstLine="480" w:firstLineChars="200"/>
              <w:rPr>
                <w:bCs/>
                <w:color w:val="auto"/>
                <w:kern w:val="0"/>
                <w:sz w:val="24"/>
              </w:rPr>
            </w:pPr>
            <w:r>
              <w:rPr>
                <w:rFonts w:hint="eastAsia"/>
                <w:bCs/>
                <w:color w:val="auto"/>
                <w:kern w:val="0"/>
                <w:sz w:val="24"/>
              </w:rPr>
              <w:t>本项目水平衡图见下图：</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0"/>
            </w:tblGrid>
            <w:tr w14:paraId="6254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0" w:type="dxa"/>
                </w:tcPr>
                <w:p w14:paraId="01D4F8AC">
                  <w:pPr>
                    <w:autoSpaceDE w:val="0"/>
                    <w:autoSpaceDN w:val="0"/>
                    <w:adjustRightInd w:val="0"/>
                    <w:snapToGrid w:val="0"/>
                    <w:spacing w:line="360" w:lineRule="auto"/>
                    <w:jc w:val="center"/>
                    <w:rPr>
                      <w:bCs/>
                      <w:color w:val="auto"/>
                      <w:kern w:val="0"/>
                      <w:sz w:val="24"/>
                    </w:rPr>
                  </w:pPr>
                  <w:r>
                    <w:rPr>
                      <w:bCs/>
                      <w:color w:val="auto"/>
                      <w:kern w:val="0"/>
                      <w:sz w:val="24"/>
                    </w:rPr>
                    <w:object>
                      <v:shape id="_x0000_i1025" o:spt="75" type="#_x0000_t75" style="height:219.85pt;width:251.0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tc>
            </w:tr>
          </w:tbl>
          <w:p w14:paraId="5FF4ED1C">
            <w:pPr>
              <w:pStyle w:val="125"/>
              <w:numPr>
                <w:ilvl w:val="0"/>
                <w:numId w:val="19"/>
              </w:numPr>
              <w:spacing w:line="0" w:lineRule="atLeast"/>
              <w:ind w:left="0" w:firstLine="0"/>
              <w:rPr>
                <w:bCs/>
                <w:color w:val="auto"/>
              </w:rPr>
            </w:pPr>
            <w:r>
              <w:rPr>
                <w:rFonts w:hint="eastAsia" w:eastAsia="宋体"/>
                <w:bCs/>
                <w:color w:val="auto"/>
              </w:rPr>
              <w:t>项目水平衡图（单位：t/a）</w:t>
            </w:r>
          </w:p>
          <w:p w14:paraId="1C05D8E4">
            <w:pPr>
              <w:autoSpaceDE w:val="0"/>
              <w:autoSpaceDN w:val="0"/>
              <w:adjustRightInd w:val="0"/>
              <w:snapToGrid w:val="0"/>
              <w:spacing w:line="360" w:lineRule="auto"/>
              <w:rPr>
                <w:bCs/>
                <w:color w:val="auto"/>
                <w:kern w:val="0"/>
                <w:sz w:val="24"/>
              </w:rPr>
            </w:pPr>
          </w:p>
        </w:tc>
      </w:tr>
      <w:tr w14:paraId="33E2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54" w:type="dxa"/>
            <w:tcBorders>
              <w:tl2br w:val="nil"/>
              <w:tr2bl w:val="nil"/>
            </w:tcBorders>
            <w:vAlign w:val="center"/>
          </w:tcPr>
          <w:p w14:paraId="0B5B6243">
            <w:pPr>
              <w:pStyle w:val="8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596" w:type="dxa"/>
            <w:tcBorders>
              <w:tl2br w:val="nil"/>
              <w:tr2bl w:val="nil"/>
            </w:tcBorders>
          </w:tcPr>
          <w:p w14:paraId="4BD56C7F">
            <w:pPr>
              <w:numPr>
                <w:ilvl w:val="0"/>
                <w:numId w:val="15"/>
              </w:numPr>
              <w:adjustRightInd w:val="0"/>
              <w:snapToGrid w:val="0"/>
              <w:spacing w:line="360" w:lineRule="auto"/>
              <w:jc w:val="left"/>
              <w:rPr>
                <w:b/>
                <w:bCs/>
                <w:color w:val="auto"/>
                <w:sz w:val="24"/>
              </w:rPr>
            </w:pPr>
            <w:r>
              <w:rPr>
                <w:b/>
                <w:bCs/>
                <w:color w:val="auto"/>
                <w:sz w:val="24"/>
              </w:rPr>
              <w:t>工艺流程和产排污环节</w:t>
            </w:r>
          </w:p>
          <w:p w14:paraId="55B01AE7">
            <w:pPr>
              <w:numPr>
                <w:ilvl w:val="0"/>
                <w:numId w:val="20"/>
              </w:numPr>
              <w:tabs>
                <w:tab w:val="left" w:pos="993"/>
              </w:tabs>
              <w:adjustRightInd w:val="0"/>
              <w:spacing w:line="360" w:lineRule="auto"/>
              <w:ind w:left="0" w:firstLine="0"/>
              <w:rPr>
                <w:b/>
                <w:bCs/>
                <w:color w:val="auto"/>
                <w:sz w:val="24"/>
              </w:rPr>
            </w:pPr>
            <w:r>
              <w:rPr>
                <w:b/>
                <w:bCs/>
                <w:color w:val="auto"/>
                <w:sz w:val="24"/>
              </w:rPr>
              <w:t>主要生产工艺及产污介绍</w:t>
            </w:r>
          </w:p>
          <w:p w14:paraId="6004F6CB">
            <w:pPr>
              <w:widowControl/>
              <w:spacing w:line="360" w:lineRule="auto"/>
              <w:ind w:firstLine="425"/>
              <w:rPr>
                <w:color w:val="auto"/>
                <w:sz w:val="28"/>
                <w:szCs w:val="28"/>
              </w:rPr>
            </w:pPr>
            <w:r>
              <w:rPr>
                <w:color w:val="auto"/>
                <w:sz w:val="24"/>
              </w:rPr>
              <w:t>1、工艺流程</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0"/>
            </w:tblGrid>
            <w:tr w14:paraId="7FDE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0" w:type="dxa"/>
                </w:tcPr>
                <w:p w14:paraId="397CB2A5">
                  <w:pPr>
                    <w:pStyle w:val="125"/>
                    <w:spacing w:line="0" w:lineRule="atLeast"/>
                    <w:rPr>
                      <w:color w:val="auto"/>
                    </w:rPr>
                  </w:pPr>
                  <w:r>
                    <w:rPr>
                      <w:color w:val="auto"/>
                    </w:rPr>
                    <w:object>
                      <v:shape id="_x0000_i1026" o:spt="75" type="#_x0000_t75" style="height:355.2pt;width:252.6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tc>
            </w:tr>
          </w:tbl>
          <w:p w14:paraId="0DA9DFAD">
            <w:pPr>
              <w:pStyle w:val="125"/>
              <w:numPr>
                <w:ilvl w:val="0"/>
                <w:numId w:val="19"/>
              </w:numPr>
              <w:spacing w:line="0" w:lineRule="atLeast"/>
              <w:ind w:left="0" w:firstLine="0"/>
              <w:rPr>
                <w:bCs/>
                <w:color w:val="auto"/>
              </w:rPr>
            </w:pPr>
            <w:r>
              <w:rPr>
                <w:rFonts w:eastAsia="宋体"/>
                <w:bCs/>
                <w:color w:val="auto"/>
              </w:rPr>
              <w:t>工艺流程及产污节点示意图</w:t>
            </w:r>
          </w:p>
          <w:p w14:paraId="48F6966F">
            <w:pPr>
              <w:autoSpaceDE w:val="0"/>
              <w:autoSpaceDN w:val="0"/>
              <w:adjustRightInd w:val="0"/>
              <w:snapToGrid w:val="0"/>
              <w:spacing w:line="360" w:lineRule="auto"/>
              <w:ind w:firstLine="482" w:firstLineChars="200"/>
              <w:rPr>
                <w:b/>
                <w:bCs/>
                <w:color w:val="auto"/>
                <w:sz w:val="24"/>
              </w:rPr>
            </w:pPr>
            <w:r>
              <w:rPr>
                <w:rFonts w:hint="eastAsia"/>
                <w:b/>
                <w:bCs/>
                <w:color w:val="auto"/>
                <w:sz w:val="24"/>
              </w:rPr>
              <w:t>主要工艺流程简述：</w:t>
            </w:r>
          </w:p>
          <w:p w14:paraId="5F59B659">
            <w:pPr>
              <w:autoSpaceDE w:val="0"/>
              <w:autoSpaceDN w:val="0"/>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1、投料</w:t>
            </w:r>
          </w:p>
          <w:p w14:paraId="3A94033F">
            <w:pPr>
              <w:autoSpaceDE w:val="0"/>
              <w:autoSpaceDN w:val="0"/>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本项目PVC粉、钙粉等原辅料为袋装，人工解开包装袋后按照对应的比例投入混料机投料口中。</w:t>
            </w:r>
          </w:p>
          <w:p w14:paraId="36F60F12">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2</w:t>
            </w:r>
            <w:r>
              <w:rPr>
                <w:rFonts w:hint="eastAsia"/>
                <w:color w:val="auto"/>
                <w:sz w:val="24"/>
              </w:rPr>
              <w:t>、混料</w:t>
            </w:r>
          </w:p>
          <w:p w14:paraId="18ACEADA">
            <w:pPr>
              <w:autoSpaceDE w:val="0"/>
              <w:autoSpaceDN w:val="0"/>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料斗内的粉料</w:t>
            </w:r>
            <w:r>
              <w:rPr>
                <w:color w:val="auto"/>
                <w:sz w:val="24"/>
              </w:rPr>
              <w:t>通过</w:t>
            </w:r>
            <w:r>
              <w:rPr>
                <w:rFonts w:hint="eastAsia"/>
                <w:color w:val="auto"/>
                <w:sz w:val="24"/>
                <w:lang w:val="en-US" w:eastAsia="zh-CN"/>
              </w:rPr>
              <w:t>绞龙输送</w:t>
            </w:r>
            <w:r>
              <w:rPr>
                <w:color w:val="auto"/>
                <w:sz w:val="24"/>
              </w:rPr>
              <w:t>至混料机内进行混合，</w:t>
            </w:r>
            <w:r>
              <w:rPr>
                <w:rFonts w:hint="eastAsia"/>
                <w:color w:val="auto"/>
                <w:sz w:val="24"/>
              </w:rPr>
              <w:t>混料机高速混合产生温度，混料机采用冷却水间接冷却（冷却水循环使用，定期补充，不外排），混合后的的物料通过</w:t>
            </w:r>
            <w:r>
              <w:rPr>
                <w:rFonts w:hint="eastAsia"/>
                <w:color w:val="auto"/>
                <w:sz w:val="24"/>
                <w:lang w:val="en-US" w:eastAsia="zh-CN"/>
              </w:rPr>
              <w:t>绞龙输送</w:t>
            </w:r>
            <w:r>
              <w:rPr>
                <w:rFonts w:hint="eastAsia"/>
                <w:color w:val="auto"/>
                <w:sz w:val="24"/>
              </w:rPr>
              <w:t>进入储料罐中。</w:t>
            </w:r>
            <w:r>
              <w:rPr>
                <w:rFonts w:hint="eastAsia"/>
                <w:color w:val="auto"/>
                <w:sz w:val="24"/>
                <w:lang w:val="en-US" w:eastAsia="zh-CN"/>
              </w:rPr>
              <w:t>本项目投料、配料在在夜间进行。</w:t>
            </w:r>
          </w:p>
          <w:p w14:paraId="3CBA6159">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3</w:t>
            </w:r>
            <w:r>
              <w:rPr>
                <w:rFonts w:hint="eastAsia"/>
                <w:color w:val="auto"/>
                <w:sz w:val="24"/>
              </w:rPr>
              <w:t>、熔融挤出</w:t>
            </w:r>
          </w:p>
          <w:p w14:paraId="6402B3FB">
            <w:pPr>
              <w:autoSpaceDE w:val="0"/>
              <w:autoSpaceDN w:val="0"/>
              <w:adjustRightInd w:val="0"/>
              <w:snapToGrid w:val="0"/>
              <w:spacing w:line="360" w:lineRule="auto"/>
              <w:ind w:firstLine="480" w:firstLineChars="200"/>
              <w:rPr>
                <w:rFonts w:hint="eastAsia"/>
                <w:color w:val="auto"/>
                <w:sz w:val="24"/>
              </w:rPr>
            </w:pPr>
            <w:r>
              <w:rPr>
                <w:rFonts w:hint="eastAsia"/>
                <w:color w:val="auto"/>
                <w:sz w:val="24"/>
              </w:rPr>
              <w:t>挤塑机使用电加热加热</w:t>
            </w:r>
            <w:r>
              <w:rPr>
                <w:rFonts w:hint="default" w:ascii="Times New Roman" w:hAnsi="Times New Roman" w:cs="Times New Roman"/>
                <w:color w:val="auto"/>
                <w:sz w:val="24"/>
              </w:rPr>
              <w:t>至</w:t>
            </w:r>
            <w:r>
              <w:rPr>
                <w:rFonts w:hint="default" w:ascii="Times New Roman" w:hAnsi="Times New Roman" w:cs="Times New Roman"/>
                <w:color w:val="auto"/>
                <w:sz w:val="24"/>
                <w:lang w:val="en-US" w:eastAsia="zh-CN"/>
              </w:rPr>
              <w:t>165℃-</w:t>
            </w: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0℃</w:t>
            </w:r>
            <w:r>
              <w:rPr>
                <w:rFonts w:hint="eastAsia"/>
                <w:color w:val="auto"/>
                <w:sz w:val="24"/>
              </w:rPr>
              <w:t>，使原料熔融。变成粘性流体，熔融物料由挤出机挤出。</w:t>
            </w:r>
          </w:p>
          <w:p w14:paraId="7A5728EF">
            <w:pPr>
              <w:numPr>
                <w:ilvl w:val="0"/>
                <w:numId w:val="0"/>
              </w:numPr>
              <w:autoSpaceDE w:val="0"/>
              <w:autoSpaceDN w:val="0"/>
              <w:adjustRightInd w:val="0"/>
              <w:snapToGrid w:val="0"/>
              <w:spacing w:line="360" w:lineRule="auto"/>
              <w:ind w:firstLine="480" w:firstLineChars="200"/>
              <w:rPr>
                <w:color w:val="auto"/>
                <w:sz w:val="24"/>
              </w:rPr>
            </w:pPr>
            <w:r>
              <w:rPr>
                <w:rFonts w:hint="eastAsia" w:cs="Times New Roman"/>
                <w:color w:val="auto"/>
                <w:kern w:val="2"/>
                <w:sz w:val="24"/>
                <w:szCs w:val="24"/>
                <w:lang w:val="en-US" w:eastAsia="zh-CN" w:bidi="ar-SA"/>
              </w:rPr>
              <w:t>4</w:t>
            </w:r>
            <w:r>
              <w:rPr>
                <w:rFonts w:ascii="Times New Roman" w:hAnsi="Times New Roman" w:eastAsia="宋体" w:cs="Times New Roman"/>
                <w:color w:val="auto"/>
                <w:kern w:val="2"/>
                <w:sz w:val="24"/>
                <w:szCs w:val="24"/>
                <w:lang w:val="en-US" w:eastAsia="zh-CN" w:bidi="ar-SA"/>
              </w:rPr>
              <w:t>、</w:t>
            </w:r>
            <w:r>
              <w:rPr>
                <w:rFonts w:hint="eastAsia"/>
                <w:color w:val="auto"/>
                <w:sz w:val="24"/>
              </w:rPr>
              <w:t>冷却</w:t>
            </w:r>
          </w:p>
          <w:p w14:paraId="7CCA50C8">
            <w:pPr>
              <w:autoSpaceDE w:val="0"/>
              <w:autoSpaceDN w:val="0"/>
              <w:adjustRightInd w:val="0"/>
              <w:snapToGrid w:val="0"/>
              <w:spacing w:line="360" w:lineRule="auto"/>
              <w:ind w:firstLine="480" w:firstLineChars="200"/>
              <w:rPr>
                <w:color w:val="auto"/>
                <w:sz w:val="24"/>
              </w:rPr>
            </w:pPr>
            <w:r>
              <w:rPr>
                <w:rFonts w:hint="eastAsia"/>
                <w:color w:val="auto"/>
                <w:sz w:val="24"/>
              </w:rPr>
              <w:t>物料挤出后进入挤塑机自带的冷却槽，使用冷却水进行直接冷却，冷却水循环使用，定期补充，不外排。</w:t>
            </w:r>
          </w:p>
          <w:p w14:paraId="788A0183">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5</w:t>
            </w:r>
            <w:r>
              <w:rPr>
                <w:rFonts w:hint="eastAsia"/>
                <w:color w:val="auto"/>
                <w:sz w:val="24"/>
              </w:rPr>
              <w:t>、裁切、检验</w:t>
            </w:r>
          </w:p>
          <w:p w14:paraId="6168FE57">
            <w:pPr>
              <w:autoSpaceDE w:val="0"/>
              <w:autoSpaceDN w:val="0"/>
              <w:adjustRightInd w:val="0"/>
              <w:snapToGrid w:val="0"/>
              <w:spacing w:line="360" w:lineRule="auto"/>
              <w:ind w:firstLine="480" w:firstLineChars="200"/>
              <w:rPr>
                <w:color w:val="auto"/>
                <w:sz w:val="24"/>
              </w:rPr>
            </w:pPr>
            <w:r>
              <w:rPr>
                <w:rFonts w:hint="eastAsia"/>
                <w:color w:val="auto"/>
                <w:sz w:val="24"/>
              </w:rPr>
              <w:t>冷却后经牵引机（挤塑机自带）引出，通过裁切设备（挤塑机自带）裁切成产品所需的尺寸并检验产品是否合格。</w:t>
            </w:r>
          </w:p>
          <w:p w14:paraId="2416563E">
            <w:pPr>
              <w:autoSpaceDE w:val="0"/>
              <w:autoSpaceDN w:val="0"/>
              <w:adjustRightInd w:val="0"/>
              <w:snapToGrid w:val="0"/>
              <w:spacing w:line="360" w:lineRule="auto"/>
              <w:ind w:firstLine="480" w:firstLineChars="200"/>
              <w:rPr>
                <w:color w:val="auto"/>
                <w:sz w:val="24"/>
              </w:rPr>
            </w:pPr>
            <w:r>
              <w:rPr>
                <w:rFonts w:hint="eastAsia"/>
                <w:color w:val="auto"/>
                <w:sz w:val="24"/>
                <w:lang w:val="en-US" w:eastAsia="zh-CN"/>
              </w:rPr>
              <w:t>6</w:t>
            </w:r>
            <w:r>
              <w:rPr>
                <w:rFonts w:hint="eastAsia"/>
                <w:color w:val="auto"/>
                <w:sz w:val="24"/>
              </w:rPr>
              <w:t>、包装入库</w:t>
            </w:r>
          </w:p>
          <w:p w14:paraId="00713F94">
            <w:pPr>
              <w:autoSpaceDE w:val="0"/>
              <w:autoSpaceDN w:val="0"/>
              <w:adjustRightInd w:val="0"/>
              <w:snapToGrid w:val="0"/>
              <w:spacing w:line="360" w:lineRule="auto"/>
              <w:ind w:firstLine="480" w:firstLineChars="200"/>
              <w:rPr>
                <w:rFonts w:hint="eastAsia"/>
                <w:color w:val="auto"/>
                <w:sz w:val="24"/>
              </w:rPr>
            </w:pPr>
            <w:r>
              <w:rPr>
                <w:rFonts w:hint="eastAsia"/>
                <w:color w:val="auto"/>
                <w:sz w:val="24"/>
              </w:rPr>
              <w:t>检验后合格的产品包装入库。</w:t>
            </w:r>
          </w:p>
        </w:tc>
      </w:tr>
      <w:tr w14:paraId="5E3B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2" w:hRule="atLeast"/>
          <w:jc w:val="center"/>
        </w:trPr>
        <w:tc>
          <w:tcPr>
            <w:tcW w:w="464" w:type="dxa"/>
            <w:tcBorders>
              <w:tl2br w:val="nil"/>
              <w:tr2bl w:val="nil"/>
            </w:tcBorders>
            <w:vAlign w:val="center"/>
          </w:tcPr>
          <w:p w14:paraId="07799C0E">
            <w:pPr>
              <w:pStyle w:val="8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596" w:type="dxa"/>
            <w:tcBorders>
              <w:tl2br w:val="nil"/>
              <w:tr2bl w:val="nil"/>
            </w:tcBorders>
          </w:tcPr>
          <w:p w14:paraId="5F646BAC">
            <w:pPr>
              <w:numPr>
                <w:ilvl w:val="0"/>
                <w:numId w:val="20"/>
              </w:numPr>
              <w:tabs>
                <w:tab w:val="left" w:pos="993"/>
              </w:tabs>
              <w:adjustRightInd w:val="0"/>
              <w:spacing w:line="360" w:lineRule="auto"/>
              <w:ind w:left="0" w:firstLine="0"/>
              <w:rPr>
                <w:b/>
                <w:bCs/>
                <w:color w:val="auto"/>
                <w:sz w:val="24"/>
              </w:rPr>
            </w:pPr>
            <w:r>
              <w:rPr>
                <w:b/>
                <w:bCs/>
                <w:color w:val="auto"/>
                <w:sz w:val="24"/>
              </w:rPr>
              <w:t>主要污染环节及污染因子</w:t>
            </w:r>
          </w:p>
          <w:p w14:paraId="2A83943B">
            <w:pPr>
              <w:widowControl/>
              <w:spacing w:line="460" w:lineRule="exact"/>
              <w:ind w:firstLine="425"/>
              <w:rPr>
                <w:color w:val="auto"/>
                <w:sz w:val="24"/>
              </w:rPr>
            </w:pPr>
            <w:r>
              <w:rPr>
                <w:rFonts w:hint="eastAsia"/>
                <w:color w:val="auto"/>
                <w:sz w:val="24"/>
              </w:rPr>
              <w:t>根据工艺流程，本项目生产过程及辅助公用工程产生的主要产物环节分析见下表。</w:t>
            </w:r>
          </w:p>
          <w:p w14:paraId="14DA60BF">
            <w:pPr>
              <w:widowControl/>
              <w:numPr>
                <w:ilvl w:val="0"/>
                <w:numId w:val="17"/>
              </w:numPr>
              <w:spacing w:line="440" w:lineRule="exact"/>
              <w:jc w:val="center"/>
              <w:rPr>
                <w:b/>
                <w:bCs/>
                <w:color w:val="auto"/>
                <w:kern w:val="0"/>
                <w:sz w:val="24"/>
              </w:rPr>
            </w:pPr>
            <w:r>
              <w:rPr>
                <w:b/>
                <w:bCs/>
                <w:color w:val="auto"/>
                <w:kern w:val="0"/>
                <w:sz w:val="24"/>
              </w:rPr>
              <w:t>主要污染</w:t>
            </w:r>
            <w:r>
              <w:rPr>
                <w:rFonts w:hint="eastAsia"/>
                <w:b/>
                <w:bCs/>
                <w:color w:val="auto"/>
                <w:kern w:val="0"/>
                <w:sz w:val="24"/>
              </w:rPr>
              <w:t>因子</w:t>
            </w:r>
            <w:r>
              <w:rPr>
                <w:b/>
                <w:bCs/>
                <w:color w:val="auto"/>
                <w:kern w:val="0"/>
                <w:sz w:val="24"/>
              </w:rPr>
              <w:t>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69"/>
              <w:gridCol w:w="1836"/>
              <w:gridCol w:w="2112"/>
              <w:gridCol w:w="2210"/>
            </w:tblGrid>
            <w:tr w14:paraId="6BF3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3" w:type="pct"/>
                  <w:tcBorders>
                    <w:tl2br w:val="nil"/>
                    <w:tr2bl w:val="nil"/>
                  </w:tcBorders>
                  <w:vAlign w:val="center"/>
                </w:tcPr>
                <w:p w14:paraId="18BE338A">
                  <w:pPr>
                    <w:wordWrap w:val="0"/>
                    <w:jc w:val="center"/>
                    <w:rPr>
                      <w:b w:val="0"/>
                      <w:bCs w:val="0"/>
                      <w:color w:val="auto"/>
                      <w:szCs w:val="21"/>
                    </w:rPr>
                  </w:pPr>
                  <w:r>
                    <w:rPr>
                      <w:b w:val="0"/>
                      <w:bCs w:val="0"/>
                      <w:color w:val="auto"/>
                      <w:szCs w:val="21"/>
                    </w:rPr>
                    <w:t>类型</w:t>
                  </w:r>
                </w:p>
              </w:tc>
              <w:tc>
                <w:tcPr>
                  <w:tcW w:w="817" w:type="pct"/>
                  <w:tcBorders>
                    <w:tl2br w:val="nil"/>
                    <w:tr2bl w:val="nil"/>
                  </w:tcBorders>
                  <w:vAlign w:val="center"/>
                </w:tcPr>
                <w:p w14:paraId="53CBF8CB">
                  <w:pPr>
                    <w:wordWrap w:val="0"/>
                    <w:jc w:val="center"/>
                    <w:rPr>
                      <w:b w:val="0"/>
                      <w:bCs w:val="0"/>
                      <w:color w:val="auto"/>
                      <w:szCs w:val="21"/>
                    </w:rPr>
                  </w:pPr>
                  <w:r>
                    <w:rPr>
                      <w:rFonts w:hint="eastAsia"/>
                      <w:b w:val="0"/>
                      <w:bCs w:val="0"/>
                      <w:color w:val="auto"/>
                      <w:szCs w:val="21"/>
                    </w:rPr>
                    <w:t>产物环节</w:t>
                  </w:r>
                </w:p>
              </w:tc>
              <w:tc>
                <w:tcPr>
                  <w:tcW w:w="1096" w:type="pct"/>
                  <w:tcBorders>
                    <w:tl2br w:val="nil"/>
                    <w:tr2bl w:val="nil"/>
                  </w:tcBorders>
                  <w:vAlign w:val="center"/>
                </w:tcPr>
                <w:p w14:paraId="53145E69">
                  <w:pPr>
                    <w:wordWrap w:val="0"/>
                    <w:jc w:val="center"/>
                    <w:rPr>
                      <w:b w:val="0"/>
                      <w:bCs w:val="0"/>
                      <w:color w:val="auto"/>
                      <w:szCs w:val="21"/>
                    </w:rPr>
                  </w:pPr>
                  <w:r>
                    <w:rPr>
                      <w:rFonts w:hint="eastAsia"/>
                      <w:b w:val="0"/>
                      <w:bCs w:val="0"/>
                      <w:color w:val="auto"/>
                      <w:szCs w:val="21"/>
                    </w:rPr>
                    <w:t>污染源名称</w:t>
                  </w:r>
                </w:p>
              </w:tc>
              <w:tc>
                <w:tcPr>
                  <w:tcW w:w="1261" w:type="pct"/>
                  <w:tcBorders>
                    <w:tl2br w:val="nil"/>
                    <w:tr2bl w:val="nil"/>
                  </w:tcBorders>
                  <w:vAlign w:val="center"/>
                </w:tcPr>
                <w:p w14:paraId="4F76B3BE">
                  <w:pPr>
                    <w:wordWrap w:val="0"/>
                    <w:jc w:val="center"/>
                    <w:rPr>
                      <w:b w:val="0"/>
                      <w:bCs w:val="0"/>
                      <w:color w:val="auto"/>
                      <w:szCs w:val="21"/>
                    </w:rPr>
                  </w:pPr>
                  <w:r>
                    <w:rPr>
                      <w:b w:val="0"/>
                      <w:bCs w:val="0"/>
                      <w:color w:val="auto"/>
                      <w:szCs w:val="21"/>
                    </w:rPr>
                    <w:t>主要污染因子</w:t>
                  </w:r>
                </w:p>
              </w:tc>
              <w:tc>
                <w:tcPr>
                  <w:tcW w:w="1320" w:type="pct"/>
                  <w:tcBorders>
                    <w:tl2br w:val="nil"/>
                    <w:tr2bl w:val="nil"/>
                  </w:tcBorders>
                  <w:vAlign w:val="center"/>
                </w:tcPr>
                <w:p w14:paraId="1D46BDA9">
                  <w:pPr>
                    <w:wordWrap w:val="0"/>
                    <w:jc w:val="center"/>
                    <w:rPr>
                      <w:rFonts w:hint="default" w:eastAsia="宋体"/>
                      <w:b w:val="0"/>
                      <w:bCs w:val="0"/>
                      <w:color w:val="auto"/>
                      <w:szCs w:val="21"/>
                      <w:lang w:val="en-US" w:eastAsia="zh-CN"/>
                    </w:rPr>
                  </w:pPr>
                  <w:r>
                    <w:rPr>
                      <w:rFonts w:hint="eastAsia"/>
                      <w:b w:val="0"/>
                      <w:bCs w:val="0"/>
                      <w:color w:val="auto"/>
                      <w:szCs w:val="21"/>
                      <w:lang w:val="en-US" w:eastAsia="zh-CN"/>
                    </w:rPr>
                    <w:t>治理措施及排放去向</w:t>
                  </w:r>
                </w:p>
              </w:tc>
            </w:tr>
            <w:tr w14:paraId="00FC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vAlign w:val="center"/>
                </w:tcPr>
                <w:p w14:paraId="49D79674">
                  <w:pPr>
                    <w:wordWrap w:val="0"/>
                    <w:jc w:val="center"/>
                    <w:rPr>
                      <w:color w:val="auto"/>
                      <w:szCs w:val="21"/>
                    </w:rPr>
                  </w:pPr>
                  <w:r>
                    <w:rPr>
                      <w:color w:val="auto"/>
                      <w:szCs w:val="21"/>
                    </w:rPr>
                    <w:t>废气</w:t>
                  </w:r>
                </w:p>
              </w:tc>
              <w:tc>
                <w:tcPr>
                  <w:tcW w:w="817" w:type="pct"/>
                  <w:tcBorders>
                    <w:tl2br w:val="nil"/>
                    <w:tr2bl w:val="nil"/>
                  </w:tcBorders>
                  <w:vAlign w:val="center"/>
                </w:tcPr>
                <w:p w14:paraId="6B9DCBA3">
                  <w:pPr>
                    <w:wordWrap w:val="0"/>
                    <w:jc w:val="center"/>
                    <w:rPr>
                      <w:rFonts w:hint="eastAsia" w:eastAsia="宋体"/>
                      <w:color w:val="auto"/>
                      <w:szCs w:val="21"/>
                      <w:lang w:val="en-US" w:eastAsia="zh-CN"/>
                    </w:rPr>
                  </w:pPr>
                  <w:r>
                    <w:rPr>
                      <w:rFonts w:hint="eastAsia"/>
                      <w:color w:val="auto"/>
                      <w:szCs w:val="21"/>
                      <w:lang w:val="en-US" w:eastAsia="zh-CN"/>
                    </w:rPr>
                    <w:t>投料</w:t>
                  </w:r>
                </w:p>
              </w:tc>
              <w:tc>
                <w:tcPr>
                  <w:tcW w:w="1096" w:type="pct"/>
                  <w:tcBorders>
                    <w:tl2br w:val="nil"/>
                    <w:tr2bl w:val="nil"/>
                  </w:tcBorders>
                  <w:vAlign w:val="center"/>
                </w:tcPr>
                <w:p w14:paraId="18940019">
                  <w:pPr>
                    <w:wordWrap w:val="0"/>
                    <w:jc w:val="center"/>
                    <w:rPr>
                      <w:rFonts w:hint="default" w:eastAsia="宋体"/>
                      <w:color w:val="auto"/>
                      <w:szCs w:val="21"/>
                      <w:lang w:val="en-US" w:eastAsia="zh-CN"/>
                    </w:rPr>
                  </w:pPr>
                  <w:r>
                    <w:rPr>
                      <w:rFonts w:hint="eastAsia"/>
                      <w:color w:val="auto"/>
                      <w:szCs w:val="21"/>
                      <w:lang w:val="en-US" w:eastAsia="zh-CN"/>
                    </w:rPr>
                    <w:t>投料粉尘</w:t>
                  </w:r>
                </w:p>
              </w:tc>
              <w:tc>
                <w:tcPr>
                  <w:tcW w:w="1261" w:type="pct"/>
                  <w:tcBorders>
                    <w:tl2br w:val="nil"/>
                    <w:tr2bl w:val="nil"/>
                  </w:tcBorders>
                  <w:vAlign w:val="center"/>
                </w:tcPr>
                <w:p w14:paraId="7793C3CF">
                  <w:pPr>
                    <w:wordWrap w:val="0"/>
                    <w:jc w:val="center"/>
                    <w:rPr>
                      <w:rFonts w:hint="eastAsia" w:eastAsia="宋体"/>
                      <w:color w:val="auto"/>
                      <w:szCs w:val="21"/>
                      <w:lang w:val="en-US" w:eastAsia="zh-CN"/>
                    </w:rPr>
                  </w:pPr>
                  <w:r>
                    <w:rPr>
                      <w:rFonts w:hint="eastAsia"/>
                      <w:color w:val="auto"/>
                      <w:szCs w:val="21"/>
                      <w:lang w:val="en-US" w:eastAsia="zh-CN"/>
                    </w:rPr>
                    <w:t>颗粒物</w:t>
                  </w:r>
                </w:p>
              </w:tc>
              <w:tc>
                <w:tcPr>
                  <w:tcW w:w="1320" w:type="pct"/>
                  <w:vMerge w:val="restart"/>
                  <w:tcBorders>
                    <w:tl2br w:val="nil"/>
                    <w:tr2bl w:val="nil"/>
                  </w:tcBorders>
                  <w:vAlign w:val="center"/>
                </w:tcPr>
                <w:p w14:paraId="2F7819C8">
                  <w:pPr>
                    <w:wordWrap w:val="0"/>
                    <w:jc w:val="both"/>
                    <w:rPr>
                      <w:rFonts w:hint="default" w:eastAsia="宋体"/>
                      <w:color w:val="auto"/>
                      <w:szCs w:val="21"/>
                      <w:lang w:val="en-US" w:eastAsia="zh-CN"/>
                    </w:rPr>
                  </w:pPr>
                  <w:r>
                    <w:rPr>
                      <w:rFonts w:hint="eastAsia"/>
                      <w:color w:val="auto"/>
                      <w:szCs w:val="21"/>
                      <w:lang w:val="en-US" w:eastAsia="zh-CN"/>
                    </w:rPr>
                    <w:t>投料、混料时保持全程密闭，废气经整体微负压进行收集，收集后的废气送入布袋除尘装置处理，净化后的气体在密闭车间内循环</w:t>
                  </w:r>
                </w:p>
              </w:tc>
            </w:tr>
            <w:tr w14:paraId="4ED7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2D99B1C3">
                  <w:pPr>
                    <w:wordWrap w:val="0"/>
                    <w:jc w:val="center"/>
                    <w:rPr>
                      <w:color w:val="auto"/>
                      <w:szCs w:val="21"/>
                    </w:rPr>
                  </w:pPr>
                </w:p>
              </w:tc>
              <w:tc>
                <w:tcPr>
                  <w:tcW w:w="817" w:type="pct"/>
                  <w:tcBorders>
                    <w:tl2br w:val="nil"/>
                    <w:tr2bl w:val="nil"/>
                  </w:tcBorders>
                  <w:vAlign w:val="center"/>
                </w:tcPr>
                <w:p w14:paraId="7C455137">
                  <w:pPr>
                    <w:wordWrap w:val="0"/>
                    <w:jc w:val="center"/>
                    <w:rPr>
                      <w:color w:val="auto"/>
                      <w:szCs w:val="21"/>
                    </w:rPr>
                  </w:pPr>
                  <w:r>
                    <w:rPr>
                      <w:rFonts w:hint="eastAsia"/>
                      <w:color w:val="auto"/>
                      <w:szCs w:val="21"/>
                    </w:rPr>
                    <w:t>配料</w:t>
                  </w:r>
                </w:p>
              </w:tc>
              <w:tc>
                <w:tcPr>
                  <w:tcW w:w="1096" w:type="pct"/>
                  <w:tcBorders>
                    <w:tl2br w:val="nil"/>
                    <w:tr2bl w:val="nil"/>
                  </w:tcBorders>
                  <w:vAlign w:val="center"/>
                </w:tcPr>
                <w:p w14:paraId="0A49A0D9">
                  <w:pPr>
                    <w:wordWrap w:val="0"/>
                    <w:jc w:val="center"/>
                    <w:rPr>
                      <w:color w:val="auto"/>
                      <w:szCs w:val="21"/>
                    </w:rPr>
                  </w:pPr>
                  <w:r>
                    <w:rPr>
                      <w:rFonts w:hint="eastAsia"/>
                      <w:color w:val="auto"/>
                      <w:szCs w:val="21"/>
                    </w:rPr>
                    <w:t>混料粉尘</w:t>
                  </w:r>
                </w:p>
              </w:tc>
              <w:tc>
                <w:tcPr>
                  <w:tcW w:w="1261" w:type="pct"/>
                  <w:tcBorders>
                    <w:tl2br w:val="nil"/>
                    <w:tr2bl w:val="nil"/>
                  </w:tcBorders>
                  <w:vAlign w:val="center"/>
                </w:tcPr>
                <w:p w14:paraId="45AC4DAB">
                  <w:pPr>
                    <w:wordWrap w:val="0"/>
                    <w:jc w:val="center"/>
                    <w:rPr>
                      <w:color w:val="auto"/>
                      <w:szCs w:val="21"/>
                    </w:rPr>
                  </w:pPr>
                  <w:r>
                    <w:rPr>
                      <w:rFonts w:hint="eastAsia"/>
                      <w:color w:val="auto"/>
                      <w:szCs w:val="21"/>
                    </w:rPr>
                    <w:t>颗粒物</w:t>
                  </w:r>
                </w:p>
              </w:tc>
              <w:tc>
                <w:tcPr>
                  <w:tcW w:w="1320" w:type="pct"/>
                  <w:vMerge w:val="continue"/>
                  <w:tcBorders>
                    <w:tl2br w:val="nil"/>
                    <w:tr2bl w:val="nil"/>
                  </w:tcBorders>
                  <w:vAlign w:val="center"/>
                </w:tcPr>
                <w:p w14:paraId="350C099B">
                  <w:pPr>
                    <w:wordWrap w:val="0"/>
                    <w:jc w:val="both"/>
                    <w:rPr>
                      <w:rFonts w:hint="default" w:eastAsia="宋体"/>
                      <w:color w:val="auto"/>
                      <w:szCs w:val="21"/>
                      <w:lang w:val="en-US" w:eastAsia="zh-CN"/>
                    </w:rPr>
                  </w:pPr>
                </w:p>
              </w:tc>
            </w:tr>
            <w:tr w14:paraId="5281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502692BF">
                  <w:pPr>
                    <w:wordWrap w:val="0"/>
                    <w:jc w:val="center"/>
                    <w:rPr>
                      <w:color w:val="auto"/>
                      <w:szCs w:val="21"/>
                    </w:rPr>
                  </w:pPr>
                </w:p>
              </w:tc>
              <w:tc>
                <w:tcPr>
                  <w:tcW w:w="817" w:type="pct"/>
                  <w:tcBorders>
                    <w:tl2br w:val="nil"/>
                    <w:tr2bl w:val="nil"/>
                  </w:tcBorders>
                  <w:vAlign w:val="center"/>
                </w:tcPr>
                <w:p w14:paraId="4D77E0B7">
                  <w:pPr>
                    <w:wordWrap w:val="0"/>
                    <w:jc w:val="center"/>
                    <w:rPr>
                      <w:rFonts w:hint="eastAsia" w:eastAsia="宋体"/>
                      <w:color w:val="auto"/>
                      <w:szCs w:val="21"/>
                      <w:lang w:val="en-US" w:eastAsia="zh-CN"/>
                    </w:rPr>
                  </w:pPr>
                  <w:r>
                    <w:rPr>
                      <w:rFonts w:hint="eastAsia"/>
                      <w:color w:val="auto"/>
                      <w:szCs w:val="21"/>
                      <w:lang w:val="en-US" w:eastAsia="zh-CN"/>
                    </w:rPr>
                    <w:t>储料</w:t>
                  </w:r>
                </w:p>
              </w:tc>
              <w:tc>
                <w:tcPr>
                  <w:tcW w:w="1096" w:type="pct"/>
                  <w:tcBorders>
                    <w:tl2br w:val="nil"/>
                    <w:tr2bl w:val="nil"/>
                  </w:tcBorders>
                  <w:vAlign w:val="center"/>
                </w:tcPr>
                <w:p w14:paraId="6284CB0A">
                  <w:pPr>
                    <w:wordWrap w:val="0"/>
                    <w:jc w:val="center"/>
                    <w:rPr>
                      <w:rFonts w:hint="default" w:eastAsia="宋体"/>
                      <w:color w:val="auto"/>
                      <w:szCs w:val="21"/>
                      <w:lang w:val="en-US" w:eastAsia="zh-CN"/>
                    </w:rPr>
                  </w:pPr>
                  <w:r>
                    <w:rPr>
                      <w:rFonts w:hint="eastAsia"/>
                      <w:color w:val="auto"/>
                      <w:szCs w:val="21"/>
                      <w:lang w:val="en-US" w:eastAsia="zh-CN"/>
                    </w:rPr>
                    <w:t>呼吸废气</w:t>
                  </w:r>
                </w:p>
              </w:tc>
              <w:tc>
                <w:tcPr>
                  <w:tcW w:w="1261" w:type="pct"/>
                  <w:tcBorders>
                    <w:tl2br w:val="nil"/>
                    <w:tr2bl w:val="nil"/>
                  </w:tcBorders>
                  <w:vAlign w:val="center"/>
                </w:tcPr>
                <w:p w14:paraId="271FB77D">
                  <w:pPr>
                    <w:wordWrap w:val="0"/>
                    <w:jc w:val="center"/>
                    <w:rPr>
                      <w:rFonts w:hint="eastAsia" w:eastAsia="宋体"/>
                      <w:color w:val="auto"/>
                      <w:szCs w:val="21"/>
                      <w:lang w:val="en-US" w:eastAsia="zh-CN"/>
                    </w:rPr>
                  </w:pPr>
                  <w:r>
                    <w:rPr>
                      <w:rFonts w:hint="eastAsia"/>
                      <w:color w:val="auto"/>
                      <w:szCs w:val="21"/>
                      <w:lang w:val="en-US" w:eastAsia="zh-CN"/>
                    </w:rPr>
                    <w:t>颗粒物</w:t>
                  </w:r>
                </w:p>
              </w:tc>
              <w:tc>
                <w:tcPr>
                  <w:tcW w:w="1320" w:type="pct"/>
                  <w:vMerge w:val="continue"/>
                  <w:tcBorders>
                    <w:tl2br w:val="nil"/>
                    <w:tr2bl w:val="nil"/>
                  </w:tcBorders>
                  <w:vAlign w:val="center"/>
                </w:tcPr>
                <w:p w14:paraId="0C22550A">
                  <w:pPr>
                    <w:wordWrap w:val="0"/>
                    <w:jc w:val="both"/>
                    <w:rPr>
                      <w:rFonts w:hint="default" w:eastAsia="宋体"/>
                      <w:color w:val="auto"/>
                      <w:szCs w:val="21"/>
                      <w:lang w:val="en-US" w:eastAsia="zh-CN"/>
                    </w:rPr>
                  </w:pPr>
                </w:p>
              </w:tc>
            </w:tr>
            <w:tr w14:paraId="0FF0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3BF558C5">
                  <w:pPr>
                    <w:wordWrap w:val="0"/>
                    <w:jc w:val="center"/>
                    <w:rPr>
                      <w:color w:val="auto"/>
                      <w:szCs w:val="21"/>
                    </w:rPr>
                  </w:pPr>
                </w:p>
              </w:tc>
              <w:tc>
                <w:tcPr>
                  <w:tcW w:w="817" w:type="pct"/>
                  <w:tcBorders>
                    <w:tl2br w:val="nil"/>
                    <w:tr2bl w:val="nil"/>
                  </w:tcBorders>
                  <w:vAlign w:val="center"/>
                </w:tcPr>
                <w:p w14:paraId="0051306E">
                  <w:pPr>
                    <w:wordWrap w:val="0"/>
                    <w:jc w:val="center"/>
                    <w:rPr>
                      <w:color w:val="auto"/>
                      <w:szCs w:val="21"/>
                    </w:rPr>
                  </w:pPr>
                  <w:r>
                    <w:rPr>
                      <w:rFonts w:hint="eastAsia"/>
                      <w:color w:val="auto"/>
                      <w:szCs w:val="21"/>
                    </w:rPr>
                    <w:t>熔融挤出</w:t>
                  </w:r>
                </w:p>
              </w:tc>
              <w:tc>
                <w:tcPr>
                  <w:tcW w:w="1096" w:type="pct"/>
                  <w:tcBorders>
                    <w:tl2br w:val="nil"/>
                    <w:tr2bl w:val="nil"/>
                  </w:tcBorders>
                  <w:vAlign w:val="center"/>
                </w:tcPr>
                <w:p w14:paraId="45BB99AB">
                  <w:pPr>
                    <w:wordWrap w:val="0"/>
                    <w:jc w:val="center"/>
                    <w:rPr>
                      <w:color w:val="auto"/>
                      <w:szCs w:val="21"/>
                    </w:rPr>
                  </w:pPr>
                  <w:r>
                    <w:rPr>
                      <w:rFonts w:hint="eastAsia"/>
                      <w:color w:val="auto"/>
                      <w:szCs w:val="21"/>
                    </w:rPr>
                    <w:t>挤出废气</w:t>
                  </w:r>
                </w:p>
              </w:tc>
              <w:tc>
                <w:tcPr>
                  <w:tcW w:w="1261" w:type="pct"/>
                  <w:tcBorders>
                    <w:tl2br w:val="nil"/>
                    <w:tr2bl w:val="nil"/>
                  </w:tcBorders>
                  <w:vAlign w:val="center"/>
                </w:tcPr>
                <w:p w14:paraId="49030752">
                  <w:pPr>
                    <w:wordWrap w:val="0"/>
                    <w:jc w:val="center"/>
                    <w:rPr>
                      <w:color w:val="auto"/>
                      <w:szCs w:val="21"/>
                    </w:rPr>
                  </w:pPr>
                  <w:r>
                    <w:rPr>
                      <w:rFonts w:hint="eastAsia"/>
                      <w:color w:val="auto"/>
                      <w:szCs w:val="21"/>
                    </w:rPr>
                    <w:t>非甲烷总烃、氯化氢、氯乙烯、臭气浓度</w:t>
                  </w:r>
                </w:p>
              </w:tc>
              <w:tc>
                <w:tcPr>
                  <w:tcW w:w="1320" w:type="pct"/>
                  <w:tcBorders>
                    <w:tl2br w:val="nil"/>
                    <w:tr2bl w:val="nil"/>
                  </w:tcBorders>
                  <w:vAlign w:val="center"/>
                </w:tcPr>
                <w:p w14:paraId="14540F9E">
                  <w:pPr>
                    <w:wordWrap w:val="0"/>
                    <w:jc w:val="both"/>
                    <w:rPr>
                      <w:rFonts w:hint="eastAsia"/>
                      <w:color w:val="auto"/>
                      <w:szCs w:val="21"/>
                    </w:rPr>
                  </w:pPr>
                  <w:r>
                    <w:rPr>
                      <w:rFonts w:hint="eastAsia"/>
                      <w:color w:val="auto"/>
                      <w:szCs w:val="21"/>
                      <w:lang w:val="en-US" w:eastAsia="zh-CN"/>
                    </w:rPr>
                    <w:t>收集后</w:t>
                  </w:r>
                  <w:r>
                    <w:rPr>
                      <w:rFonts w:hint="eastAsia"/>
                      <w:color w:val="auto"/>
                      <w:szCs w:val="21"/>
                    </w:rPr>
                    <w:t>经1套二级活性炭吸附装置处理后通过15m排气筒（DA00</w:t>
                  </w:r>
                  <w:r>
                    <w:rPr>
                      <w:rFonts w:hint="eastAsia"/>
                      <w:color w:val="auto"/>
                      <w:szCs w:val="21"/>
                      <w:lang w:val="en-US" w:eastAsia="zh-CN"/>
                    </w:rPr>
                    <w:t>1</w:t>
                  </w:r>
                  <w:r>
                    <w:rPr>
                      <w:rFonts w:hint="eastAsia"/>
                      <w:color w:val="auto"/>
                      <w:szCs w:val="21"/>
                    </w:rPr>
                    <w:t>）高空排放</w:t>
                  </w:r>
                </w:p>
              </w:tc>
            </w:tr>
            <w:tr w14:paraId="4847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vAlign w:val="center"/>
                </w:tcPr>
                <w:p w14:paraId="74EAA057">
                  <w:pPr>
                    <w:wordWrap w:val="0"/>
                    <w:jc w:val="center"/>
                    <w:rPr>
                      <w:color w:val="auto"/>
                      <w:szCs w:val="21"/>
                    </w:rPr>
                  </w:pPr>
                  <w:r>
                    <w:rPr>
                      <w:rFonts w:hint="eastAsia"/>
                      <w:color w:val="auto"/>
                      <w:szCs w:val="21"/>
                    </w:rPr>
                    <w:t>废水</w:t>
                  </w:r>
                </w:p>
              </w:tc>
              <w:tc>
                <w:tcPr>
                  <w:tcW w:w="817" w:type="pct"/>
                  <w:tcBorders>
                    <w:tl2br w:val="nil"/>
                    <w:tr2bl w:val="nil"/>
                  </w:tcBorders>
                  <w:vAlign w:val="center"/>
                </w:tcPr>
                <w:p w14:paraId="68162CBA">
                  <w:pPr>
                    <w:wordWrap w:val="0"/>
                    <w:jc w:val="center"/>
                    <w:rPr>
                      <w:color w:val="auto"/>
                      <w:szCs w:val="21"/>
                    </w:rPr>
                  </w:pPr>
                  <w:r>
                    <w:rPr>
                      <w:rFonts w:hint="eastAsia"/>
                      <w:color w:val="auto"/>
                      <w:szCs w:val="21"/>
                    </w:rPr>
                    <w:t>员工生活</w:t>
                  </w:r>
                </w:p>
              </w:tc>
              <w:tc>
                <w:tcPr>
                  <w:tcW w:w="1096" w:type="pct"/>
                  <w:tcBorders>
                    <w:tl2br w:val="nil"/>
                    <w:tr2bl w:val="nil"/>
                  </w:tcBorders>
                  <w:vAlign w:val="center"/>
                </w:tcPr>
                <w:p w14:paraId="35BED6FA">
                  <w:pPr>
                    <w:wordWrap w:val="0"/>
                    <w:jc w:val="center"/>
                    <w:rPr>
                      <w:color w:val="auto"/>
                      <w:szCs w:val="21"/>
                    </w:rPr>
                  </w:pPr>
                  <w:r>
                    <w:rPr>
                      <w:rFonts w:hint="eastAsia"/>
                      <w:color w:val="auto"/>
                      <w:szCs w:val="21"/>
                    </w:rPr>
                    <w:t>生活污水</w:t>
                  </w:r>
                </w:p>
              </w:tc>
              <w:tc>
                <w:tcPr>
                  <w:tcW w:w="1261" w:type="pct"/>
                  <w:tcBorders>
                    <w:tl2br w:val="nil"/>
                    <w:tr2bl w:val="nil"/>
                  </w:tcBorders>
                  <w:vAlign w:val="center"/>
                </w:tcPr>
                <w:p w14:paraId="754A14E0">
                  <w:pPr>
                    <w:wordWrap w:val="0"/>
                    <w:jc w:val="center"/>
                    <w:rPr>
                      <w:color w:val="auto"/>
                      <w:szCs w:val="21"/>
                    </w:rPr>
                  </w:pPr>
                  <w:r>
                    <w:rPr>
                      <w:rFonts w:hint="eastAsia"/>
                      <w:color w:val="auto"/>
                      <w:szCs w:val="21"/>
                    </w:rPr>
                    <w:t>COD、氨氮</w:t>
                  </w:r>
                </w:p>
              </w:tc>
              <w:tc>
                <w:tcPr>
                  <w:tcW w:w="1320" w:type="pct"/>
                  <w:tcBorders>
                    <w:tl2br w:val="nil"/>
                    <w:tr2bl w:val="nil"/>
                  </w:tcBorders>
                  <w:vAlign w:val="center"/>
                </w:tcPr>
                <w:p w14:paraId="74D27421">
                  <w:pPr>
                    <w:wordWrap w:val="0"/>
                    <w:jc w:val="both"/>
                    <w:rPr>
                      <w:rFonts w:hint="default" w:eastAsia="宋体"/>
                      <w:color w:val="auto"/>
                      <w:szCs w:val="21"/>
                      <w:lang w:val="en-US" w:eastAsia="zh-CN"/>
                    </w:rPr>
                  </w:pPr>
                  <w:r>
                    <w:rPr>
                      <w:rFonts w:hint="eastAsia"/>
                      <w:color w:val="auto"/>
                      <w:szCs w:val="21"/>
                      <w:lang w:val="en-US" w:eastAsia="zh-CN"/>
                    </w:rPr>
                    <w:t>生活污水经化粪池预处理后纳管至湖州光正水质净化有限公司</w:t>
                  </w:r>
                </w:p>
              </w:tc>
            </w:tr>
            <w:tr w14:paraId="407F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17B82991">
                  <w:pPr>
                    <w:wordWrap w:val="0"/>
                    <w:jc w:val="center"/>
                    <w:rPr>
                      <w:color w:val="auto"/>
                      <w:szCs w:val="21"/>
                    </w:rPr>
                  </w:pPr>
                </w:p>
              </w:tc>
              <w:tc>
                <w:tcPr>
                  <w:tcW w:w="817" w:type="pct"/>
                  <w:tcBorders>
                    <w:tl2br w:val="nil"/>
                    <w:tr2bl w:val="nil"/>
                  </w:tcBorders>
                  <w:vAlign w:val="center"/>
                </w:tcPr>
                <w:p w14:paraId="0F1F6D9B">
                  <w:pPr>
                    <w:wordWrap w:val="0"/>
                    <w:jc w:val="center"/>
                    <w:rPr>
                      <w:color w:val="auto"/>
                      <w:szCs w:val="21"/>
                    </w:rPr>
                  </w:pPr>
                  <w:r>
                    <w:rPr>
                      <w:rFonts w:hint="eastAsia"/>
                      <w:color w:val="auto"/>
                      <w:szCs w:val="21"/>
                    </w:rPr>
                    <w:t>冷却</w:t>
                  </w:r>
                </w:p>
              </w:tc>
              <w:tc>
                <w:tcPr>
                  <w:tcW w:w="1096" w:type="pct"/>
                  <w:tcBorders>
                    <w:tl2br w:val="nil"/>
                    <w:tr2bl w:val="nil"/>
                  </w:tcBorders>
                  <w:vAlign w:val="center"/>
                </w:tcPr>
                <w:p w14:paraId="43BC8330">
                  <w:pPr>
                    <w:wordWrap w:val="0"/>
                    <w:jc w:val="center"/>
                    <w:rPr>
                      <w:color w:val="auto"/>
                      <w:szCs w:val="21"/>
                    </w:rPr>
                  </w:pPr>
                  <w:r>
                    <w:rPr>
                      <w:rFonts w:hint="eastAsia"/>
                      <w:color w:val="auto"/>
                      <w:szCs w:val="21"/>
                    </w:rPr>
                    <w:t>冷却循环水</w:t>
                  </w:r>
                </w:p>
              </w:tc>
              <w:tc>
                <w:tcPr>
                  <w:tcW w:w="1261" w:type="pct"/>
                  <w:tcBorders>
                    <w:tl2br w:val="nil"/>
                    <w:tr2bl w:val="nil"/>
                  </w:tcBorders>
                  <w:vAlign w:val="center"/>
                </w:tcPr>
                <w:p w14:paraId="3201A4E6">
                  <w:pPr>
                    <w:wordWrap w:val="0"/>
                    <w:jc w:val="center"/>
                    <w:rPr>
                      <w:color w:val="auto"/>
                      <w:szCs w:val="21"/>
                    </w:rPr>
                  </w:pPr>
                  <w:r>
                    <w:rPr>
                      <w:rFonts w:hint="eastAsia"/>
                      <w:color w:val="auto"/>
                      <w:szCs w:val="21"/>
                    </w:rPr>
                    <w:t>/</w:t>
                  </w:r>
                </w:p>
              </w:tc>
              <w:tc>
                <w:tcPr>
                  <w:tcW w:w="1320" w:type="pct"/>
                  <w:tcBorders>
                    <w:tl2br w:val="nil"/>
                    <w:tr2bl w:val="nil"/>
                  </w:tcBorders>
                  <w:vAlign w:val="center"/>
                </w:tcPr>
                <w:p w14:paraId="61371296">
                  <w:pPr>
                    <w:wordWrap w:val="0"/>
                    <w:jc w:val="center"/>
                    <w:rPr>
                      <w:rFonts w:hint="default" w:eastAsia="宋体"/>
                      <w:color w:val="auto"/>
                      <w:szCs w:val="21"/>
                      <w:lang w:val="en-US" w:eastAsia="zh-CN"/>
                    </w:rPr>
                  </w:pPr>
                  <w:r>
                    <w:rPr>
                      <w:rFonts w:hint="eastAsia"/>
                      <w:color w:val="auto"/>
                      <w:szCs w:val="21"/>
                      <w:lang w:val="en-US" w:eastAsia="zh-CN"/>
                    </w:rPr>
                    <w:t>循环使用不外排</w:t>
                  </w:r>
                </w:p>
              </w:tc>
            </w:tr>
            <w:tr w14:paraId="0600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vAlign w:val="center"/>
                </w:tcPr>
                <w:p w14:paraId="5784DBCB">
                  <w:pPr>
                    <w:wordWrap w:val="0"/>
                    <w:jc w:val="center"/>
                    <w:rPr>
                      <w:color w:val="auto"/>
                      <w:szCs w:val="21"/>
                    </w:rPr>
                  </w:pPr>
                  <w:r>
                    <w:rPr>
                      <w:color w:val="auto"/>
                      <w:szCs w:val="21"/>
                    </w:rPr>
                    <w:t>固体</w:t>
                  </w:r>
                </w:p>
                <w:p w14:paraId="1EF0D616">
                  <w:pPr>
                    <w:wordWrap w:val="0"/>
                    <w:jc w:val="center"/>
                    <w:rPr>
                      <w:color w:val="auto"/>
                      <w:szCs w:val="21"/>
                    </w:rPr>
                  </w:pPr>
                  <w:r>
                    <w:rPr>
                      <w:color w:val="auto"/>
                      <w:szCs w:val="21"/>
                    </w:rPr>
                    <w:t>废物</w:t>
                  </w:r>
                </w:p>
              </w:tc>
              <w:tc>
                <w:tcPr>
                  <w:tcW w:w="817" w:type="pct"/>
                  <w:tcBorders>
                    <w:tl2br w:val="nil"/>
                    <w:tr2bl w:val="nil"/>
                  </w:tcBorders>
                  <w:vAlign w:val="center"/>
                </w:tcPr>
                <w:p w14:paraId="1851CD95">
                  <w:pPr>
                    <w:jc w:val="center"/>
                    <w:rPr>
                      <w:color w:val="auto"/>
                    </w:rPr>
                  </w:pPr>
                  <w:r>
                    <w:rPr>
                      <w:rFonts w:hint="eastAsia"/>
                      <w:color w:val="auto"/>
                    </w:rPr>
                    <w:t>裁切</w:t>
                  </w:r>
                </w:p>
              </w:tc>
              <w:tc>
                <w:tcPr>
                  <w:tcW w:w="1096" w:type="pct"/>
                  <w:tcBorders>
                    <w:tl2br w:val="nil"/>
                    <w:tr2bl w:val="nil"/>
                  </w:tcBorders>
                  <w:vAlign w:val="center"/>
                </w:tcPr>
                <w:p w14:paraId="15487A77">
                  <w:pPr>
                    <w:jc w:val="center"/>
                    <w:rPr>
                      <w:color w:val="auto"/>
                      <w:szCs w:val="21"/>
                    </w:rPr>
                  </w:pPr>
                  <w:r>
                    <w:rPr>
                      <w:rFonts w:hint="eastAsia"/>
                      <w:color w:val="auto"/>
                      <w:szCs w:val="21"/>
                    </w:rPr>
                    <w:t>边角料</w:t>
                  </w:r>
                </w:p>
              </w:tc>
              <w:tc>
                <w:tcPr>
                  <w:tcW w:w="1261" w:type="pct"/>
                  <w:tcBorders>
                    <w:tl2br w:val="nil"/>
                    <w:tr2bl w:val="nil"/>
                  </w:tcBorders>
                  <w:vAlign w:val="center"/>
                </w:tcPr>
                <w:p w14:paraId="188ED696">
                  <w:pPr>
                    <w:jc w:val="center"/>
                    <w:rPr>
                      <w:color w:val="auto"/>
                    </w:rPr>
                  </w:pPr>
                  <w:r>
                    <w:rPr>
                      <w:rFonts w:hint="eastAsia"/>
                      <w:color w:val="auto"/>
                      <w:szCs w:val="21"/>
                    </w:rPr>
                    <w:t>边角料</w:t>
                  </w:r>
                </w:p>
              </w:tc>
              <w:tc>
                <w:tcPr>
                  <w:tcW w:w="1320" w:type="pct"/>
                  <w:vMerge w:val="restart"/>
                  <w:tcBorders>
                    <w:tl2br w:val="nil"/>
                    <w:tr2bl w:val="nil"/>
                  </w:tcBorders>
                  <w:vAlign w:val="center"/>
                </w:tcPr>
                <w:p w14:paraId="29E87859">
                  <w:pPr>
                    <w:jc w:val="center"/>
                    <w:rPr>
                      <w:rFonts w:hint="default" w:eastAsia="宋体"/>
                      <w:color w:val="auto"/>
                      <w:szCs w:val="21"/>
                      <w:lang w:val="en-US" w:eastAsia="zh-CN"/>
                    </w:rPr>
                  </w:pPr>
                  <w:r>
                    <w:rPr>
                      <w:rFonts w:hint="eastAsia"/>
                      <w:color w:val="auto"/>
                      <w:szCs w:val="21"/>
                      <w:lang w:val="en-US" w:eastAsia="zh-CN"/>
                    </w:rPr>
                    <w:t>收集后出售给回收公司综合利用</w:t>
                  </w:r>
                </w:p>
              </w:tc>
            </w:tr>
            <w:tr w14:paraId="7160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1A602601">
                  <w:pPr>
                    <w:wordWrap w:val="0"/>
                    <w:jc w:val="center"/>
                    <w:rPr>
                      <w:color w:val="auto"/>
                      <w:szCs w:val="21"/>
                    </w:rPr>
                  </w:pPr>
                </w:p>
              </w:tc>
              <w:tc>
                <w:tcPr>
                  <w:tcW w:w="817" w:type="pct"/>
                  <w:tcBorders>
                    <w:tl2br w:val="nil"/>
                    <w:tr2bl w:val="nil"/>
                  </w:tcBorders>
                  <w:vAlign w:val="center"/>
                </w:tcPr>
                <w:p w14:paraId="759EADFB">
                  <w:pPr>
                    <w:jc w:val="center"/>
                    <w:rPr>
                      <w:color w:val="auto"/>
                    </w:rPr>
                  </w:pPr>
                  <w:r>
                    <w:rPr>
                      <w:rFonts w:hint="eastAsia"/>
                      <w:color w:val="auto"/>
                    </w:rPr>
                    <w:t>检验</w:t>
                  </w:r>
                </w:p>
              </w:tc>
              <w:tc>
                <w:tcPr>
                  <w:tcW w:w="1096" w:type="pct"/>
                  <w:tcBorders>
                    <w:tl2br w:val="nil"/>
                    <w:tr2bl w:val="nil"/>
                  </w:tcBorders>
                  <w:vAlign w:val="center"/>
                </w:tcPr>
                <w:p w14:paraId="63856A2C">
                  <w:pPr>
                    <w:jc w:val="center"/>
                    <w:rPr>
                      <w:color w:val="auto"/>
                      <w:szCs w:val="21"/>
                    </w:rPr>
                  </w:pPr>
                  <w:r>
                    <w:rPr>
                      <w:rFonts w:hint="eastAsia"/>
                      <w:color w:val="auto"/>
                      <w:szCs w:val="21"/>
                    </w:rPr>
                    <w:t>不合格品</w:t>
                  </w:r>
                </w:p>
              </w:tc>
              <w:tc>
                <w:tcPr>
                  <w:tcW w:w="1261" w:type="pct"/>
                  <w:tcBorders>
                    <w:tl2br w:val="nil"/>
                    <w:tr2bl w:val="nil"/>
                  </w:tcBorders>
                  <w:vAlign w:val="center"/>
                </w:tcPr>
                <w:p w14:paraId="1046FAB8">
                  <w:pPr>
                    <w:jc w:val="center"/>
                    <w:rPr>
                      <w:color w:val="auto"/>
                    </w:rPr>
                  </w:pPr>
                  <w:r>
                    <w:rPr>
                      <w:rFonts w:hint="eastAsia"/>
                      <w:color w:val="auto"/>
                      <w:szCs w:val="21"/>
                    </w:rPr>
                    <w:t>不合格品</w:t>
                  </w:r>
                </w:p>
              </w:tc>
              <w:tc>
                <w:tcPr>
                  <w:tcW w:w="1320" w:type="pct"/>
                  <w:vMerge w:val="continue"/>
                  <w:tcBorders>
                    <w:tl2br w:val="nil"/>
                    <w:tr2bl w:val="nil"/>
                  </w:tcBorders>
                  <w:vAlign w:val="center"/>
                </w:tcPr>
                <w:p w14:paraId="25DDE0C7">
                  <w:pPr>
                    <w:jc w:val="center"/>
                    <w:rPr>
                      <w:rFonts w:hint="eastAsia"/>
                      <w:color w:val="auto"/>
                      <w:szCs w:val="21"/>
                    </w:rPr>
                  </w:pPr>
                </w:p>
              </w:tc>
            </w:tr>
            <w:tr w14:paraId="0E2A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2A47D27C">
                  <w:pPr>
                    <w:wordWrap w:val="0"/>
                    <w:jc w:val="center"/>
                    <w:rPr>
                      <w:color w:val="auto"/>
                      <w:szCs w:val="21"/>
                    </w:rPr>
                  </w:pPr>
                </w:p>
              </w:tc>
              <w:tc>
                <w:tcPr>
                  <w:tcW w:w="817" w:type="pct"/>
                  <w:tcBorders>
                    <w:tl2br w:val="nil"/>
                    <w:tr2bl w:val="nil"/>
                  </w:tcBorders>
                  <w:vAlign w:val="center"/>
                </w:tcPr>
                <w:p w14:paraId="2062A961">
                  <w:pPr>
                    <w:jc w:val="center"/>
                    <w:rPr>
                      <w:color w:val="auto"/>
                      <w:szCs w:val="21"/>
                    </w:rPr>
                  </w:pPr>
                  <w:r>
                    <w:rPr>
                      <w:rFonts w:hint="eastAsia"/>
                      <w:color w:val="auto"/>
                    </w:rPr>
                    <w:t>原辅料使用</w:t>
                  </w:r>
                </w:p>
              </w:tc>
              <w:tc>
                <w:tcPr>
                  <w:tcW w:w="1096" w:type="pct"/>
                  <w:tcBorders>
                    <w:tl2br w:val="nil"/>
                    <w:tr2bl w:val="nil"/>
                  </w:tcBorders>
                  <w:vAlign w:val="center"/>
                </w:tcPr>
                <w:p w14:paraId="0408A8E9">
                  <w:pPr>
                    <w:jc w:val="center"/>
                    <w:rPr>
                      <w:color w:val="auto"/>
                      <w:szCs w:val="21"/>
                    </w:rPr>
                  </w:pPr>
                  <w:r>
                    <w:rPr>
                      <w:rFonts w:hint="eastAsia"/>
                      <w:color w:val="auto"/>
                      <w:szCs w:val="21"/>
                    </w:rPr>
                    <w:t>一般废包装材料</w:t>
                  </w:r>
                </w:p>
              </w:tc>
              <w:tc>
                <w:tcPr>
                  <w:tcW w:w="1261" w:type="pct"/>
                  <w:tcBorders>
                    <w:tl2br w:val="nil"/>
                    <w:tr2bl w:val="nil"/>
                  </w:tcBorders>
                  <w:vAlign w:val="center"/>
                </w:tcPr>
                <w:p w14:paraId="5B44AEBC">
                  <w:pPr>
                    <w:jc w:val="center"/>
                    <w:rPr>
                      <w:color w:val="auto"/>
                      <w:szCs w:val="21"/>
                    </w:rPr>
                  </w:pPr>
                  <w:r>
                    <w:rPr>
                      <w:rFonts w:hint="eastAsia"/>
                      <w:color w:val="auto"/>
                    </w:rPr>
                    <w:t>原辅料包装袋等</w:t>
                  </w:r>
                </w:p>
              </w:tc>
              <w:tc>
                <w:tcPr>
                  <w:tcW w:w="1320" w:type="pct"/>
                  <w:vMerge w:val="continue"/>
                  <w:tcBorders>
                    <w:tl2br w:val="nil"/>
                    <w:tr2bl w:val="nil"/>
                  </w:tcBorders>
                  <w:vAlign w:val="center"/>
                </w:tcPr>
                <w:p w14:paraId="4A18E3F1">
                  <w:pPr>
                    <w:jc w:val="center"/>
                    <w:rPr>
                      <w:rFonts w:hint="eastAsia"/>
                      <w:color w:val="auto"/>
                    </w:rPr>
                  </w:pPr>
                </w:p>
              </w:tc>
            </w:tr>
            <w:tr w14:paraId="3AB1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3" w:type="pct"/>
                  <w:vMerge w:val="continue"/>
                  <w:tcBorders>
                    <w:tl2br w:val="nil"/>
                    <w:tr2bl w:val="nil"/>
                  </w:tcBorders>
                  <w:vAlign w:val="center"/>
                </w:tcPr>
                <w:p w14:paraId="1A6A7D08">
                  <w:pPr>
                    <w:wordWrap w:val="0"/>
                    <w:jc w:val="center"/>
                    <w:rPr>
                      <w:color w:val="auto"/>
                      <w:szCs w:val="21"/>
                    </w:rPr>
                  </w:pPr>
                </w:p>
              </w:tc>
              <w:tc>
                <w:tcPr>
                  <w:tcW w:w="817" w:type="pct"/>
                  <w:tcBorders>
                    <w:tl2br w:val="nil"/>
                    <w:tr2bl w:val="nil"/>
                  </w:tcBorders>
                  <w:vAlign w:val="center"/>
                </w:tcPr>
                <w:p w14:paraId="7E955584">
                  <w:pPr>
                    <w:jc w:val="center"/>
                    <w:rPr>
                      <w:rFonts w:hint="eastAsia"/>
                      <w:color w:val="auto"/>
                    </w:rPr>
                  </w:pPr>
                  <w:r>
                    <w:rPr>
                      <w:rFonts w:hint="eastAsia"/>
                      <w:color w:val="auto"/>
                    </w:rPr>
                    <w:t>废气处理</w:t>
                  </w:r>
                </w:p>
              </w:tc>
              <w:tc>
                <w:tcPr>
                  <w:tcW w:w="1096" w:type="pct"/>
                  <w:tcBorders>
                    <w:tl2br w:val="nil"/>
                    <w:tr2bl w:val="nil"/>
                  </w:tcBorders>
                  <w:vAlign w:val="center"/>
                </w:tcPr>
                <w:p w14:paraId="3D155253">
                  <w:pPr>
                    <w:jc w:val="center"/>
                    <w:rPr>
                      <w:rFonts w:hint="eastAsia"/>
                      <w:color w:val="auto"/>
                      <w:szCs w:val="21"/>
                    </w:rPr>
                  </w:pPr>
                  <w:r>
                    <w:rPr>
                      <w:rFonts w:hint="eastAsia"/>
                      <w:color w:val="auto"/>
                      <w:szCs w:val="21"/>
                    </w:rPr>
                    <w:t>收集粉尘</w:t>
                  </w:r>
                </w:p>
              </w:tc>
              <w:tc>
                <w:tcPr>
                  <w:tcW w:w="1261" w:type="pct"/>
                  <w:tcBorders>
                    <w:tl2br w:val="nil"/>
                    <w:tr2bl w:val="nil"/>
                  </w:tcBorders>
                  <w:vAlign w:val="center"/>
                </w:tcPr>
                <w:p w14:paraId="159611C7">
                  <w:pPr>
                    <w:jc w:val="center"/>
                    <w:rPr>
                      <w:rFonts w:hint="eastAsia"/>
                      <w:color w:val="auto"/>
                    </w:rPr>
                  </w:pPr>
                  <w:r>
                    <w:rPr>
                      <w:rFonts w:hint="eastAsia"/>
                      <w:color w:val="auto"/>
                    </w:rPr>
                    <w:t>混料粉尘</w:t>
                  </w:r>
                </w:p>
              </w:tc>
              <w:tc>
                <w:tcPr>
                  <w:tcW w:w="1320" w:type="pct"/>
                  <w:tcBorders>
                    <w:tl2br w:val="nil"/>
                    <w:tr2bl w:val="nil"/>
                  </w:tcBorders>
                  <w:vAlign w:val="center"/>
                </w:tcPr>
                <w:p w14:paraId="6522B90A">
                  <w:pPr>
                    <w:jc w:val="center"/>
                    <w:rPr>
                      <w:rFonts w:hint="default" w:eastAsia="宋体"/>
                      <w:color w:val="auto"/>
                      <w:lang w:val="en-US" w:eastAsia="zh-CN"/>
                    </w:rPr>
                  </w:pPr>
                  <w:r>
                    <w:rPr>
                      <w:rFonts w:hint="eastAsia"/>
                      <w:color w:val="auto"/>
                      <w:lang w:val="en-US" w:eastAsia="zh-CN"/>
                    </w:rPr>
                    <w:t>回用于生产</w:t>
                  </w:r>
                </w:p>
              </w:tc>
            </w:tr>
            <w:tr w14:paraId="76D8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4462ECFA">
                  <w:pPr>
                    <w:wordWrap w:val="0"/>
                    <w:jc w:val="center"/>
                    <w:rPr>
                      <w:color w:val="auto"/>
                      <w:szCs w:val="21"/>
                    </w:rPr>
                  </w:pPr>
                </w:p>
              </w:tc>
              <w:tc>
                <w:tcPr>
                  <w:tcW w:w="817" w:type="pct"/>
                  <w:tcBorders>
                    <w:tl2br w:val="nil"/>
                    <w:tr2bl w:val="nil"/>
                  </w:tcBorders>
                  <w:vAlign w:val="center"/>
                </w:tcPr>
                <w:p w14:paraId="222A0A90">
                  <w:pPr>
                    <w:jc w:val="center"/>
                    <w:rPr>
                      <w:color w:val="auto"/>
                      <w:szCs w:val="21"/>
                    </w:rPr>
                  </w:pPr>
                  <w:r>
                    <w:rPr>
                      <w:rFonts w:hint="eastAsia"/>
                      <w:color w:val="auto"/>
                    </w:rPr>
                    <w:t>设备维护</w:t>
                  </w:r>
                </w:p>
              </w:tc>
              <w:tc>
                <w:tcPr>
                  <w:tcW w:w="1096" w:type="pct"/>
                  <w:tcBorders>
                    <w:tl2br w:val="nil"/>
                    <w:tr2bl w:val="nil"/>
                  </w:tcBorders>
                  <w:vAlign w:val="center"/>
                </w:tcPr>
                <w:p w14:paraId="41E404B0">
                  <w:pPr>
                    <w:jc w:val="center"/>
                    <w:rPr>
                      <w:rFonts w:hint="eastAsia" w:eastAsia="宋体"/>
                      <w:color w:val="auto"/>
                      <w:szCs w:val="21"/>
                      <w:lang w:eastAsia="zh-CN"/>
                    </w:rPr>
                  </w:pPr>
                  <w:r>
                    <w:rPr>
                      <w:rFonts w:hint="eastAsia"/>
                      <w:color w:val="auto"/>
                      <w:szCs w:val="21"/>
                    </w:rPr>
                    <w:t>废</w:t>
                  </w:r>
                  <w:r>
                    <w:rPr>
                      <w:rFonts w:hint="eastAsia"/>
                      <w:color w:val="auto"/>
                      <w:szCs w:val="21"/>
                      <w:lang w:val="en-US" w:eastAsia="zh-CN"/>
                    </w:rPr>
                    <w:t>液压油</w:t>
                  </w:r>
                </w:p>
              </w:tc>
              <w:tc>
                <w:tcPr>
                  <w:tcW w:w="1261" w:type="pct"/>
                  <w:tcBorders>
                    <w:tl2br w:val="nil"/>
                    <w:tr2bl w:val="nil"/>
                  </w:tcBorders>
                  <w:vAlign w:val="center"/>
                </w:tcPr>
                <w:p w14:paraId="6394ADA0">
                  <w:pPr>
                    <w:jc w:val="center"/>
                    <w:rPr>
                      <w:rFonts w:hint="eastAsia" w:eastAsia="宋体"/>
                      <w:color w:val="auto"/>
                      <w:szCs w:val="21"/>
                      <w:lang w:eastAsia="zh-CN"/>
                    </w:rPr>
                  </w:pPr>
                  <w:r>
                    <w:rPr>
                      <w:rFonts w:hint="eastAsia"/>
                      <w:color w:val="auto"/>
                    </w:rPr>
                    <w:t>废</w:t>
                  </w:r>
                  <w:r>
                    <w:rPr>
                      <w:rFonts w:hint="eastAsia"/>
                      <w:color w:val="auto"/>
                      <w:lang w:val="en-US" w:eastAsia="zh-CN"/>
                    </w:rPr>
                    <w:t>液压油</w:t>
                  </w:r>
                </w:p>
              </w:tc>
              <w:tc>
                <w:tcPr>
                  <w:tcW w:w="1320" w:type="pct"/>
                  <w:vMerge w:val="restart"/>
                  <w:tcBorders>
                    <w:tl2br w:val="nil"/>
                    <w:tr2bl w:val="nil"/>
                  </w:tcBorders>
                  <w:vAlign w:val="center"/>
                </w:tcPr>
                <w:p w14:paraId="7412D21A">
                  <w:pPr>
                    <w:jc w:val="center"/>
                    <w:rPr>
                      <w:rFonts w:hint="default" w:eastAsia="宋体"/>
                      <w:color w:val="auto"/>
                      <w:lang w:val="en-US" w:eastAsia="zh-CN"/>
                    </w:rPr>
                  </w:pPr>
                  <w:r>
                    <w:rPr>
                      <w:rFonts w:hint="eastAsia"/>
                      <w:color w:val="auto"/>
                      <w:lang w:val="en-US" w:eastAsia="zh-CN"/>
                    </w:rPr>
                    <w:t>集中收集后委托有资质单位处置</w:t>
                  </w:r>
                </w:p>
              </w:tc>
            </w:tr>
            <w:tr w14:paraId="7BA3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77C91556">
                  <w:pPr>
                    <w:wordWrap w:val="0"/>
                    <w:jc w:val="center"/>
                    <w:rPr>
                      <w:color w:val="auto"/>
                      <w:szCs w:val="21"/>
                    </w:rPr>
                  </w:pPr>
                </w:p>
              </w:tc>
              <w:tc>
                <w:tcPr>
                  <w:tcW w:w="817" w:type="pct"/>
                  <w:tcBorders>
                    <w:tl2br w:val="nil"/>
                    <w:tr2bl w:val="nil"/>
                  </w:tcBorders>
                  <w:vAlign w:val="center"/>
                </w:tcPr>
                <w:p w14:paraId="78447814">
                  <w:pPr>
                    <w:jc w:val="center"/>
                    <w:rPr>
                      <w:color w:val="auto"/>
                      <w:szCs w:val="21"/>
                    </w:rPr>
                  </w:pPr>
                  <w:r>
                    <w:rPr>
                      <w:rFonts w:hint="eastAsia"/>
                      <w:color w:val="auto"/>
                      <w:lang w:val="en-US" w:eastAsia="zh-CN"/>
                    </w:rPr>
                    <w:t>液压油</w:t>
                  </w:r>
                  <w:r>
                    <w:rPr>
                      <w:rFonts w:hint="eastAsia"/>
                      <w:color w:val="auto"/>
                    </w:rPr>
                    <w:t>使用</w:t>
                  </w:r>
                </w:p>
              </w:tc>
              <w:tc>
                <w:tcPr>
                  <w:tcW w:w="1096" w:type="pct"/>
                  <w:tcBorders>
                    <w:tl2br w:val="nil"/>
                    <w:tr2bl w:val="nil"/>
                  </w:tcBorders>
                  <w:vAlign w:val="center"/>
                </w:tcPr>
                <w:p w14:paraId="75BF9092">
                  <w:pPr>
                    <w:jc w:val="center"/>
                    <w:rPr>
                      <w:color w:val="auto"/>
                      <w:szCs w:val="21"/>
                    </w:rPr>
                  </w:pPr>
                  <w:r>
                    <w:rPr>
                      <w:rFonts w:hint="eastAsia"/>
                      <w:color w:val="auto"/>
                      <w:szCs w:val="21"/>
                    </w:rPr>
                    <w:t>废包装桶</w:t>
                  </w:r>
                </w:p>
              </w:tc>
              <w:tc>
                <w:tcPr>
                  <w:tcW w:w="1261" w:type="pct"/>
                  <w:tcBorders>
                    <w:tl2br w:val="nil"/>
                    <w:tr2bl w:val="nil"/>
                  </w:tcBorders>
                  <w:vAlign w:val="center"/>
                </w:tcPr>
                <w:p w14:paraId="511A343D">
                  <w:pPr>
                    <w:jc w:val="center"/>
                    <w:rPr>
                      <w:color w:val="auto"/>
                      <w:szCs w:val="21"/>
                    </w:rPr>
                  </w:pPr>
                  <w:r>
                    <w:rPr>
                      <w:rFonts w:hint="eastAsia"/>
                      <w:color w:val="auto"/>
                      <w:lang w:val="en-US" w:eastAsia="zh-CN"/>
                    </w:rPr>
                    <w:t>液压油</w:t>
                  </w:r>
                  <w:r>
                    <w:rPr>
                      <w:rFonts w:hint="eastAsia"/>
                      <w:color w:val="auto"/>
                    </w:rPr>
                    <w:t>包装桶</w:t>
                  </w:r>
                </w:p>
              </w:tc>
              <w:tc>
                <w:tcPr>
                  <w:tcW w:w="1320" w:type="pct"/>
                  <w:vMerge w:val="continue"/>
                  <w:tcBorders>
                    <w:tl2br w:val="nil"/>
                    <w:tr2bl w:val="nil"/>
                  </w:tcBorders>
                  <w:vAlign w:val="center"/>
                </w:tcPr>
                <w:p w14:paraId="43067037">
                  <w:pPr>
                    <w:jc w:val="center"/>
                    <w:rPr>
                      <w:rFonts w:hint="eastAsia"/>
                      <w:color w:val="auto"/>
                    </w:rPr>
                  </w:pPr>
                </w:p>
              </w:tc>
            </w:tr>
            <w:tr w14:paraId="5918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3" w:type="pct"/>
                  <w:vMerge w:val="continue"/>
                  <w:tcBorders>
                    <w:tl2br w:val="nil"/>
                    <w:tr2bl w:val="nil"/>
                  </w:tcBorders>
                  <w:vAlign w:val="center"/>
                </w:tcPr>
                <w:p w14:paraId="0805680E">
                  <w:pPr>
                    <w:wordWrap w:val="0"/>
                    <w:jc w:val="center"/>
                    <w:rPr>
                      <w:color w:val="auto"/>
                      <w:szCs w:val="21"/>
                    </w:rPr>
                  </w:pPr>
                </w:p>
              </w:tc>
              <w:tc>
                <w:tcPr>
                  <w:tcW w:w="817" w:type="pct"/>
                  <w:tcBorders>
                    <w:tl2br w:val="nil"/>
                    <w:tr2bl w:val="nil"/>
                  </w:tcBorders>
                  <w:vAlign w:val="center"/>
                </w:tcPr>
                <w:p w14:paraId="527593F6">
                  <w:pPr>
                    <w:jc w:val="center"/>
                    <w:rPr>
                      <w:color w:val="auto"/>
                      <w:szCs w:val="21"/>
                    </w:rPr>
                  </w:pPr>
                  <w:r>
                    <w:rPr>
                      <w:rFonts w:hint="eastAsia"/>
                      <w:color w:val="auto"/>
                    </w:rPr>
                    <w:t>废气处理</w:t>
                  </w:r>
                </w:p>
              </w:tc>
              <w:tc>
                <w:tcPr>
                  <w:tcW w:w="1096" w:type="pct"/>
                  <w:tcBorders>
                    <w:tl2br w:val="nil"/>
                    <w:tr2bl w:val="nil"/>
                  </w:tcBorders>
                  <w:vAlign w:val="center"/>
                </w:tcPr>
                <w:p w14:paraId="03BA2B06">
                  <w:pPr>
                    <w:jc w:val="center"/>
                    <w:rPr>
                      <w:color w:val="auto"/>
                      <w:szCs w:val="21"/>
                    </w:rPr>
                  </w:pPr>
                  <w:r>
                    <w:rPr>
                      <w:rFonts w:hint="eastAsia"/>
                      <w:color w:val="auto"/>
                      <w:szCs w:val="21"/>
                    </w:rPr>
                    <w:t>废活性炭</w:t>
                  </w:r>
                </w:p>
              </w:tc>
              <w:tc>
                <w:tcPr>
                  <w:tcW w:w="1261" w:type="pct"/>
                  <w:tcBorders>
                    <w:tl2br w:val="nil"/>
                    <w:tr2bl w:val="nil"/>
                  </w:tcBorders>
                  <w:vAlign w:val="center"/>
                </w:tcPr>
                <w:p w14:paraId="181132D0">
                  <w:pPr>
                    <w:jc w:val="center"/>
                    <w:rPr>
                      <w:color w:val="auto"/>
                      <w:szCs w:val="21"/>
                    </w:rPr>
                  </w:pPr>
                  <w:r>
                    <w:rPr>
                      <w:rFonts w:hint="eastAsia"/>
                      <w:color w:val="auto"/>
                    </w:rPr>
                    <w:t>废活性炭</w:t>
                  </w:r>
                </w:p>
              </w:tc>
              <w:tc>
                <w:tcPr>
                  <w:tcW w:w="1320" w:type="pct"/>
                  <w:vMerge w:val="continue"/>
                  <w:tcBorders>
                    <w:tl2br w:val="nil"/>
                    <w:tr2bl w:val="nil"/>
                  </w:tcBorders>
                  <w:vAlign w:val="center"/>
                </w:tcPr>
                <w:p w14:paraId="576EDABA">
                  <w:pPr>
                    <w:jc w:val="center"/>
                    <w:rPr>
                      <w:rFonts w:hint="eastAsia"/>
                      <w:color w:val="auto"/>
                    </w:rPr>
                  </w:pPr>
                </w:p>
              </w:tc>
            </w:tr>
            <w:tr w14:paraId="0CD4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6611CD4E">
                  <w:pPr>
                    <w:wordWrap w:val="0"/>
                    <w:jc w:val="center"/>
                    <w:rPr>
                      <w:color w:val="auto"/>
                      <w:szCs w:val="21"/>
                    </w:rPr>
                  </w:pPr>
                </w:p>
              </w:tc>
              <w:tc>
                <w:tcPr>
                  <w:tcW w:w="817" w:type="pct"/>
                  <w:tcBorders>
                    <w:tl2br w:val="nil"/>
                    <w:tr2bl w:val="nil"/>
                  </w:tcBorders>
                  <w:vAlign w:val="center"/>
                </w:tcPr>
                <w:p w14:paraId="53FE2711">
                  <w:pPr>
                    <w:jc w:val="center"/>
                    <w:rPr>
                      <w:color w:val="auto"/>
                      <w:szCs w:val="21"/>
                    </w:rPr>
                  </w:pPr>
                  <w:r>
                    <w:rPr>
                      <w:rFonts w:hint="eastAsia"/>
                      <w:color w:val="auto"/>
                    </w:rPr>
                    <w:t>设备维护</w:t>
                  </w:r>
                </w:p>
              </w:tc>
              <w:tc>
                <w:tcPr>
                  <w:tcW w:w="1096" w:type="pct"/>
                  <w:tcBorders>
                    <w:tl2br w:val="nil"/>
                    <w:tr2bl w:val="nil"/>
                  </w:tcBorders>
                  <w:vAlign w:val="center"/>
                </w:tcPr>
                <w:p w14:paraId="582D8912">
                  <w:pPr>
                    <w:jc w:val="center"/>
                    <w:rPr>
                      <w:color w:val="auto"/>
                      <w:szCs w:val="21"/>
                    </w:rPr>
                  </w:pPr>
                  <w:r>
                    <w:rPr>
                      <w:rFonts w:hint="eastAsia"/>
                      <w:color w:val="auto"/>
                      <w:szCs w:val="21"/>
                    </w:rPr>
                    <w:t>含油废劳保</w:t>
                  </w:r>
                </w:p>
              </w:tc>
              <w:tc>
                <w:tcPr>
                  <w:tcW w:w="1261" w:type="pct"/>
                  <w:tcBorders>
                    <w:tl2br w:val="nil"/>
                    <w:tr2bl w:val="nil"/>
                  </w:tcBorders>
                  <w:vAlign w:val="center"/>
                </w:tcPr>
                <w:p w14:paraId="65F065D5">
                  <w:pPr>
                    <w:jc w:val="center"/>
                    <w:rPr>
                      <w:color w:val="auto"/>
                      <w:szCs w:val="21"/>
                    </w:rPr>
                  </w:pPr>
                  <w:r>
                    <w:rPr>
                      <w:rFonts w:hint="eastAsia"/>
                      <w:color w:val="auto"/>
                    </w:rPr>
                    <w:t>废抹布、废手套等</w:t>
                  </w:r>
                </w:p>
              </w:tc>
              <w:tc>
                <w:tcPr>
                  <w:tcW w:w="1320" w:type="pct"/>
                  <w:vMerge w:val="continue"/>
                  <w:tcBorders>
                    <w:tl2br w:val="nil"/>
                    <w:tr2bl w:val="nil"/>
                  </w:tcBorders>
                  <w:vAlign w:val="center"/>
                </w:tcPr>
                <w:p w14:paraId="26141279">
                  <w:pPr>
                    <w:jc w:val="center"/>
                    <w:rPr>
                      <w:rFonts w:hint="eastAsia"/>
                      <w:color w:val="auto"/>
                    </w:rPr>
                  </w:pPr>
                </w:p>
              </w:tc>
            </w:tr>
            <w:tr w14:paraId="18E3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vAlign w:val="center"/>
                </w:tcPr>
                <w:p w14:paraId="010EFB30">
                  <w:pPr>
                    <w:wordWrap w:val="0"/>
                    <w:jc w:val="center"/>
                    <w:rPr>
                      <w:color w:val="auto"/>
                      <w:szCs w:val="21"/>
                    </w:rPr>
                  </w:pPr>
                </w:p>
              </w:tc>
              <w:tc>
                <w:tcPr>
                  <w:tcW w:w="817" w:type="pct"/>
                  <w:tcBorders>
                    <w:tl2br w:val="nil"/>
                    <w:tr2bl w:val="nil"/>
                  </w:tcBorders>
                  <w:vAlign w:val="center"/>
                </w:tcPr>
                <w:p w14:paraId="36C721DA">
                  <w:pPr>
                    <w:jc w:val="center"/>
                    <w:rPr>
                      <w:color w:val="auto"/>
                      <w:szCs w:val="21"/>
                    </w:rPr>
                  </w:pPr>
                  <w:r>
                    <w:rPr>
                      <w:rFonts w:hint="eastAsia"/>
                      <w:color w:val="auto"/>
                    </w:rPr>
                    <w:t>员工生活</w:t>
                  </w:r>
                </w:p>
              </w:tc>
              <w:tc>
                <w:tcPr>
                  <w:tcW w:w="1096" w:type="pct"/>
                  <w:tcBorders>
                    <w:tl2br w:val="nil"/>
                    <w:tr2bl w:val="nil"/>
                  </w:tcBorders>
                  <w:vAlign w:val="center"/>
                </w:tcPr>
                <w:p w14:paraId="106A71A1">
                  <w:pPr>
                    <w:jc w:val="center"/>
                    <w:rPr>
                      <w:color w:val="auto"/>
                      <w:szCs w:val="21"/>
                    </w:rPr>
                  </w:pPr>
                  <w:r>
                    <w:rPr>
                      <w:rFonts w:hint="eastAsia"/>
                      <w:color w:val="auto"/>
                    </w:rPr>
                    <w:t>生活垃圾</w:t>
                  </w:r>
                </w:p>
              </w:tc>
              <w:tc>
                <w:tcPr>
                  <w:tcW w:w="1261" w:type="pct"/>
                  <w:tcBorders>
                    <w:tl2br w:val="nil"/>
                    <w:tr2bl w:val="nil"/>
                  </w:tcBorders>
                  <w:vAlign w:val="center"/>
                </w:tcPr>
                <w:p w14:paraId="5E95ECBA">
                  <w:pPr>
                    <w:jc w:val="center"/>
                    <w:rPr>
                      <w:color w:val="auto"/>
                      <w:szCs w:val="21"/>
                    </w:rPr>
                  </w:pPr>
                  <w:r>
                    <w:rPr>
                      <w:rFonts w:hint="eastAsia"/>
                      <w:color w:val="auto"/>
                    </w:rPr>
                    <w:t>果壳、纸张、塑料等</w:t>
                  </w:r>
                </w:p>
              </w:tc>
              <w:tc>
                <w:tcPr>
                  <w:tcW w:w="1320" w:type="pct"/>
                  <w:tcBorders>
                    <w:tl2br w:val="nil"/>
                    <w:tr2bl w:val="nil"/>
                  </w:tcBorders>
                  <w:vAlign w:val="center"/>
                </w:tcPr>
                <w:p w14:paraId="3EC23E29">
                  <w:pPr>
                    <w:jc w:val="center"/>
                    <w:rPr>
                      <w:rFonts w:hint="default" w:eastAsia="宋体"/>
                      <w:color w:val="auto"/>
                      <w:lang w:val="en-US" w:eastAsia="zh-CN"/>
                    </w:rPr>
                  </w:pPr>
                  <w:r>
                    <w:rPr>
                      <w:rFonts w:hint="eastAsia"/>
                      <w:color w:val="auto"/>
                      <w:lang w:val="en-US" w:eastAsia="zh-CN"/>
                    </w:rPr>
                    <w:t>委托环卫部门处置</w:t>
                  </w:r>
                </w:p>
              </w:tc>
            </w:tr>
            <w:tr w14:paraId="2949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tcBorders>
                    <w:tl2br w:val="nil"/>
                    <w:tr2bl w:val="nil"/>
                  </w:tcBorders>
                  <w:vAlign w:val="center"/>
                </w:tcPr>
                <w:p w14:paraId="0D107AA5">
                  <w:pPr>
                    <w:wordWrap w:val="0"/>
                    <w:adjustRightInd w:val="0"/>
                    <w:snapToGrid w:val="0"/>
                    <w:jc w:val="center"/>
                    <w:rPr>
                      <w:color w:val="auto"/>
                      <w:szCs w:val="21"/>
                    </w:rPr>
                  </w:pPr>
                  <w:r>
                    <w:rPr>
                      <w:color w:val="auto"/>
                      <w:szCs w:val="21"/>
                    </w:rPr>
                    <w:t>噪声</w:t>
                  </w:r>
                </w:p>
              </w:tc>
              <w:tc>
                <w:tcPr>
                  <w:tcW w:w="817" w:type="pct"/>
                  <w:tcBorders>
                    <w:tl2br w:val="nil"/>
                    <w:tr2bl w:val="nil"/>
                  </w:tcBorders>
                  <w:vAlign w:val="center"/>
                </w:tcPr>
                <w:p w14:paraId="4C3DC842">
                  <w:pPr>
                    <w:widowControl/>
                    <w:wordWrap w:val="0"/>
                    <w:adjustRightInd w:val="0"/>
                    <w:snapToGrid w:val="0"/>
                    <w:jc w:val="center"/>
                    <w:rPr>
                      <w:color w:val="auto"/>
                      <w:kern w:val="18"/>
                      <w:szCs w:val="21"/>
                    </w:rPr>
                  </w:pPr>
                  <w:r>
                    <w:rPr>
                      <w:rFonts w:hint="eastAsia"/>
                      <w:color w:val="auto"/>
                      <w:kern w:val="18"/>
                      <w:szCs w:val="21"/>
                    </w:rPr>
                    <w:t>设备运行</w:t>
                  </w:r>
                </w:p>
              </w:tc>
              <w:tc>
                <w:tcPr>
                  <w:tcW w:w="1096" w:type="pct"/>
                  <w:tcBorders>
                    <w:tl2br w:val="nil"/>
                    <w:tr2bl w:val="nil"/>
                  </w:tcBorders>
                  <w:vAlign w:val="center"/>
                </w:tcPr>
                <w:p w14:paraId="79386E48">
                  <w:pPr>
                    <w:widowControl/>
                    <w:wordWrap w:val="0"/>
                    <w:adjustRightInd w:val="0"/>
                    <w:snapToGrid w:val="0"/>
                    <w:jc w:val="center"/>
                    <w:rPr>
                      <w:color w:val="auto"/>
                      <w:kern w:val="18"/>
                      <w:szCs w:val="21"/>
                    </w:rPr>
                  </w:pPr>
                  <w:r>
                    <w:rPr>
                      <w:color w:val="auto"/>
                      <w:kern w:val="18"/>
                      <w:szCs w:val="21"/>
                    </w:rPr>
                    <w:t>设备噪声</w:t>
                  </w:r>
                </w:p>
              </w:tc>
              <w:tc>
                <w:tcPr>
                  <w:tcW w:w="1261" w:type="pct"/>
                  <w:tcBorders>
                    <w:tl2br w:val="nil"/>
                    <w:tr2bl w:val="nil"/>
                  </w:tcBorders>
                  <w:vAlign w:val="center"/>
                </w:tcPr>
                <w:p w14:paraId="04EBA5FD">
                  <w:pPr>
                    <w:widowControl/>
                    <w:wordWrap w:val="0"/>
                    <w:adjustRightInd w:val="0"/>
                    <w:snapToGrid w:val="0"/>
                    <w:jc w:val="center"/>
                    <w:rPr>
                      <w:color w:val="auto"/>
                      <w:kern w:val="18"/>
                      <w:szCs w:val="21"/>
                    </w:rPr>
                  </w:pPr>
                  <w:r>
                    <w:rPr>
                      <w:color w:val="auto"/>
                      <w:kern w:val="18"/>
                      <w:szCs w:val="21"/>
                    </w:rPr>
                    <w:t>等效A声级</w:t>
                  </w:r>
                </w:p>
              </w:tc>
              <w:tc>
                <w:tcPr>
                  <w:tcW w:w="1320" w:type="pct"/>
                  <w:tcBorders>
                    <w:tl2br w:val="nil"/>
                    <w:tr2bl w:val="nil"/>
                  </w:tcBorders>
                  <w:vAlign w:val="center"/>
                </w:tcPr>
                <w:p w14:paraId="558074AD">
                  <w:pPr>
                    <w:widowControl/>
                    <w:wordWrap w:val="0"/>
                    <w:adjustRightInd w:val="0"/>
                    <w:snapToGrid w:val="0"/>
                    <w:jc w:val="center"/>
                    <w:rPr>
                      <w:color w:val="auto"/>
                      <w:kern w:val="18"/>
                      <w:szCs w:val="21"/>
                    </w:rPr>
                  </w:pPr>
                  <w:r>
                    <w:rPr>
                      <w:rFonts w:hint="eastAsia"/>
                      <w:color w:val="auto"/>
                      <w:kern w:val="18"/>
                      <w:szCs w:val="21"/>
                    </w:rPr>
                    <w:t>高噪设备加设减振垫，生产时关闭门窗；加强设备养护和保养等措施等</w:t>
                  </w:r>
                </w:p>
              </w:tc>
            </w:tr>
          </w:tbl>
          <w:p w14:paraId="33D51F31">
            <w:pPr>
              <w:tabs>
                <w:tab w:val="left" w:pos="993"/>
              </w:tabs>
              <w:adjustRightInd w:val="0"/>
              <w:spacing w:before="120" w:beforeLines="50" w:line="360" w:lineRule="auto"/>
              <w:rPr>
                <w:color w:val="auto"/>
                <w:sz w:val="24"/>
              </w:rPr>
            </w:pPr>
          </w:p>
        </w:tc>
      </w:tr>
      <w:tr w14:paraId="26F5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jc w:val="center"/>
        </w:trPr>
        <w:tc>
          <w:tcPr>
            <w:tcW w:w="464" w:type="dxa"/>
            <w:tcBorders>
              <w:tl2br w:val="nil"/>
              <w:tr2bl w:val="nil"/>
            </w:tcBorders>
            <w:vAlign w:val="center"/>
          </w:tcPr>
          <w:p w14:paraId="3ED58C33">
            <w:pPr>
              <w:pStyle w:val="8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kern w:val="2"/>
                <w:szCs w:val="24"/>
              </w:rPr>
              <w:t>与项目有关的原有环境污染问题</w:t>
            </w:r>
          </w:p>
        </w:tc>
        <w:tc>
          <w:tcPr>
            <w:tcW w:w="8596" w:type="dxa"/>
            <w:tcBorders>
              <w:tl2br w:val="nil"/>
              <w:tr2bl w:val="nil"/>
            </w:tcBorders>
          </w:tcPr>
          <w:p w14:paraId="2170525A">
            <w:pPr>
              <w:numPr>
                <w:ilvl w:val="0"/>
                <w:numId w:val="15"/>
              </w:numPr>
              <w:adjustRightInd w:val="0"/>
              <w:snapToGrid w:val="0"/>
              <w:spacing w:line="360" w:lineRule="auto"/>
              <w:jc w:val="left"/>
              <w:rPr>
                <w:b/>
                <w:bCs/>
                <w:color w:val="auto"/>
                <w:sz w:val="24"/>
              </w:rPr>
            </w:pPr>
            <w:r>
              <w:rPr>
                <w:b/>
                <w:bCs/>
                <w:color w:val="auto"/>
                <w:sz w:val="24"/>
              </w:rPr>
              <w:t>与项目有关的原有环境污染问题</w:t>
            </w:r>
          </w:p>
          <w:p w14:paraId="6D1407A8">
            <w:pPr>
              <w:spacing w:line="360" w:lineRule="auto"/>
              <w:ind w:firstLine="425"/>
              <w:rPr>
                <w:snapToGrid w:val="0"/>
                <w:color w:val="auto"/>
                <w:kern w:val="0"/>
                <w:sz w:val="24"/>
              </w:rPr>
            </w:pPr>
            <w:r>
              <w:rPr>
                <w:rFonts w:hint="eastAsia"/>
                <w:snapToGrid w:val="0"/>
                <w:color w:val="auto"/>
                <w:kern w:val="0"/>
                <w:sz w:val="24"/>
              </w:rPr>
              <w:t>本项目为新建项目，无现有环境污染问题。</w:t>
            </w:r>
          </w:p>
          <w:p w14:paraId="3476A461">
            <w:pPr>
              <w:spacing w:line="360" w:lineRule="auto"/>
              <w:ind w:firstLine="425"/>
              <w:rPr>
                <w:snapToGrid w:val="0"/>
                <w:color w:val="auto"/>
                <w:kern w:val="0"/>
                <w:sz w:val="24"/>
              </w:rPr>
            </w:pPr>
          </w:p>
          <w:p w14:paraId="69D76F93">
            <w:pPr>
              <w:spacing w:line="360" w:lineRule="auto"/>
              <w:ind w:firstLine="425"/>
              <w:rPr>
                <w:snapToGrid w:val="0"/>
                <w:color w:val="auto"/>
                <w:kern w:val="0"/>
                <w:sz w:val="24"/>
              </w:rPr>
            </w:pPr>
          </w:p>
          <w:p w14:paraId="340D1C27">
            <w:pPr>
              <w:spacing w:line="360" w:lineRule="auto"/>
              <w:ind w:firstLine="425"/>
              <w:rPr>
                <w:snapToGrid w:val="0"/>
                <w:color w:val="auto"/>
                <w:kern w:val="0"/>
                <w:sz w:val="24"/>
              </w:rPr>
            </w:pPr>
          </w:p>
          <w:p w14:paraId="6197E788">
            <w:pPr>
              <w:spacing w:line="360" w:lineRule="auto"/>
              <w:ind w:firstLine="425"/>
              <w:rPr>
                <w:snapToGrid w:val="0"/>
                <w:color w:val="auto"/>
                <w:kern w:val="0"/>
                <w:sz w:val="24"/>
              </w:rPr>
            </w:pPr>
          </w:p>
          <w:p w14:paraId="7C0E5A5F">
            <w:pPr>
              <w:spacing w:line="360" w:lineRule="auto"/>
              <w:ind w:firstLine="425"/>
              <w:rPr>
                <w:snapToGrid w:val="0"/>
                <w:color w:val="auto"/>
                <w:kern w:val="0"/>
                <w:sz w:val="24"/>
              </w:rPr>
            </w:pPr>
          </w:p>
          <w:p w14:paraId="5A697FF4">
            <w:pPr>
              <w:spacing w:line="360" w:lineRule="auto"/>
              <w:ind w:firstLine="425"/>
              <w:rPr>
                <w:snapToGrid w:val="0"/>
                <w:color w:val="auto"/>
                <w:kern w:val="0"/>
                <w:sz w:val="24"/>
              </w:rPr>
            </w:pPr>
          </w:p>
          <w:p w14:paraId="6B45D3D0">
            <w:pPr>
              <w:spacing w:line="360" w:lineRule="auto"/>
              <w:ind w:firstLine="425"/>
              <w:rPr>
                <w:snapToGrid w:val="0"/>
                <w:color w:val="auto"/>
                <w:kern w:val="0"/>
                <w:sz w:val="24"/>
              </w:rPr>
            </w:pPr>
          </w:p>
          <w:p w14:paraId="479208B9">
            <w:pPr>
              <w:spacing w:line="360" w:lineRule="auto"/>
              <w:ind w:firstLine="425"/>
              <w:rPr>
                <w:snapToGrid w:val="0"/>
                <w:color w:val="auto"/>
                <w:kern w:val="0"/>
                <w:sz w:val="24"/>
              </w:rPr>
            </w:pPr>
          </w:p>
          <w:p w14:paraId="6D7B3AB2">
            <w:pPr>
              <w:spacing w:line="360" w:lineRule="auto"/>
              <w:ind w:firstLine="425"/>
              <w:rPr>
                <w:snapToGrid w:val="0"/>
                <w:color w:val="auto"/>
                <w:kern w:val="0"/>
                <w:sz w:val="24"/>
              </w:rPr>
            </w:pPr>
          </w:p>
          <w:p w14:paraId="468CE9E4">
            <w:pPr>
              <w:rPr>
                <w:color w:val="auto"/>
              </w:rPr>
            </w:pPr>
          </w:p>
        </w:tc>
      </w:tr>
    </w:tbl>
    <w:p w14:paraId="386F82D2">
      <w:pPr>
        <w:pStyle w:val="82"/>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8FA8B4E">
      <w:pPr>
        <w:pStyle w:val="82"/>
        <w:jc w:val="center"/>
        <w:outlineLvl w:val="0"/>
        <w:rPr>
          <w:rFonts w:ascii="Times New Roman" w:hAnsi="Times New Roman" w:eastAsia="黑体"/>
          <w:snapToGrid w:val="0"/>
          <w:color w:val="auto"/>
          <w:sz w:val="30"/>
          <w:szCs w:val="30"/>
        </w:rPr>
      </w:pPr>
      <w:bookmarkStart w:id="5" w:name="_Toc67930372"/>
      <w:r>
        <w:rPr>
          <w:rFonts w:ascii="Times New Roman" w:hAnsi="Times New Roman" w:eastAsia="黑体"/>
          <w:snapToGrid w:val="0"/>
          <w:color w:val="auto"/>
          <w:sz w:val="30"/>
          <w:szCs w:val="30"/>
        </w:rPr>
        <w:t>三、区域环境质量现状、环境保护目标及评价标准</w:t>
      </w:r>
      <w:bookmarkEnd w:id="5"/>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619"/>
      </w:tblGrid>
      <w:tr w14:paraId="4268C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2EBF0116">
            <w:pPr>
              <w:adjustRightInd w:val="0"/>
              <w:snapToGrid w:val="0"/>
              <w:jc w:val="center"/>
              <w:rPr>
                <w:color w:val="auto"/>
                <w:kern w:val="0"/>
                <w:sz w:val="24"/>
              </w:rPr>
            </w:pPr>
            <w:r>
              <w:rPr>
                <w:color w:val="auto"/>
                <w:kern w:val="0"/>
                <w:sz w:val="24"/>
              </w:rPr>
              <w:t>区域</w:t>
            </w:r>
          </w:p>
          <w:p w14:paraId="709962FC">
            <w:pPr>
              <w:adjustRightInd w:val="0"/>
              <w:snapToGrid w:val="0"/>
              <w:jc w:val="center"/>
              <w:rPr>
                <w:color w:val="auto"/>
                <w:kern w:val="0"/>
                <w:sz w:val="24"/>
              </w:rPr>
            </w:pPr>
            <w:r>
              <w:rPr>
                <w:color w:val="auto"/>
                <w:kern w:val="0"/>
                <w:sz w:val="24"/>
              </w:rPr>
              <w:t>环境</w:t>
            </w:r>
          </w:p>
          <w:p w14:paraId="47774E04">
            <w:pPr>
              <w:adjustRightInd w:val="0"/>
              <w:snapToGrid w:val="0"/>
              <w:jc w:val="center"/>
              <w:rPr>
                <w:color w:val="auto"/>
                <w:kern w:val="0"/>
                <w:sz w:val="24"/>
              </w:rPr>
            </w:pPr>
            <w:r>
              <w:rPr>
                <w:color w:val="auto"/>
                <w:kern w:val="0"/>
                <w:sz w:val="24"/>
              </w:rPr>
              <w:t>质量</w:t>
            </w:r>
          </w:p>
          <w:p w14:paraId="46F8BBA8">
            <w:pPr>
              <w:adjustRightInd w:val="0"/>
              <w:snapToGrid w:val="0"/>
              <w:jc w:val="center"/>
              <w:rPr>
                <w:color w:val="auto"/>
                <w:kern w:val="0"/>
                <w:sz w:val="24"/>
              </w:rPr>
            </w:pPr>
            <w:r>
              <w:rPr>
                <w:color w:val="auto"/>
                <w:kern w:val="0"/>
                <w:sz w:val="24"/>
              </w:rPr>
              <w:t>现状</w:t>
            </w:r>
          </w:p>
        </w:tc>
        <w:tc>
          <w:tcPr>
            <w:tcW w:w="4755" w:type="pct"/>
            <w:vAlign w:val="center"/>
          </w:tcPr>
          <w:p w14:paraId="4F43EB74">
            <w:pPr>
              <w:numPr>
                <w:ilvl w:val="0"/>
                <w:numId w:val="21"/>
              </w:numPr>
              <w:tabs>
                <w:tab w:val="left" w:pos="993"/>
              </w:tabs>
              <w:adjustRightInd w:val="0"/>
              <w:spacing w:line="360" w:lineRule="auto"/>
              <w:rPr>
                <w:b/>
                <w:bCs/>
                <w:color w:val="auto"/>
                <w:sz w:val="24"/>
              </w:rPr>
            </w:pPr>
            <w:r>
              <w:rPr>
                <w:b/>
                <w:bCs/>
                <w:color w:val="auto"/>
                <w:sz w:val="24"/>
              </w:rPr>
              <w:t>区域环境质量现状</w:t>
            </w:r>
          </w:p>
          <w:p w14:paraId="7BACAFA8">
            <w:pPr>
              <w:numPr>
                <w:ilvl w:val="0"/>
                <w:numId w:val="22"/>
              </w:numPr>
              <w:tabs>
                <w:tab w:val="left" w:pos="993"/>
              </w:tabs>
              <w:adjustRightInd w:val="0"/>
              <w:spacing w:line="360" w:lineRule="auto"/>
              <w:rPr>
                <w:b/>
                <w:bCs/>
                <w:color w:val="auto"/>
                <w:sz w:val="24"/>
              </w:rPr>
            </w:pPr>
            <w:r>
              <w:rPr>
                <w:b/>
                <w:bCs/>
                <w:color w:val="auto"/>
                <w:sz w:val="24"/>
              </w:rPr>
              <w:t>环境空气质量现状</w:t>
            </w:r>
          </w:p>
          <w:p w14:paraId="2ADBBD2A">
            <w:pPr>
              <w:adjustRightInd w:val="0"/>
              <w:snapToGrid w:val="0"/>
              <w:spacing w:line="360" w:lineRule="auto"/>
              <w:ind w:firstLine="425"/>
              <w:rPr>
                <w:color w:val="auto"/>
                <w:sz w:val="24"/>
                <w:lang w:val="zh-CN"/>
              </w:rPr>
            </w:pPr>
            <w:r>
              <w:rPr>
                <w:color w:val="auto"/>
                <w:sz w:val="24"/>
              </w:rPr>
              <w:t>1、</w:t>
            </w:r>
            <w:r>
              <w:rPr>
                <w:color w:val="auto"/>
                <w:sz w:val="24"/>
                <w:lang w:val="zh-CN"/>
              </w:rPr>
              <w:t>基本污染物环境质量现状数据及达标区判定</w:t>
            </w:r>
          </w:p>
          <w:p w14:paraId="716ED83D">
            <w:pPr>
              <w:spacing w:line="360" w:lineRule="auto"/>
              <w:ind w:firstLine="425"/>
              <w:rPr>
                <w:snapToGrid w:val="0"/>
                <w:color w:val="auto"/>
                <w:kern w:val="0"/>
                <w:sz w:val="24"/>
              </w:rPr>
            </w:pPr>
            <w:r>
              <w:rPr>
                <w:rFonts w:hint="eastAsia"/>
                <w:snapToGrid w:val="0"/>
                <w:color w:val="auto"/>
                <w:kern w:val="0"/>
                <w:sz w:val="24"/>
              </w:rPr>
              <w:t>根据《湖州市环境空气质量功能区划分图》（详见附图），项目所在地空气环境属于二类区，故须执行《环境空气质量标准》（GB3095-2012）二类标准。本环评采用湖州市生态环境监测站提供的2024年湖州市南浔区大气环境质量统计监测数据进行评价以及所在区域大气环境达标判断，监测数据如下。</w:t>
            </w:r>
          </w:p>
          <w:p w14:paraId="446A85F5">
            <w:pPr>
              <w:numPr>
                <w:ilvl w:val="0"/>
                <w:numId w:val="23"/>
              </w:numPr>
              <w:adjustRightInd w:val="0"/>
              <w:snapToGrid w:val="0"/>
              <w:spacing w:before="48" w:beforeLines="20" w:after="48" w:afterLines="20" w:line="0" w:lineRule="atLeast"/>
              <w:jc w:val="center"/>
              <w:rPr>
                <w:b/>
                <w:bCs/>
                <w:color w:val="auto"/>
                <w:sz w:val="24"/>
              </w:rPr>
            </w:pPr>
            <w:r>
              <w:rPr>
                <w:b/>
                <w:bCs/>
                <w:color w:val="auto"/>
                <w:sz w:val="24"/>
              </w:rPr>
              <w:t>南浔区202</w:t>
            </w:r>
            <w:r>
              <w:rPr>
                <w:rFonts w:hint="eastAsia"/>
                <w:b/>
                <w:bCs/>
                <w:color w:val="auto"/>
                <w:sz w:val="24"/>
                <w:lang w:val="en-US" w:eastAsia="zh-CN"/>
              </w:rPr>
              <w:t>4</w:t>
            </w:r>
            <w:r>
              <w:rPr>
                <w:b/>
                <w:bCs/>
                <w:color w:val="auto"/>
                <w:sz w:val="24"/>
              </w:rPr>
              <w:t>年空气质量常规监测结果</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332"/>
              <w:gridCol w:w="696"/>
              <w:gridCol w:w="708"/>
              <w:gridCol w:w="612"/>
              <w:gridCol w:w="636"/>
              <w:gridCol w:w="672"/>
              <w:gridCol w:w="696"/>
              <w:gridCol w:w="792"/>
              <w:gridCol w:w="898"/>
              <w:gridCol w:w="698"/>
            </w:tblGrid>
            <w:tr w14:paraId="1697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9" w:type="pct"/>
                  <w:vMerge w:val="restart"/>
                  <w:shd w:val="clear" w:color="auto" w:fill="auto"/>
                  <w:noWrap/>
                  <w:vAlign w:val="center"/>
                </w:tcPr>
                <w:p w14:paraId="70E64E0E">
                  <w:pPr>
                    <w:widowControl/>
                    <w:adjustRightInd w:val="0"/>
                    <w:snapToGrid w:val="0"/>
                    <w:jc w:val="center"/>
                    <w:rPr>
                      <w:b/>
                      <w:bCs/>
                      <w:color w:val="auto"/>
                      <w:kern w:val="0"/>
                      <w:sz w:val="18"/>
                      <w:szCs w:val="18"/>
                    </w:rPr>
                  </w:pPr>
                  <w:r>
                    <w:rPr>
                      <w:b/>
                      <w:bCs/>
                      <w:color w:val="auto"/>
                      <w:kern w:val="0"/>
                      <w:sz w:val="18"/>
                      <w:szCs w:val="18"/>
                    </w:rPr>
                    <w:t>污染物</w:t>
                  </w:r>
                </w:p>
              </w:tc>
              <w:tc>
                <w:tcPr>
                  <w:tcW w:w="793" w:type="pct"/>
                  <w:vMerge w:val="restart"/>
                  <w:shd w:val="clear" w:color="auto" w:fill="auto"/>
                  <w:noWrap/>
                  <w:vAlign w:val="center"/>
                </w:tcPr>
                <w:p w14:paraId="267AA874">
                  <w:pPr>
                    <w:widowControl/>
                    <w:adjustRightInd w:val="0"/>
                    <w:snapToGrid w:val="0"/>
                    <w:jc w:val="center"/>
                    <w:rPr>
                      <w:b/>
                      <w:bCs/>
                      <w:color w:val="auto"/>
                      <w:kern w:val="0"/>
                      <w:sz w:val="18"/>
                      <w:szCs w:val="18"/>
                    </w:rPr>
                  </w:pPr>
                  <w:r>
                    <w:rPr>
                      <w:b/>
                      <w:bCs/>
                      <w:color w:val="auto"/>
                      <w:kern w:val="0"/>
                      <w:sz w:val="18"/>
                      <w:szCs w:val="18"/>
                    </w:rPr>
                    <w:t>年评价指标</w:t>
                  </w:r>
                </w:p>
              </w:tc>
              <w:tc>
                <w:tcPr>
                  <w:tcW w:w="414" w:type="pct"/>
                  <w:vMerge w:val="restart"/>
                  <w:shd w:val="clear" w:color="auto" w:fill="auto"/>
                  <w:noWrap/>
                  <w:vAlign w:val="center"/>
                </w:tcPr>
                <w:p w14:paraId="4FC65413">
                  <w:pPr>
                    <w:widowControl/>
                    <w:adjustRightInd w:val="0"/>
                    <w:snapToGrid w:val="0"/>
                    <w:jc w:val="center"/>
                    <w:rPr>
                      <w:b/>
                      <w:bCs/>
                      <w:color w:val="auto"/>
                      <w:kern w:val="0"/>
                      <w:sz w:val="18"/>
                      <w:szCs w:val="18"/>
                    </w:rPr>
                  </w:pPr>
                  <w:r>
                    <w:rPr>
                      <w:b/>
                      <w:bCs/>
                      <w:color w:val="auto"/>
                      <w:kern w:val="0"/>
                      <w:sz w:val="18"/>
                      <w:szCs w:val="18"/>
                    </w:rPr>
                    <w:t>单位</w:t>
                  </w:r>
                </w:p>
              </w:tc>
              <w:tc>
                <w:tcPr>
                  <w:tcW w:w="421" w:type="pct"/>
                  <w:vMerge w:val="restart"/>
                  <w:shd w:val="clear" w:color="auto" w:fill="auto"/>
                  <w:noWrap/>
                  <w:vAlign w:val="center"/>
                </w:tcPr>
                <w:p w14:paraId="19FD6423">
                  <w:pPr>
                    <w:widowControl/>
                    <w:adjustRightInd w:val="0"/>
                    <w:snapToGrid w:val="0"/>
                    <w:jc w:val="center"/>
                    <w:rPr>
                      <w:b/>
                      <w:bCs/>
                      <w:color w:val="auto"/>
                      <w:kern w:val="0"/>
                      <w:sz w:val="18"/>
                      <w:szCs w:val="18"/>
                    </w:rPr>
                  </w:pPr>
                  <w:r>
                    <w:rPr>
                      <w:b/>
                      <w:bCs/>
                      <w:color w:val="auto"/>
                      <w:kern w:val="0"/>
                      <w:sz w:val="18"/>
                      <w:szCs w:val="18"/>
                    </w:rPr>
                    <w:t>现状</w:t>
                  </w:r>
                </w:p>
                <w:p w14:paraId="0A63B8AB">
                  <w:pPr>
                    <w:widowControl/>
                    <w:adjustRightInd w:val="0"/>
                    <w:snapToGrid w:val="0"/>
                    <w:jc w:val="center"/>
                    <w:rPr>
                      <w:b/>
                      <w:bCs/>
                      <w:color w:val="auto"/>
                      <w:kern w:val="0"/>
                      <w:sz w:val="18"/>
                      <w:szCs w:val="18"/>
                    </w:rPr>
                  </w:pPr>
                  <w:r>
                    <w:rPr>
                      <w:b/>
                      <w:bCs/>
                      <w:color w:val="auto"/>
                      <w:kern w:val="0"/>
                      <w:sz w:val="18"/>
                      <w:szCs w:val="18"/>
                    </w:rPr>
                    <w:t>浓度</w:t>
                  </w:r>
                </w:p>
              </w:tc>
              <w:tc>
                <w:tcPr>
                  <w:tcW w:w="743" w:type="pct"/>
                  <w:gridSpan w:val="2"/>
                  <w:shd w:val="clear" w:color="auto" w:fill="auto"/>
                  <w:noWrap/>
                  <w:vAlign w:val="center"/>
                </w:tcPr>
                <w:p w14:paraId="63797148">
                  <w:pPr>
                    <w:adjustRightInd w:val="0"/>
                    <w:snapToGrid w:val="0"/>
                    <w:jc w:val="center"/>
                    <w:rPr>
                      <w:b/>
                      <w:bCs/>
                      <w:color w:val="auto"/>
                      <w:kern w:val="0"/>
                      <w:sz w:val="18"/>
                      <w:szCs w:val="18"/>
                    </w:rPr>
                  </w:pPr>
                  <w:r>
                    <w:rPr>
                      <w:b/>
                      <w:bCs/>
                      <w:color w:val="auto"/>
                      <w:kern w:val="0"/>
                      <w:sz w:val="18"/>
                      <w:szCs w:val="18"/>
                    </w:rPr>
                    <w:t>标准值</w:t>
                  </w:r>
                </w:p>
              </w:tc>
              <w:tc>
                <w:tcPr>
                  <w:tcW w:w="814" w:type="pct"/>
                  <w:gridSpan w:val="2"/>
                  <w:shd w:val="clear" w:color="auto" w:fill="auto"/>
                  <w:noWrap/>
                  <w:vAlign w:val="center"/>
                </w:tcPr>
                <w:p w14:paraId="5ACFD3E6">
                  <w:pPr>
                    <w:widowControl/>
                    <w:adjustRightInd w:val="0"/>
                    <w:snapToGrid w:val="0"/>
                    <w:jc w:val="center"/>
                    <w:rPr>
                      <w:b/>
                      <w:bCs/>
                      <w:color w:val="auto"/>
                      <w:kern w:val="0"/>
                      <w:sz w:val="18"/>
                      <w:szCs w:val="18"/>
                    </w:rPr>
                  </w:pPr>
                  <w:r>
                    <w:rPr>
                      <w:b/>
                      <w:bCs/>
                      <w:color w:val="auto"/>
                      <w:kern w:val="0"/>
                      <w:sz w:val="18"/>
                      <w:szCs w:val="18"/>
                    </w:rPr>
                    <w:t>占标率（%）</w:t>
                  </w:r>
                </w:p>
              </w:tc>
              <w:tc>
                <w:tcPr>
                  <w:tcW w:w="1006" w:type="pct"/>
                  <w:gridSpan w:val="2"/>
                  <w:shd w:val="clear" w:color="auto" w:fill="auto"/>
                  <w:noWrap/>
                  <w:vAlign w:val="center"/>
                </w:tcPr>
                <w:p w14:paraId="1FC1DC57">
                  <w:pPr>
                    <w:widowControl/>
                    <w:adjustRightInd w:val="0"/>
                    <w:snapToGrid w:val="0"/>
                    <w:jc w:val="center"/>
                    <w:rPr>
                      <w:b/>
                      <w:bCs/>
                      <w:color w:val="auto"/>
                      <w:kern w:val="0"/>
                      <w:sz w:val="18"/>
                      <w:szCs w:val="18"/>
                    </w:rPr>
                  </w:pPr>
                  <w:r>
                    <w:rPr>
                      <w:b/>
                      <w:bCs/>
                      <w:color w:val="auto"/>
                      <w:kern w:val="0"/>
                      <w:sz w:val="18"/>
                      <w:szCs w:val="18"/>
                    </w:rPr>
                    <w:t>达标情况</w:t>
                  </w:r>
                </w:p>
              </w:tc>
              <w:tc>
                <w:tcPr>
                  <w:tcW w:w="415" w:type="pct"/>
                  <w:vMerge w:val="restart"/>
                  <w:shd w:val="clear" w:color="auto" w:fill="auto"/>
                  <w:noWrap w:val="0"/>
                  <w:vAlign w:val="center"/>
                </w:tcPr>
                <w:p w14:paraId="401D123D">
                  <w:pPr>
                    <w:widowControl/>
                    <w:adjustRightInd w:val="0"/>
                    <w:snapToGrid w:val="0"/>
                    <w:jc w:val="center"/>
                    <w:rPr>
                      <w:b/>
                      <w:bCs/>
                      <w:color w:val="auto"/>
                      <w:kern w:val="0"/>
                      <w:sz w:val="18"/>
                      <w:szCs w:val="18"/>
                    </w:rPr>
                  </w:pPr>
                  <w:r>
                    <w:rPr>
                      <w:b/>
                      <w:bCs/>
                      <w:color w:val="auto"/>
                      <w:kern w:val="0"/>
                      <w:sz w:val="18"/>
                      <w:szCs w:val="18"/>
                    </w:rPr>
                    <w:t>超标倍数</w:t>
                  </w:r>
                </w:p>
              </w:tc>
            </w:tr>
            <w:tr w14:paraId="1CFB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9" w:type="pct"/>
                  <w:vMerge w:val="continue"/>
                  <w:shd w:val="clear" w:color="auto" w:fill="auto"/>
                  <w:noWrap/>
                  <w:vAlign w:val="center"/>
                </w:tcPr>
                <w:p w14:paraId="02253393">
                  <w:pPr>
                    <w:widowControl/>
                    <w:adjustRightInd w:val="0"/>
                    <w:snapToGrid w:val="0"/>
                    <w:jc w:val="center"/>
                    <w:rPr>
                      <w:b/>
                      <w:bCs/>
                      <w:color w:val="auto"/>
                      <w:kern w:val="0"/>
                      <w:sz w:val="18"/>
                      <w:szCs w:val="18"/>
                    </w:rPr>
                  </w:pPr>
                </w:p>
              </w:tc>
              <w:tc>
                <w:tcPr>
                  <w:tcW w:w="793" w:type="pct"/>
                  <w:vMerge w:val="continue"/>
                  <w:shd w:val="clear" w:color="auto" w:fill="auto"/>
                  <w:noWrap/>
                  <w:vAlign w:val="center"/>
                </w:tcPr>
                <w:p w14:paraId="1C4EFBA7">
                  <w:pPr>
                    <w:widowControl/>
                    <w:adjustRightInd w:val="0"/>
                    <w:snapToGrid w:val="0"/>
                    <w:jc w:val="center"/>
                    <w:rPr>
                      <w:b/>
                      <w:bCs/>
                      <w:color w:val="auto"/>
                      <w:kern w:val="0"/>
                      <w:sz w:val="18"/>
                      <w:szCs w:val="18"/>
                    </w:rPr>
                  </w:pPr>
                </w:p>
              </w:tc>
              <w:tc>
                <w:tcPr>
                  <w:tcW w:w="414" w:type="pct"/>
                  <w:vMerge w:val="continue"/>
                  <w:shd w:val="clear" w:color="auto" w:fill="auto"/>
                  <w:noWrap/>
                  <w:vAlign w:val="center"/>
                </w:tcPr>
                <w:p w14:paraId="5EEE7267">
                  <w:pPr>
                    <w:widowControl/>
                    <w:adjustRightInd w:val="0"/>
                    <w:snapToGrid w:val="0"/>
                    <w:jc w:val="center"/>
                    <w:rPr>
                      <w:b/>
                      <w:bCs/>
                      <w:color w:val="auto"/>
                      <w:kern w:val="0"/>
                      <w:sz w:val="18"/>
                      <w:szCs w:val="18"/>
                    </w:rPr>
                  </w:pPr>
                </w:p>
              </w:tc>
              <w:tc>
                <w:tcPr>
                  <w:tcW w:w="421" w:type="pct"/>
                  <w:vMerge w:val="continue"/>
                  <w:shd w:val="clear" w:color="auto" w:fill="auto"/>
                  <w:noWrap/>
                  <w:vAlign w:val="center"/>
                </w:tcPr>
                <w:p w14:paraId="7BCA7359">
                  <w:pPr>
                    <w:widowControl/>
                    <w:adjustRightInd w:val="0"/>
                    <w:snapToGrid w:val="0"/>
                    <w:jc w:val="center"/>
                    <w:rPr>
                      <w:b/>
                      <w:bCs/>
                      <w:color w:val="auto"/>
                      <w:kern w:val="0"/>
                      <w:sz w:val="18"/>
                      <w:szCs w:val="18"/>
                    </w:rPr>
                  </w:pPr>
                </w:p>
              </w:tc>
              <w:tc>
                <w:tcPr>
                  <w:tcW w:w="364" w:type="pct"/>
                  <w:shd w:val="clear" w:color="auto" w:fill="auto"/>
                  <w:noWrap/>
                  <w:vAlign w:val="center"/>
                </w:tcPr>
                <w:p w14:paraId="5662972C">
                  <w:pPr>
                    <w:widowControl/>
                    <w:adjustRightInd w:val="0"/>
                    <w:snapToGrid w:val="0"/>
                    <w:jc w:val="center"/>
                    <w:rPr>
                      <w:b/>
                      <w:bCs/>
                      <w:color w:val="auto"/>
                      <w:kern w:val="0"/>
                      <w:sz w:val="18"/>
                      <w:szCs w:val="18"/>
                    </w:rPr>
                  </w:pPr>
                  <w:r>
                    <w:rPr>
                      <w:rFonts w:hint="eastAsia"/>
                      <w:b/>
                      <w:bCs/>
                      <w:color w:val="auto"/>
                      <w:kern w:val="0"/>
                      <w:sz w:val="18"/>
                      <w:szCs w:val="18"/>
                    </w:rPr>
                    <w:t>2024年</w:t>
                  </w:r>
                </w:p>
              </w:tc>
              <w:tc>
                <w:tcPr>
                  <w:tcW w:w="378" w:type="pct"/>
                  <w:shd w:val="clear" w:color="auto" w:fill="auto"/>
                  <w:noWrap w:val="0"/>
                  <w:vAlign w:val="center"/>
                </w:tcPr>
                <w:p w14:paraId="5CC6EA83">
                  <w:pPr>
                    <w:adjustRightInd w:val="0"/>
                    <w:snapToGrid w:val="0"/>
                    <w:jc w:val="center"/>
                    <w:rPr>
                      <w:b/>
                      <w:bCs/>
                      <w:color w:val="auto"/>
                      <w:kern w:val="0"/>
                      <w:sz w:val="18"/>
                      <w:szCs w:val="18"/>
                    </w:rPr>
                  </w:pPr>
                  <w:r>
                    <w:rPr>
                      <w:rFonts w:hint="eastAsia"/>
                      <w:b/>
                      <w:bCs/>
                      <w:color w:val="auto"/>
                      <w:kern w:val="0"/>
                      <w:sz w:val="18"/>
                      <w:szCs w:val="18"/>
                    </w:rPr>
                    <w:t>2026年</w:t>
                  </w:r>
                </w:p>
              </w:tc>
              <w:tc>
                <w:tcPr>
                  <w:tcW w:w="400" w:type="pct"/>
                  <w:shd w:val="clear" w:color="auto" w:fill="auto"/>
                  <w:noWrap/>
                  <w:vAlign w:val="center"/>
                </w:tcPr>
                <w:p w14:paraId="22958D92">
                  <w:pPr>
                    <w:widowControl/>
                    <w:adjustRightInd w:val="0"/>
                    <w:snapToGrid w:val="0"/>
                    <w:jc w:val="center"/>
                    <w:rPr>
                      <w:b/>
                      <w:bCs/>
                      <w:color w:val="auto"/>
                      <w:kern w:val="0"/>
                      <w:sz w:val="18"/>
                      <w:szCs w:val="18"/>
                    </w:rPr>
                  </w:pPr>
                  <w:r>
                    <w:rPr>
                      <w:rFonts w:hint="eastAsia"/>
                      <w:b/>
                      <w:bCs/>
                      <w:color w:val="auto"/>
                      <w:kern w:val="0"/>
                      <w:sz w:val="18"/>
                      <w:szCs w:val="18"/>
                    </w:rPr>
                    <w:t>2024</w:t>
                  </w:r>
                </w:p>
                <w:p w14:paraId="09E73FC9">
                  <w:pPr>
                    <w:widowControl/>
                    <w:adjustRightInd w:val="0"/>
                    <w:snapToGrid w:val="0"/>
                    <w:jc w:val="center"/>
                    <w:rPr>
                      <w:b/>
                      <w:bCs/>
                      <w:color w:val="auto"/>
                      <w:kern w:val="0"/>
                      <w:sz w:val="18"/>
                      <w:szCs w:val="18"/>
                    </w:rPr>
                  </w:pPr>
                  <w:r>
                    <w:rPr>
                      <w:rFonts w:hint="eastAsia"/>
                      <w:b/>
                      <w:bCs/>
                      <w:color w:val="auto"/>
                      <w:kern w:val="0"/>
                      <w:sz w:val="18"/>
                      <w:szCs w:val="18"/>
                    </w:rPr>
                    <w:t>年</w:t>
                  </w:r>
                </w:p>
              </w:tc>
              <w:tc>
                <w:tcPr>
                  <w:tcW w:w="414" w:type="pct"/>
                  <w:shd w:val="clear" w:color="auto" w:fill="auto"/>
                  <w:noWrap w:val="0"/>
                  <w:vAlign w:val="center"/>
                </w:tcPr>
                <w:p w14:paraId="240C6984">
                  <w:pPr>
                    <w:adjustRightInd w:val="0"/>
                    <w:snapToGrid w:val="0"/>
                    <w:jc w:val="center"/>
                    <w:rPr>
                      <w:b/>
                      <w:bCs/>
                      <w:color w:val="auto"/>
                      <w:kern w:val="0"/>
                      <w:sz w:val="18"/>
                      <w:szCs w:val="18"/>
                    </w:rPr>
                  </w:pPr>
                  <w:r>
                    <w:rPr>
                      <w:rFonts w:hint="eastAsia"/>
                      <w:b/>
                      <w:bCs/>
                      <w:color w:val="auto"/>
                      <w:kern w:val="0"/>
                      <w:sz w:val="18"/>
                      <w:szCs w:val="18"/>
                    </w:rPr>
                    <w:t>2026年</w:t>
                  </w:r>
                </w:p>
              </w:tc>
              <w:tc>
                <w:tcPr>
                  <w:tcW w:w="471" w:type="pct"/>
                  <w:shd w:val="clear" w:color="auto" w:fill="auto"/>
                  <w:noWrap/>
                  <w:vAlign w:val="center"/>
                </w:tcPr>
                <w:p w14:paraId="02A3C47B">
                  <w:pPr>
                    <w:widowControl/>
                    <w:adjustRightInd w:val="0"/>
                    <w:snapToGrid w:val="0"/>
                    <w:jc w:val="center"/>
                    <w:rPr>
                      <w:b/>
                      <w:bCs/>
                      <w:color w:val="auto"/>
                      <w:kern w:val="0"/>
                      <w:sz w:val="18"/>
                      <w:szCs w:val="18"/>
                    </w:rPr>
                  </w:pPr>
                  <w:r>
                    <w:rPr>
                      <w:rFonts w:hint="eastAsia"/>
                      <w:b/>
                      <w:bCs/>
                      <w:color w:val="auto"/>
                      <w:kern w:val="0"/>
                      <w:sz w:val="18"/>
                      <w:szCs w:val="18"/>
                    </w:rPr>
                    <w:t>2024</w:t>
                  </w:r>
                </w:p>
                <w:p w14:paraId="40183CBA">
                  <w:pPr>
                    <w:widowControl/>
                    <w:adjustRightInd w:val="0"/>
                    <w:snapToGrid w:val="0"/>
                    <w:jc w:val="center"/>
                    <w:rPr>
                      <w:b/>
                      <w:bCs/>
                      <w:color w:val="auto"/>
                      <w:kern w:val="0"/>
                      <w:sz w:val="18"/>
                      <w:szCs w:val="18"/>
                    </w:rPr>
                  </w:pPr>
                  <w:r>
                    <w:rPr>
                      <w:rFonts w:hint="eastAsia"/>
                      <w:b/>
                      <w:bCs/>
                      <w:color w:val="auto"/>
                      <w:kern w:val="0"/>
                      <w:sz w:val="18"/>
                      <w:szCs w:val="18"/>
                    </w:rPr>
                    <w:t>年</w:t>
                  </w:r>
                </w:p>
              </w:tc>
              <w:tc>
                <w:tcPr>
                  <w:tcW w:w="534" w:type="pct"/>
                  <w:shd w:val="clear" w:color="auto" w:fill="auto"/>
                  <w:noWrap w:val="0"/>
                  <w:vAlign w:val="center"/>
                </w:tcPr>
                <w:p w14:paraId="0D8D31D9">
                  <w:pPr>
                    <w:adjustRightInd w:val="0"/>
                    <w:snapToGrid w:val="0"/>
                    <w:jc w:val="center"/>
                    <w:rPr>
                      <w:b/>
                      <w:bCs/>
                      <w:color w:val="auto"/>
                      <w:kern w:val="0"/>
                      <w:sz w:val="18"/>
                      <w:szCs w:val="18"/>
                    </w:rPr>
                  </w:pPr>
                  <w:r>
                    <w:rPr>
                      <w:rFonts w:hint="eastAsia"/>
                      <w:b/>
                      <w:bCs/>
                      <w:color w:val="auto"/>
                      <w:kern w:val="0"/>
                      <w:sz w:val="18"/>
                      <w:szCs w:val="18"/>
                    </w:rPr>
                    <w:t>2026年</w:t>
                  </w:r>
                </w:p>
              </w:tc>
              <w:tc>
                <w:tcPr>
                  <w:tcW w:w="415" w:type="pct"/>
                  <w:vMerge w:val="continue"/>
                  <w:shd w:val="clear" w:color="auto" w:fill="auto"/>
                  <w:noWrap w:val="0"/>
                  <w:vAlign w:val="center"/>
                </w:tcPr>
                <w:p w14:paraId="56FFB2E6">
                  <w:pPr>
                    <w:widowControl/>
                    <w:adjustRightInd w:val="0"/>
                    <w:snapToGrid w:val="0"/>
                    <w:jc w:val="center"/>
                    <w:rPr>
                      <w:b/>
                      <w:bCs/>
                      <w:color w:val="auto"/>
                      <w:kern w:val="0"/>
                      <w:sz w:val="18"/>
                      <w:szCs w:val="18"/>
                    </w:rPr>
                  </w:pPr>
                </w:p>
              </w:tc>
            </w:tr>
            <w:tr w14:paraId="46DD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restart"/>
                  <w:shd w:val="clear" w:color="auto" w:fill="auto"/>
                  <w:noWrap/>
                  <w:vAlign w:val="center"/>
                </w:tcPr>
                <w:p w14:paraId="171C57F6">
                  <w:pPr>
                    <w:widowControl/>
                    <w:adjustRightInd w:val="0"/>
                    <w:snapToGrid w:val="0"/>
                    <w:jc w:val="center"/>
                    <w:rPr>
                      <w:color w:val="auto"/>
                      <w:kern w:val="0"/>
                      <w:sz w:val="18"/>
                      <w:szCs w:val="18"/>
                    </w:rPr>
                  </w:pPr>
                  <w:bookmarkStart w:id="6" w:name="OLE_LINK217" w:colFirst="3" w:colLast="71"/>
                  <w:bookmarkStart w:id="7" w:name="OLE_LINK218" w:colFirst="3" w:colLast="71"/>
                  <w:bookmarkStart w:id="8" w:name="_Hlk223266568"/>
                  <w:r>
                    <w:rPr>
                      <w:color w:val="auto"/>
                      <w:kern w:val="0"/>
                      <w:sz w:val="18"/>
                      <w:szCs w:val="18"/>
                    </w:rPr>
                    <w:t>SO</w:t>
                  </w:r>
                  <w:r>
                    <w:rPr>
                      <w:color w:val="auto"/>
                      <w:kern w:val="0"/>
                      <w:sz w:val="18"/>
                      <w:szCs w:val="18"/>
                      <w:vertAlign w:val="subscript"/>
                    </w:rPr>
                    <w:t>2</w:t>
                  </w:r>
                </w:p>
              </w:tc>
              <w:tc>
                <w:tcPr>
                  <w:tcW w:w="793" w:type="pct"/>
                  <w:shd w:val="clear" w:color="auto" w:fill="auto"/>
                  <w:noWrap/>
                  <w:vAlign w:val="center"/>
                </w:tcPr>
                <w:p w14:paraId="4EB89CA4">
                  <w:pPr>
                    <w:widowControl/>
                    <w:adjustRightInd w:val="0"/>
                    <w:snapToGrid w:val="0"/>
                    <w:jc w:val="center"/>
                    <w:rPr>
                      <w:color w:val="auto"/>
                      <w:kern w:val="0"/>
                      <w:sz w:val="18"/>
                      <w:szCs w:val="18"/>
                    </w:rPr>
                  </w:pPr>
                  <w:r>
                    <w:rPr>
                      <w:color w:val="auto"/>
                      <w:kern w:val="0"/>
                      <w:sz w:val="18"/>
                      <w:szCs w:val="18"/>
                    </w:rPr>
                    <w:t>年平均质量</w:t>
                  </w:r>
                </w:p>
                <w:p w14:paraId="35482570">
                  <w:pPr>
                    <w:widowControl/>
                    <w:adjustRightInd w:val="0"/>
                    <w:snapToGrid w:val="0"/>
                    <w:jc w:val="center"/>
                    <w:rPr>
                      <w:color w:val="auto"/>
                      <w:kern w:val="0"/>
                      <w:sz w:val="18"/>
                      <w:szCs w:val="18"/>
                    </w:rPr>
                  </w:pPr>
                  <w:r>
                    <w:rPr>
                      <w:color w:val="auto"/>
                      <w:kern w:val="0"/>
                      <w:sz w:val="18"/>
                      <w:szCs w:val="18"/>
                    </w:rPr>
                    <w:t>浓度</w:t>
                  </w:r>
                </w:p>
              </w:tc>
              <w:tc>
                <w:tcPr>
                  <w:tcW w:w="414" w:type="pct"/>
                  <w:vMerge w:val="restart"/>
                  <w:shd w:val="clear" w:color="auto" w:fill="auto"/>
                  <w:noWrap/>
                  <w:vAlign w:val="center"/>
                </w:tcPr>
                <w:p w14:paraId="00FA329D">
                  <w:pPr>
                    <w:widowControl/>
                    <w:adjustRightInd w:val="0"/>
                    <w:snapToGrid w:val="0"/>
                    <w:jc w:val="center"/>
                    <w:rPr>
                      <w:color w:val="auto"/>
                      <w:kern w:val="0"/>
                      <w:sz w:val="18"/>
                      <w:szCs w:val="18"/>
                    </w:rPr>
                  </w:pPr>
                  <w:r>
                    <w:rPr>
                      <w:color w:val="auto"/>
                      <w:kern w:val="0"/>
                      <w:sz w:val="18"/>
                      <w:szCs w:val="18"/>
                    </w:rPr>
                    <w:t>μg/m</w:t>
                  </w:r>
                  <w:r>
                    <w:rPr>
                      <w:color w:val="auto"/>
                      <w:kern w:val="0"/>
                      <w:sz w:val="18"/>
                      <w:szCs w:val="18"/>
                      <w:vertAlign w:val="superscript"/>
                    </w:rPr>
                    <w:t>3</w:t>
                  </w:r>
                </w:p>
              </w:tc>
              <w:tc>
                <w:tcPr>
                  <w:tcW w:w="421" w:type="pct"/>
                  <w:shd w:val="clear" w:color="auto" w:fill="auto"/>
                  <w:noWrap/>
                  <w:vAlign w:val="center"/>
                </w:tcPr>
                <w:p w14:paraId="03AD6CEB">
                  <w:pPr>
                    <w:widowControl/>
                    <w:adjustRightInd w:val="0"/>
                    <w:snapToGrid w:val="0"/>
                    <w:jc w:val="center"/>
                    <w:rPr>
                      <w:color w:val="auto"/>
                      <w:kern w:val="0"/>
                      <w:sz w:val="18"/>
                      <w:szCs w:val="18"/>
                    </w:rPr>
                  </w:pPr>
                  <w:r>
                    <w:rPr>
                      <w:rFonts w:hint="eastAsia"/>
                      <w:color w:val="auto"/>
                      <w:kern w:val="0"/>
                      <w:sz w:val="18"/>
                      <w:szCs w:val="18"/>
                    </w:rPr>
                    <w:t>5.9</w:t>
                  </w:r>
                </w:p>
              </w:tc>
              <w:tc>
                <w:tcPr>
                  <w:tcW w:w="364" w:type="pct"/>
                  <w:shd w:val="clear" w:color="auto" w:fill="auto"/>
                  <w:noWrap/>
                  <w:vAlign w:val="center"/>
                </w:tcPr>
                <w:p w14:paraId="71CA7BFC">
                  <w:pPr>
                    <w:widowControl/>
                    <w:adjustRightInd w:val="0"/>
                    <w:snapToGrid w:val="0"/>
                    <w:jc w:val="center"/>
                    <w:rPr>
                      <w:color w:val="auto"/>
                      <w:kern w:val="0"/>
                      <w:sz w:val="18"/>
                      <w:szCs w:val="18"/>
                    </w:rPr>
                  </w:pPr>
                  <w:r>
                    <w:rPr>
                      <w:color w:val="auto"/>
                      <w:kern w:val="0"/>
                      <w:sz w:val="18"/>
                      <w:szCs w:val="18"/>
                    </w:rPr>
                    <w:t>60</w:t>
                  </w:r>
                </w:p>
              </w:tc>
              <w:tc>
                <w:tcPr>
                  <w:tcW w:w="378" w:type="pct"/>
                  <w:shd w:val="clear" w:color="auto" w:fill="auto"/>
                  <w:noWrap w:val="0"/>
                  <w:vAlign w:val="center"/>
                </w:tcPr>
                <w:p w14:paraId="4737BA05">
                  <w:pPr>
                    <w:widowControl/>
                    <w:adjustRightInd w:val="0"/>
                    <w:snapToGrid w:val="0"/>
                    <w:jc w:val="center"/>
                    <w:rPr>
                      <w:color w:val="auto"/>
                      <w:kern w:val="0"/>
                      <w:sz w:val="18"/>
                      <w:szCs w:val="18"/>
                    </w:rPr>
                  </w:pPr>
                  <w:r>
                    <w:rPr>
                      <w:rFonts w:hint="eastAsia"/>
                      <w:color w:val="auto"/>
                      <w:kern w:val="0"/>
                      <w:sz w:val="18"/>
                      <w:szCs w:val="18"/>
                    </w:rPr>
                    <w:t>60</w:t>
                  </w:r>
                </w:p>
              </w:tc>
              <w:tc>
                <w:tcPr>
                  <w:tcW w:w="400" w:type="pct"/>
                  <w:shd w:val="clear" w:color="auto" w:fill="auto"/>
                  <w:noWrap/>
                  <w:vAlign w:val="center"/>
                </w:tcPr>
                <w:p w14:paraId="5C207B33">
                  <w:pPr>
                    <w:widowControl/>
                    <w:adjustRightInd w:val="0"/>
                    <w:snapToGrid w:val="0"/>
                    <w:jc w:val="center"/>
                    <w:rPr>
                      <w:rFonts w:hint="eastAsia"/>
                      <w:color w:val="auto"/>
                      <w:kern w:val="0"/>
                      <w:sz w:val="18"/>
                      <w:szCs w:val="18"/>
                    </w:rPr>
                  </w:pPr>
                  <w:r>
                    <w:rPr>
                      <w:rFonts w:hint="eastAsia"/>
                      <w:color w:val="auto"/>
                      <w:kern w:val="0"/>
                      <w:sz w:val="18"/>
                      <w:szCs w:val="18"/>
                    </w:rPr>
                    <w:t>9.8</w:t>
                  </w:r>
                </w:p>
              </w:tc>
              <w:tc>
                <w:tcPr>
                  <w:tcW w:w="414" w:type="pct"/>
                  <w:shd w:val="clear" w:color="auto" w:fill="auto"/>
                  <w:noWrap w:val="0"/>
                  <w:vAlign w:val="center"/>
                </w:tcPr>
                <w:p w14:paraId="440D8E7B">
                  <w:pPr>
                    <w:jc w:val="center"/>
                    <w:rPr>
                      <w:color w:val="auto"/>
                      <w:sz w:val="18"/>
                      <w:szCs w:val="18"/>
                    </w:rPr>
                  </w:pPr>
                  <w:r>
                    <w:rPr>
                      <w:color w:val="auto"/>
                      <w:sz w:val="18"/>
                      <w:szCs w:val="18"/>
                    </w:rPr>
                    <w:t>9.8</w:t>
                  </w:r>
                </w:p>
              </w:tc>
              <w:tc>
                <w:tcPr>
                  <w:tcW w:w="471" w:type="pct"/>
                  <w:shd w:val="clear" w:color="auto" w:fill="auto"/>
                  <w:noWrap/>
                  <w:vAlign w:val="center"/>
                </w:tcPr>
                <w:p w14:paraId="07D79FE6">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37AC9493">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7F978C80">
                  <w:pPr>
                    <w:widowControl/>
                    <w:adjustRightInd w:val="0"/>
                    <w:snapToGrid w:val="0"/>
                    <w:jc w:val="center"/>
                    <w:rPr>
                      <w:color w:val="auto"/>
                      <w:kern w:val="0"/>
                      <w:sz w:val="18"/>
                      <w:szCs w:val="18"/>
                    </w:rPr>
                  </w:pPr>
                  <w:r>
                    <w:rPr>
                      <w:color w:val="auto"/>
                      <w:kern w:val="0"/>
                      <w:sz w:val="18"/>
                      <w:szCs w:val="18"/>
                    </w:rPr>
                    <w:t>/</w:t>
                  </w:r>
                </w:p>
              </w:tc>
            </w:tr>
            <w:tr w14:paraId="61AB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continue"/>
                  <w:shd w:val="clear" w:color="auto" w:fill="auto"/>
                  <w:noWrap w:val="0"/>
                  <w:vAlign w:val="center"/>
                </w:tcPr>
                <w:p w14:paraId="65FAC8A3">
                  <w:pPr>
                    <w:widowControl/>
                    <w:adjustRightInd w:val="0"/>
                    <w:snapToGrid w:val="0"/>
                    <w:jc w:val="center"/>
                    <w:rPr>
                      <w:color w:val="auto"/>
                      <w:kern w:val="0"/>
                      <w:sz w:val="18"/>
                      <w:szCs w:val="18"/>
                    </w:rPr>
                  </w:pPr>
                </w:p>
              </w:tc>
              <w:tc>
                <w:tcPr>
                  <w:tcW w:w="793" w:type="pct"/>
                  <w:shd w:val="clear" w:color="auto" w:fill="auto"/>
                  <w:noWrap/>
                  <w:vAlign w:val="center"/>
                </w:tcPr>
                <w:p w14:paraId="672109D6">
                  <w:pPr>
                    <w:widowControl/>
                    <w:adjustRightInd w:val="0"/>
                    <w:snapToGrid w:val="0"/>
                    <w:jc w:val="center"/>
                    <w:rPr>
                      <w:color w:val="auto"/>
                      <w:kern w:val="0"/>
                      <w:sz w:val="18"/>
                      <w:szCs w:val="18"/>
                    </w:rPr>
                  </w:pPr>
                  <w:r>
                    <w:rPr>
                      <w:color w:val="auto"/>
                      <w:kern w:val="0"/>
                      <w:sz w:val="18"/>
                      <w:szCs w:val="18"/>
                    </w:rPr>
                    <w:t>第98%百分</w:t>
                  </w:r>
                </w:p>
                <w:p w14:paraId="13B4CF79">
                  <w:pPr>
                    <w:widowControl/>
                    <w:adjustRightInd w:val="0"/>
                    <w:snapToGrid w:val="0"/>
                    <w:jc w:val="center"/>
                    <w:rPr>
                      <w:color w:val="auto"/>
                      <w:kern w:val="0"/>
                      <w:sz w:val="18"/>
                      <w:szCs w:val="18"/>
                    </w:rPr>
                  </w:pPr>
                  <w:r>
                    <w:rPr>
                      <w:color w:val="auto"/>
                      <w:kern w:val="0"/>
                      <w:sz w:val="18"/>
                      <w:szCs w:val="18"/>
                    </w:rPr>
                    <w:t>位数日平均</w:t>
                  </w:r>
                </w:p>
              </w:tc>
              <w:tc>
                <w:tcPr>
                  <w:tcW w:w="414" w:type="pct"/>
                  <w:vMerge w:val="continue"/>
                  <w:shd w:val="clear" w:color="auto" w:fill="auto"/>
                  <w:noWrap w:val="0"/>
                  <w:vAlign w:val="center"/>
                </w:tcPr>
                <w:p w14:paraId="54697DA6">
                  <w:pPr>
                    <w:widowControl/>
                    <w:adjustRightInd w:val="0"/>
                    <w:snapToGrid w:val="0"/>
                    <w:jc w:val="center"/>
                    <w:rPr>
                      <w:color w:val="auto"/>
                      <w:kern w:val="0"/>
                      <w:sz w:val="18"/>
                      <w:szCs w:val="18"/>
                    </w:rPr>
                  </w:pPr>
                </w:p>
              </w:tc>
              <w:tc>
                <w:tcPr>
                  <w:tcW w:w="421" w:type="pct"/>
                  <w:shd w:val="clear" w:color="auto" w:fill="auto"/>
                  <w:noWrap/>
                  <w:vAlign w:val="center"/>
                </w:tcPr>
                <w:p w14:paraId="24EA5DE4">
                  <w:pPr>
                    <w:widowControl/>
                    <w:adjustRightInd w:val="0"/>
                    <w:snapToGrid w:val="0"/>
                    <w:jc w:val="center"/>
                    <w:rPr>
                      <w:color w:val="auto"/>
                      <w:kern w:val="0"/>
                      <w:sz w:val="18"/>
                      <w:szCs w:val="18"/>
                    </w:rPr>
                  </w:pPr>
                  <w:r>
                    <w:rPr>
                      <w:color w:val="auto"/>
                      <w:kern w:val="0"/>
                      <w:sz w:val="18"/>
                      <w:szCs w:val="18"/>
                    </w:rPr>
                    <w:t>11</w:t>
                  </w:r>
                </w:p>
              </w:tc>
              <w:tc>
                <w:tcPr>
                  <w:tcW w:w="364" w:type="pct"/>
                  <w:shd w:val="clear" w:color="auto" w:fill="auto"/>
                  <w:noWrap/>
                  <w:vAlign w:val="center"/>
                </w:tcPr>
                <w:p w14:paraId="138F0A0C">
                  <w:pPr>
                    <w:widowControl/>
                    <w:adjustRightInd w:val="0"/>
                    <w:snapToGrid w:val="0"/>
                    <w:jc w:val="center"/>
                    <w:rPr>
                      <w:color w:val="auto"/>
                      <w:kern w:val="0"/>
                      <w:sz w:val="18"/>
                      <w:szCs w:val="18"/>
                    </w:rPr>
                  </w:pPr>
                  <w:r>
                    <w:rPr>
                      <w:color w:val="auto"/>
                      <w:kern w:val="0"/>
                      <w:sz w:val="18"/>
                      <w:szCs w:val="18"/>
                    </w:rPr>
                    <w:t>150</w:t>
                  </w:r>
                </w:p>
              </w:tc>
              <w:tc>
                <w:tcPr>
                  <w:tcW w:w="378" w:type="pct"/>
                  <w:shd w:val="clear" w:color="auto" w:fill="auto"/>
                  <w:noWrap w:val="0"/>
                  <w:vAlign w:val="center"/>
                </w:tcPr>
                <w:p w14:paraId="20AEAC8C">
                  <w:pPr>
                    <w:widowControl/>
                    <w:adjustRightInd w:val="0"/>
                    <w:snapToGrid w:val="0"/>
                    <w:jc w:val="center"/>
                    <w:rPr>
                      <w:color w:val="auto"/>
                      <w:kern w:val="0"/>
                      <w:sz w:val="18"/>
                      <w:szCs w:val="18"/>
                    </w:rPr>
                  </w:pPr>
                  <w:r>
                    <w:rPr>
                      <w:rFonts w:hint="eastAsia"/>
                      <w:color w:val="auto"/>
                      <w:kern w:val="0"/>
                      <w:sz w:val="18"/>
                      <w:szCs w:val="18"/>
                    </w:rPr>
                    <w:t>150</w:t>
                  </w:r>
                </w:p>
              </w:tc>
              <w:tc>
                <w:tcPr>
                  <w:tcW w:w="400" w:type="pct"/>
                  <w:shd w:val="clear" w:color="auto" w:fill="auto"/>
                  <w:noWrap/>
                  <w:vAlign w:val="center"/>
                </w:tcPr>
                <w:p w14:paraId="07250C54">
                  <w:pPr>
                    <w:widowControl/>
                    <w:adjustRightInd w:val="0"/>
                    <w:snapToGrid w:val="0"/>
                    <w:jc w:val="center"/>
                    <w:rPr>
                      <w:rFonts w:hint="eastAsia"/>
                      <w:color w:val="auto"/>
                      <w:kern w:val="0"/>
                      <w:sz w:val="18"/>
                      <w:szCs w:val="18"/>
                    </w:rPr>
                  </w:pPr>
                  <w:r>
                    <w:rPr>
                      <w:rFonts w:hint="eastAsia"/>
                      <w:color w:val="auto"/>
                      <w:kern w:val="0"/>
                      <w:sz w:val="18"/>
                      <w:szCs w:val="18"/>
                    </w:rPr>
                    <w:t>7.3</w:t>
                  </w:r>
                </w:p>
              </w:tc>
              <w:tc>
                <w:tcPr>
                  <w:tcW w:w="414" w:type="pct"/>
                  <w:shd w:val="clear" w:color="auto" w:fill="auto"/>
                  <w:noWrap w:val="0"/>
                  <w:vAlign w:val="center"/>
                </w:tcPr>
                <w:p w14:paraId="7CBC1451">
                  <w:pPr>
                    <w:jc w:val="center"/>
                    <w:rPr>
                      <w:color w:val="auto"/>
                      <w:sz w:val="18"/>
                      <w:szCs w:val="18"/>
                    </w:rPr>
                  </w:pPr>
                  <w:r>
                    <w:rPr>
                      <w:color w:val="auto"/>
                      <w:sz w:val="18"/>
                      <w:szCs w:val="18"/>
                    </w:rPr>
                    <w:t>7.3</w:t>
                  </w:r>
                </w:p>
              </w:tc>
              <w:tc>
                <w:tcPr>
                  <w:tcW w:w="471" w:type="pct"/>
                  <w:shd w:val="clear" w:color="auto" w:fill="auto"/>
                  <w:noWrap w:val="0"/>
                  <w:vAlign w:val="center"/>
                </w:tcPr>
                <w:p w14:paraId="4A6A12D7">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1147A0F1">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5B3ECFEF">
                  <w:pPr>
                    <w:widowControl/>
                    <w:adjustRightInd w:val="0"/>
                    <w:snapToGrid w:val="0"/>
                    <w:jc w:val="center"/>
                    <w:rPr>
                      <w:color w:val="auto"/>
                      <w:kern w:val="0"/>
                      <w:sz w:val="18"/>
                      <w:szCs w:val="18"/>
                    </w:rPr>
                  </w:pPr>
                  <w:r>
                    <w:rPr>
                      <w:color w:val="auto"/>
                      <w:kern w:val="0"/>
                      <w:sz w:val="18"/>
                      <w:szCs w:val="18"/>
                    </w:rPr>
                    <w:t>/</w:t>
                  </w:r>
                </w:p>
              </w:tc>
            </w:tr>
            <w:tr w14:paraId="512D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restart"/>
                  <w:shd w:val="clear" w:color="auto" w:fill="auto"/>
                  <w:noWrap/>
                  <w:vAlign w:val="center"/>
                </w:tcPr>
                <w:p w14:paraId="02713121">
                  <w:pPr>
                    <w:widowControl/>
                    <w:adjustRightInd w:val="0"/>
                    <w:snapToGrid w:val="0"/>
                    <w:jc w:val="center"/>
                    <w:rPr>
                      <w:color w:val="auto"/>
                      <w:kern w:val="0"/>
                      <w:sz w:val="18"/>
                      <w:szCs w:val="18"/>
                    </w:rPr>
                  </w:pPr>
                  <w:r>
                    <w:rPr>
                      <w:color w:val="auto"/>
                      <w:kern w:val="0"/>
                      <w:sz w:val="18"/>
                      <w:szCs w:val="18"/>
                    </w:rPr>
                    <w:t>NO</w:t>
                  </w:r>
                  <w:r>
                    <w:rPr>
                      <w:color w:val="auto"/>
                      <w:kern w:val="0"/>
                      <w:sz w:val="18"/>
                      <w:szCs w:val="18"/>
                      <w:vertAlign w:val="subscript"/>
                    </w:rPr>
                    <w:t>2</w:t>
                  </w:r>
                </w:p>
              </w:tc>
              <w:tc>
                <w:tcPr>
                  <w:tcW w:w="793" w:type="pct"/>
                  <w:shd w:val="clear" w:color="auto" w:fill="auto"/>
                  <w:noWrap/>
                  <w:vAlign w:val="center"/>
                </w:tcPr>
                <w:p w14:paraId="76AF7564">
                  <w:pPr>
                    <w:widowControl/>
                    <w:adjustRightInd w:val="0"/>
                    <w:snapToGrid w:val="0"/>
                    <w:jc w:val="center"/>
                    <w:rPr>
                      <w:color w:val="auto"/>
                      <w:kern w:val="0"/>
                      <w:sz w:val="18"/>
                      <w:szCs w:val="18"/>
                    </w:rPr>
                  </w:pPr>
                  <w:r>
                    <w:rPr>
                      <w:color w:val="auto"/>
                      <w:kern w:val="0"/>
                      <w:sz w:val="18"/>
                      <w:szCs w:val="18"/>
                    </w:rPr>
                    <w:t>年平均质量</w:t>
                  </w:r>
                </w:p>
                <w:p w14:paraId="3A98FE85">
                  <w:pPr>
                    <w:widowControl/>
                    <w:adjustRightInd w:val="0"/>
                    <w:snapToGrid w:val="0"/>
                    <w:jc w:val="center"/>
                    <w:rPr>
                      <w:color w:val="auto"/>
                      <w:kern w:val="0"/>
                      <w:sz w:val="18"/>
                      <w:szCs w:val="18"/>
                    </w:rPr>
                  </w:pPr>
                  <w:r>
                    <w:rPr>
                      <w:color w:val="auto"/>
                      <w:kern w:val="0"/>
                      <w:sz w:val="18"/>
                      <w:szCs w:val="18"/>
                    </w:rPr>
                    <w:t>浓度</w:t>
                  </w:r>
                </w:p>
              </w:tc>
              <w:tc>
                <w:tcPr>
                  <w:tcW w:w="414" w:type="pct"/>
                  <w:vMerge w:val="continue"/>
                  <w:shd w:val="clear" w:color="auto" w:fill="auto"/>
                  <w:noWrap w:val="0"/>
                  <w:vAlign w:val="center"/>
                </w:tcPr>
                <w:p w14:paraId="2D49BF77">
                  <w:pPr>
                    <w:widowControl/>
                    <w:adjustRightInd w:val="0"/>
                    <w:snapToGrid w:val="0"/>
                    <w:jc w:val="center"/>
                    <w:rPr>
                      <w:color w:val="auto"/>
                      <w:kern w:val="0"/>
                      <w:sz w:val="18"/>
                      <w:szCs w:val="18"/>
                    </w:rPr>
                  </w:pPr>
                </w:p>
              </w:tc>
              <w:tc>
                <w:tcPr>
                  <w:tcW w:w="421" w:type="pct"/>
                  <w:shd w:val="clear" w:color="auto" w:fill="auto"/>
                  <w:noWrap/>
                  <w:vAlign w:val="center"/>
                </w:tcPr>
                <w:p w14:paraId="55061B6A">
                  <w:pPr>
                    <w:widowControl/>
                    <w:adjustRightInd w:val="0"/>
                    <w:snapToGrid w:val="0"/>
                    <w:jc w:val="center"/>
                    <w:rPr>
                      <w:color w:val="auto"/>
                      <w:kern w:val="0"/>
                      <w:sz w:val="18"/>
                      <w:szCs w:val="18"/>
                    </w:rPr>
                  </w:pPr>
                  <w:r>
                    <w:rPr>
                      <w:rFonts w:hint="eastAsia"/>
                      <w:color w:val="auto"/>
                      <w:kern w:val="0"/>
                      <w:sz w:val="18"/>
                      <w:szCs w:val="18"/>
                    </w:rPr>
                    <w:t>24.8</w:t>
                  </w:r>
                </w:p>
              </w:tc>
              <w:tc>
                <w:tcPr>
                  <w:tcW w:w="364" w:type="pct"/>
                  <w:shd w:val="clear" w:color="auto" w:fill="auto"/>
                  <w:noWrap/>
                  <w:vAlign w:val="center"/>
                </w:tcPr>
                <w:p w14:paraId="20A70B83">
                  <w:pPr>
                    <w:widowControl/>
                    <w:adjustRightInd w:val="0"/>
                    <w:snapToGrid w:val="0"/>
                    <w:jc w:val="center"/>
                    <w:rPr>
                      <w:color w:val="auto"/>
                      <w:kern w:val="0"/>
                      <w:sz w:val="18"/>
                      <w:szCs w:val="18"/>
                    </w:rPr>
                  </w:pPr>
                  <w:r>
                    <w:rPr>
                      <w:color w:val="auto"/>
                      <w:kern w:val="0"/>
                      <w:sz w:val="18"/>
                      <w:szCs w:val="18"/>
                    </w:rPr>
                    <w:t>40</w:t>
                  </w:r>
                </w:p>
              </w:tc>
              <w:tc>
                <w:tcPr>
                  <w:tcW w:w="378" w:type="pct"/>
                  <w:shd w:val="clear" w:color="auto" w:fill="auto"/>
                  <w:noWrap w:val="0"/>
                  <w:vAlign w:val="center"/>
                </w:tcPr>
                <w:p w14:paraId="428D3902">
                  <w:pPr>
                    <w:widowControl/>
                    <w:adjustRightInd w:val="0"/>
                    <w:snapToGrid w:val="0"/>
                    <w:jc w:val="center"/>
                    <w:rPr>
                      <w:color w:val="auto"/>
                      <w:kern w:val="0"/>
                      <w:sz w:val="18"/>
                      <w:szCs w:val="18"/>
                    </w:rPr>
                  </w:pPr>
                  <w:r>
                    <w:rPr>
                      <w:rFonts w:hint="eastAsia"/>
                      <w:color w:val="auto"/>
                      <w:kern w:val="0"/>
                      <w:sz w:val="18"/>
                      <w:szCs w:val="18"/>
                    </w:rPr>
                    <w:t>40</w:t>
                  </w:r>
                </w:p>
              </w:tc>
              <w:tc>
                <w:tcPr>
                  <w:tcW w:w="400" w:type="pct"/>
                  <w:shd w:val="clear" w:color="auto" w:fill="auto"/>
                  <w:noWrap/>
                  <w:vAlign w:val="center"/>
                </w:tcPr>
                <w:p w14:paraId="02649231">
                  <w:pPr>
                    <w:widowControl/>
                    <w:adjustRightInd w:val="0"/>
                    <w:snapToGrid w:val="0"/>
                    <w:jc w:val="center"/>
                    <w:rPr>
                      <w:rFonts w:hint="eastAsia"/>
                      <w:color w:val="auto"/>
                      <w:kern w:val="0"/>
                      <w:sz w:val="18"/>
                      <w:szCs w:val="18"/>
                    </w:rPr>
                  </w:pPr>
                  <w:r>
                    <w:rPr>
                      <w:rFonts w:hint="eastAsia"/>
                      <w:color w:val="auto"/>
                      <w:kern w:val="0"/>
                      <w:sz w:val="18"/>
                      <w:szCs w:val="18"/>
                    </w:rPr>
                    <w:t>62.0</w:t>
                  </w:r>
                </w:p>
              </w:tc>
              <w:tc>
                <w:tcPr>
                  <w:tcW w:w="414" w:type="pct"/>
                  <w:shd w:val="clear" w:color="auto" w:fill="auto"/>
                  <w:noWrap w:val="0"/>
                  <w:vAlign w:val="center"/>
                </w:tcPr>
                <w:p w14:paraId="058D103F">
                  <w:pPr>
                    <w:jc w:val="center"/>
                    <w:rPr>
                      <w:color w:val="auto"/>
                      <w:sz w:val="18"/>
                      <w:szCs w:val="18"/>
                    </w:rPr>
                  </w:pPr>
                  <w:r>
                    <w:rPr>
                      <w:color w:val="auto"/>
                      <w:sz w:val="18"/>
                      <w:szCs w:val="18"/>
                    </w:rPr>
                    <w:t>62.0</w:t>
                  </w:r>
                </w:p>
              </w:tc>
              <w:tc>
                <w:tcPr>
                  <w:tcW w:w="471" w:type="pct"/>
                  <w:shd w:val="clear" w:color="auto" w:fill="auto"/>
                  <w:noWrap/>
                  <w:vAlign w:val="center"/>
                </w:tcPr>
                <w:p w14:paraId="7443DA17">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5B54B405">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0DAD36F6">
                  <w:pPr>
                    <w:widowControl/>
                    <w:adjustRightInd w:val="0"/>
                    <w:snapToGrid w:val="0"/>
                    <w:jc w:val="center"/>
                    <w:rPr>
                      <w:color w:val="auto"/>
                      <w:kern w:val="0"/>
                      <w:sz w:val="18"/>
                      <w:szCs w:val="18"/>
                    </w:rPr>
                  </w:pPr>
                  <w:r>
                    <w:rPr>
                      <w:color w:val="auto"/>
                      <w:kern w:val="0"/>
                      <w:sz w:val="18"/>
                      <w:szCs w:val="18"/>
                    </w:rPr>
                    <w:t>/</w:t>
                  </w:r>
                </w:p>
              </w:tc>
            </w:tr>
            <w:tr w14:paraId="1521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continue"/>
                  <w:shd w:val="clear" w:color="auto" w:fill="auto"/>
                  <w:noWrap w:val="0"/>
                  <w:vAlign w:val="center"/>
                </w:tcPr>
                <w:p w14:paraId="07819346">
                  <w:pPr>
                    <w:widowControl/>
                    <w:adjustRightInd w:val="0"/>
                    <w:snapToGrid w:val="0"/>
                    <w:jc w:val="center"/>
                    <w:rPr>
                      <w:color w:val="auto"/>
                      <w:kern w:val="0"/>
                      <w:sz w:val="18"/>
                      <w:szCs w:val="18"/>
                    </w:rPr>
                  </w:pPr>
                </w:p>
              </w:tc>
              <w:tc>
                <w:tcPr>
                  <w:tcW w:w="793" w:type="pct"/>
                  <w:shd w:val="clear" w:color="auto" w:fill="auto"/>
                  <w:noWrap/>
                  <w:vAlign w:val="center"/>
                </w:tcPr>
                <w:p w14:paraId="493C9233">
                  <w:pPr>
                    <w:widowControl/>
                    <w:adjustRightInd w:val="0"/>
                    <w:snapToGrid w:val="0"/>
                    <w:jc w:val="center"/>
                    <w:rPr>
                      <w:color w:val="auto"/>
                      <w:kern w:val="0"/>
                      <w:sz w:val="18"/>
                      <w:szCs w:val="18"/>
                    </w:rPr>
                  </w:pPr>
                  <w:r>
                    <w:rPr>
                      <w:color w:val="auto"/>
                      <w:kern w:val="0"/>
                      <w:sz w:val="18"/>
                      <w:szCs w:val="18"/>
                    </w:rPr>
                    <w:t>第98%百分</w:t>
                  </w:r>
                </w:p>
                <w:p w14:paraId="7136D6D4">
                  <w:pPr>
                    <w:widowControl/>
                    <w:adjustRightInd w:val="0"/>
                    <w:snapToGrid w:val="0"/>
                    <w:jc w:val="center"/>
                    <w:rPr>
                      <w:color w:val="auto"/>
                      <w:kern w:val="0"/>
                      <w:sz w:val="18"/>
                      <w:szCs w:val="18"/>
                    </w:rPr>
                  </w:pPr>
                  <w:r>
                    <w:rPr>
                      <w:color w:val="auto"/>
                      <w:kern w:val="0"/>
                      <w:sz w:val="18"/>
                      <w:szCs w:val="18"/>
                    </w:rPr>
                    <w:t>位数日平均</w:t>
                  </w:r>
                </w:p>
              </w:tc>
              <w:tc>
                <w:tcPr>
                  <w:tcW w:w="414" w:type="pct"/>
                  <w:vMerge w:val="continue"/>
                  <w:shd w:val="clear" w:color="auto" w:fill="auto"/>
                  <w:noWrap w:val="0"/>
                  <w:vAlign w:val="center"/>
                </w:tcPr>
                <w:p w14:paraId="109711F2">
                  <w:pPr>
                    <w:widowControl/>
                    <w:adjustRightInd w:val="0"/>
                    <w:snapToGrid w:val="0"/>
                    <w:jc w:val="center"/>
                    <w:rPr>
                      <w:color w:val="auto"/>
                      <w:kern w:val="0"/>
                      <w:sz w:val="18"/>
                      <w:szCs w:val="18"/>
                    </w:rPr>
                  </w:pPr>
                </w:p>
              </w:tc>
              <w:tc>
                <w:tcPr>
                  <w:tcW w:w="421" w:type="pct"/>
                  <w:shd w:val="clear" w:color="auto" w:fill="auto"/>
                  <w:noWrap/>
                  <w:vAlign w:val="center"/>
                </w:tcPr>
                <w:p w14:paraId="7E2AC525">
                  <w:pPr>
                    <w:widowControl/>
                    <w:adjustRightInd w:val="0"/>
                    <w:snapToGrid w:val="0"/>
                    <w:jc w:val="center"/>
                    <w:rPr>
                      <w:color w:val="auto"/>
                      <w:kern w:val="0"/>
                      <w:sz w:val="18"/>
                      <w:szCs w:val="18"/>
                    </w:rPr>
                  </w:pPr>
                  <w:r>
                    <w:rPr>
                      <w:rFonts w:hint="eastAsia"/>
                      <w:color w:val="auto"/>
                      <w:kern w:val="0"/>
                      <w:sz w:val="18"/>
                      <w:szCs w:val="18"/>
                    </w:rPr>
                    <w:t>65.0</w:t>
                  </w:r>
                </w:p>
              </w:tc>
              <w:tc>
                <w:tcPr>
                  <w:tcW w:w="364" w:type="pct"/>
                  <w:shd w:val="clear" w:color="auto" w:fill="auto"/>
                  <w:noWrap/>
                  <w:vAlign w:val="center"/>
                </w:tcPr>
                <w:p w14:paraId="341D8945">
                  <w:pPr>
                    <w:widowControl/>
                    <w:adjustRightInd w:val="0"/>
                    <w:snapToGrid w:val="0"/>
                    <w:jc w:val="center"/>
                    <w:rPr>
                      <w:color w:val="auto"/>
                      <w:kern w:val="0"/>
                      <w:sz w:val="18"/>
                      <w:szCs w:val="18"/>
                    </w:rPr>
                  </w:pPr>
                  <w:r>
                    <w:rPr>
                      <w:color w:val="auto"/>
                      <w:kern w:val="0"/>
                      <w:sz w:val="18"/>
                      <w:szCs w:val="18"/>
                    </w:rPr>
                    <w:t>80</w:t>
                  </w:r>
                </w:p>
              </w:tc>
              <w:tc>
                <w:tcPr>
                  <w:tcW w:w="378" w:type="pct"/>
                  <w:shd w:val="clear" w:color="auto" w:fill="auto"/>
                  <w:noWrap w:val="0"/>
                  <w:vAlign w:val="center"/>
                </w:tcPr>
                <w:p w14:paraId="51D826E3">
                  <w:pPr>
                    <w:widowControl/>
                    <w:adjustRightInd w:val="0"/>
                    <w:snapToGrid w:val="0"/>
                    <w:jc w:val="center"/>
                    <w:rPr>
                      <w:color w:val="auto"/>
                      <w:kern w:val="0"/>
                      <w:sz w:val="18"/>
                      <w:szCs w:val="18"/>
                    </w:rPr>
                  </w:pPr>
                  <w:r>
                    <w:rPr>
                      <w:rFonts w:hint="eastAsia"/>
                      <w:color w:val="auto"/>
                      <w:kern w:val="0"/>
                      <w:sz w:val="18"/>
                      <w:szCs w:val="18"/>
                    </w:rPr>
                    <w:t>80</w:t>
                  </w:r>
                </w:p>
              </w:tc>
              <w:tc>
                <w:tcPr>
                  <w:tcW w:w="400" w:type="pct"/>
                  <w:shd w:val="clear" w:color="auto" w:fill="auto"/>
                  <w:noWrap/>
                  <w:vAlign w:val="center"/>
                </w:tcPr>
                <w:p w14:paraId="2CBAC2F0">
                  <w:pPr>
                    <w:widowControl/>
                    <w:adjustRightInd w:val="0"/>
                    <w:snapToGrid w:val="0"/>
                    <w:jc w:val="center"/>
                    <w:rPr>
                      <w:rFonts w:hint="eastAsia"/>
                      <w:color w:val="auto"/>
                      <w:kern w:val="0"/>
                      <w:sz w:val="18"/>
                      <w:szCs w:val="18"/>
                    </w:rPr>
                  </w:pPr>
                  <w:r>
                    <w:rPr>
                      <w:rFonts w:hint="eastAsia"/>
                      <w:color w:val="auto"/>
                      <w:kern w:val="0"/>
                      <w:sz w:val="18"/>
                      <w:szCs w:val="18"/>
                    </w:rPr>
                    <w:t>81.3</w:t>
                  </w:r>
                </w:p>
              </w:tc>
              <w:tc>
                <w:tcPr>
                  <w:tcW w:w="414" w:type="pct"/>
                  <w:shd w:val="clear" w:color="auto" w:fill="auto"/>
                  <w:noWrap w:val="0"/>
                  <w:vAlign w:val="center"/>
                </w:tcPr>
                <w:p w14:paraId="55C47333">
                  <w:pPr>
                    <w:jc w:val="center"/>
                    <w:rPr>
                      <w:color w:val="auto"/>
                      <w:sz w:val="18"/>
                      <w:szCs w:val="18"/>
                    </w:rPr>
                  </w:pPr>
                  <w:r>
                    <w:rPr>
                      <w:color w:val="auto"/>
                      <w:sz w:val="18"/>
                      <w:szCs w:val="18"/>
                    </w:rPr>
                    <w:t>81.3</w:t>
                  </w:r>
                </w:p>
              </w:tc>
              <w:tc>
                <w:tcPr>
                  <w:tcW w:w="471" w:type="pct"/>
                  <w:shd w:val="clear" w:color="auto" w:fill="auto"/>
                  <w:noWrap w:val="0"/>
                  <w:vAlign w:val="center"/>
                </w:tcPr>
                <w:p w14:paraId="1F33F0CE">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4BB27536">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3F472F8B">
                  <w:pPr>
                    <w:widowControl/>
                    <w:adjustRightInd w:val="0"/>
                    <w:snapToGrid w:val="0"/>
                    <w:jc w:val="center"/>
                    <w:rPr>
                      <w:color w:val="auto"/>
                      <w:kern w:val="0"/>
                      <w:sz w:val="18"/>
                      <w:szCs w:val="18"/>
                    </w:rPr>
                  </w:pPr>
                  <w:r>
                    <w:rPr>
                      <w:color w:val="auto"/>
                      <w:kern w:val="0"/>
                      <w:sz w:val="18"/>
                      <w:szCs w:val="18"/>
                    </w:rPr>
                    <w:t>/</w:t>
                  </w:r>
                </w:p>
              </w:tc>
            </w:tr>
            <w:tr w14:paraId="501E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restart"/>
                  <w:shd w:val="clear" w:color="auto" w:fill="auto"/>
                  <w:noWrap/>
                  <w:vAlign w:val="center"/>
                </w:tcPr>
                <w:p w14:paraId="5E656FCE">
                  <w:pPr>
                    <w:widowControl/>
                    <w:adjustRightInd w:val="0"/>
                    <w:snapToGrid w:val="0"/>
                    <w:jc w:val="center"/>
                    <w:rPr>
                      <w:color w:val="auto"/>
                      <w:kern w:val="0"/>
                      <w:sz w:val="18"/>
                      <w:szCs w:val="18"/>
                    </w:rPr>
                  </w:pPr>
                  <w:r>
                    <w:rPr>
                      <w:color w:val="auto"/>
                      <w:kern w:val="0"/>
                      <w:sz w:val="18"/>
                      <w:szCs w:val="18"/>
                    </w:rPr>
                    <w:t>PM</w:t>
                  </w:r>
                  <w:r>
                    <w:rPr>
                      <w:color w:val="auto"/>
                      <w:kern w:val="0"/>
                      <w:sz w:val="18"/>
                      <w:szCs w:val="18"/>
                      <w:vertAlign w:val="subscript"/>
                    </w:rPr>
                    <w:t>10</w:t>
                  </w:r>
                </w:p>
              </w:tc>
              <w:tc>
                <w:tcPr>
                  <w:tcW w:w="793" w:type="pct"/>
                  <w:shd w:val="clear" w:color="auto" w:fill="auto"/>
                  <w:noWrap/>
                  <w:vAlign w:val="center"/>
                </w:tcPr>
                <w:p w14:paraId="6A28A390">
                  <w:pPr>
                    <w:widowControl/>
                    <w:adjustRightInd w:val="0"/>
                    <w:snapToGrid w:val="0"/>
                    <w:jc w:val="center"/>
                    <w:rPr>
                      <w:color w:val="auto"/>
                      <w:kern w:val="0"/>
                      <w:sz w:val="18"/>
                      <w:szCs w:val="18"/>
                    </w:rPr>
                  </w:pPr>
                  <w:r>
                    <w:rPr>
                      <w:color w:val="auto"/>
                      <w:kern w:val="0"/>
                      <w:sz w:val="18"/>
                      <w:szCs w:val="18"/>
                    </w:rPr>
                    <w:t>年平均质量</w:t>
                  </w:r>
                </w:p>
                <w:p w14:paraId="05085349">
                  <w:pPr>
                    <w:widowControl/>
                    <w:adjustRightInd w:val="0"/>
                    <w:snapToGrid w:val="0"/>
                    <w:jc w:val="center"/>
                    <w:rPr>
                      <w:color w:val="auto"/>
                      <w:kern w:val="0"/>
                      <w:sz w:val="18"/>
                      <w:szCs w:val="18"/>
                    </w:rPr>
                  </w:pPr>
                  <w:r>
                    <w:rPr>
                      <w:color w:val="auto"/>
                      <w:kern w:val="0"/>
                      <w:sz w:val="18"/>
                      <w:szCs w:val="18"/>
                    </w:rPr>
                    <w:t>浓度</w:t>
                  </w:r>
                </w:p>
              </w:tc>
              <w:tc>
                <w:tcPr>
                  <w:tcW w:w="414" w:type="pct"/>
                  <w:vMerge w:val="continue"/>
                  <w:shd w:val="clear" w:color="auto" w:fill="auto"/>
                  <w:noWrap w:val="0"/>
                  <w:vAlign w:val="center"/>
                </w:tcPr>
                <w:p w14:paraId="46C137B0">
                  <w:pPr>
                    <w:widowControl/>
                    <w:adjustRightInd w:val="0"/>
                    <w:snapToGrid w:val="0"/>
                    <w:jc w:val="center"/>
                    <w:rPr>
                      <w:color w:val="auto"/>
                      <w:kern w:val="0"/>
                      <w:sz w:val="18"/>
                      <w:szCs w:val="18"/>
                    </w:rPr>
                  </w:pPr>
                </w:p>
              </w:tc>
              <w:tc>
                <w:tcPr>
                  <w:tcW w:w="421" w:type="pct"/>
                  <w:shd w:val="clear" w:color="auto" w:fill="auto"/>
                  <w:noWrap/>
                  <w:vAlign w:val="center"/>
                </w:tcPr>
                <w:p w14:paraId="0A7E50DF">
                  <w:pPr>
                    <w:widowControl/>
                    <w:adjustRightInd w:val="0"/>
                    <w:snapToGrid w:val="0"/>
                    <w:jc w:val="center"/>
                    <w:rPr>
                      <w:color w:val="auto"/>
                      <w:kern w:val="0"/>
                      <w:sz w:val="18"/>
                      <w:szCs w:val="18"/>
                    </w:rPr>
                  </w:pPr>
                  <w:r>
                    <w:rPr>
                      <w:rFonts w:hint="eastAsia"/>
                      <w:color w:val="auto"/>
                      <w:kern w:val="0"/>
                      <w:sz w:val="18"/>
                      <w:szCs w:val="18"/>
                    </w:rPr>
                    <w:t>45.7</w:t>
                  </w:r>
                </w:p>
              </w:tc>
              <w:tc>
                <w:tcPr>
                  <w:tcW w:w="364" w:type="pct"/>
                  <w:shd w:val="clear" w:color="auto" w:fill="auto"/>
                  <w:noWrap/>
                  <w:vAlign w:val="center"/>
                </w:tcPr>
                <w:p w14:paraId="4213BE8E">
                  <w:pPr>
                    <w:widowControl/>
                    <w:adjustRightInd w:val="0"/>
                    <w:snapToGrid w:val="0"/>
                    <w:jc w:val="center"/>
                    <w:rPr>
                      <w:color w:val="auto"/>
                      <w:kern w:val="0"/>
                      <w:sz w:val="18"/>
                      <w:szCs w:val="18"/>
                    </w:rPr>
                  </w:pPr>
                  <w:r>
                    <w:rPr>
                      <w:color w:val="auto"/>
                      <w:kern w:val="0"/>
                      <w:sz w:val="18"/>
                      <w:szCs w:val="18"/>
                    </w:rPr>
                    <w:t>70</w:t>
                  </w:r>
                </w:p>
              </w:tc>
              <w:tc>
                <w:tcPr>
                  <w:tcW w:w="378" w:type="pct"/>
                  <w:shd w:val="clear" w:color="auto" w:fill="auto"/>
                  <w:noWrap w:val="0"/>
                  <w:vAlign w:val="center"/>
                </w:tcPr>
                <w:p w14:paraId="29121288">
                  <w:pPr>
                    <w:widowControl/>
                    <w:adjustRightInd w:val="0"/>
                    <w:snapToGrid w:val="0"/>
                    <w:jc w:val="center"/>
                    <w:rPr>
                      <w:color w:val="auto"/>
                      <w:kern w:val="0"/>
                      <w:sz w:val="18"/>
                      <w:szCs w:val="18"/>
                    </w:rPr>
                  </w:pPr>
                  <w:r>
                    <w:rPr>
                      <w:rFonts w:hint="eastAsia"/>
                      <w:color w:val="auto"/>
                      <w:kern w:val="0"/>
                      <w:sz w:val="18"/>
                      <w:szCs w:val="18"/>
                    </w:rPr>
                    <w:t>60</w:t>
                  </w:r>
                </w:p>
              </w:tc>
              <w:tc>
                <w:tcPr>
                  <w:tcW w:w="400" w:type="pct"/>
                  <w:shd w:val="clear" w:color="auto" w:fill="auto"/>
                  <w:noWrap/>
                  <w:vAlign w:val="center"/>
                </w:tcPr>
                <w:p w14:paraId="10ABB8EE">
                  <w:pPr>
                    <w:widowControl/>
                    <w:adjustRightInd w:val="0"/>
                    <w:snapToGrid w:val="0"/>
                    <w:jc w:val="center"/>
                    <w:rPr>
                      <w:rFonts w:hint="eastAsia"/>
                      <w:color w:val="auto"/>
                      <w:kern w:val="0"/>
                      <w:sz w:val="18"/>
                      <w:szCs w:val="18"/>
                    </w:rPr>
                  </w:pPr>
                  <w:r>
                    <w:rPr>
                      <w:rFonts w:hint="eastAsia"/>
                      <w:color w:val="auto"/>
                      <w:kern w:val="0"/>
                      <w:sz w:val="18"/>
                      <w:szCs w:val="18"/>
                    </w:rPr>
                    <w:t>65.3</w:t>
                  </w:r>
                </w:p>
              </w:tc>
              <w:tc>
                <w:tcPr>
                  <w:tcW w:w="414" w:type="pct"/>
                  <w:shd w:val="clear" w:color="auto" w:fill="auto"/>
                  <w:noWrap w:val="0"/>
                  <w:vAlign w:val="center"/>
                </w:tcPr>
                <w:p w14:paraId="30D11142">
                  <w:pPr>
                    <w:jc w:val="center"/>
                    <w:rPr>
                      <w:color w:val="auto"/>
                      <w:sz w:val="18"/>
                      <w:szCs w:val="18"/>
                    </w:rPr>
                  </w:pPr>
                  <w:r>
                    <w:rPr>
                      <w:color w:val="auto"/>
                      <w:sz w:val="18"/>
                      <w:szCs w:val="18"/>
                    </w:rPr>
                    <w:t>76.2</w:t>
                  </w:r>
                </w:p>
              </w:tc>
              <w:tc>
                <w:tcPr>
                  <w:tcW w:w="471" w:type="pct"/>
                  <w:shd w:val="clear" w:color="auto" w:fill="auto"/>
                  <w:noWrap/>
                  <w:vAlign w:val="center"/>
                </w:tcPr>
                <w:p w14:paraId="52B93055">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6F14F7D5">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55B96ECC">
                  <w:pPr>
                    <w:widowControl/>
                    <w:adjustRightInd w:val="0"/>
                    <w:snapToGrid w:val="0"/>
                    <w:jc w:val="center"/>
                    <w:rPr>
                      <w:color w:val="auto"/>
                      <w:kern w:val="0"/>
                      <w:sz w:val="18"/>
                      <w:szCs w:val="18"/>
                    </w:rPr>
                  </w:pPr>
                  <w:r>
                    <w:rPr>
                      <w:color w:val="auto"/>
                      <w:kern w:val="0"/>
                      <w:sz w:val="18"/>
                      <w:szCs w:val="18"/>
                    </w:rPr>
                    <w:t>/</w:t>
                  </w:r>
                </w:p>
              </w:tc>
            </w:tr>
            <w:tr w14:paraId="5109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continue"/>
                  <w:shd w:val="clear" w:color="auto" w:fill="auto"/>
                  <w:noWrap w:val="0"/>
                  <w:vAlign w:val="center"/>
                </w:tcPr>
                <w:p w14:paraId="1248EB40">
                  <w:pPr>
                    <w:widowControl/>
                    <w:adjustRightInd w:val="0"/>
                    <w:snapToGrid w:val="0"/>
                    <w:jc w:val="center"/>
                    <w:rPr>
                      <w:color w:val="auto"/>
                      <w:kern w:val="0"/>
                      <w:sz w:val="18"/>
                      <w:szCs w:val="18"/>
                    </w:rPr>
                  </w:pPr>
                </w:p>
              </w:tc>
              <w:tc>
                <w:tcPr>
                  <w:tcW w:w="793" w:type="pct"/>
                  <w:shd w:val="clear" w:color="auto" w:fill="auto"/>
                  <w:noWrap/>
                  <w:vAlign w:val="center"/>
                </w:tcPr>
                <w:p w14:paraId="7B8B55E6">
                  <w:pPr>
                    <w:widowControl/>
                    <w:adjustRightInd w:val="0"/>
                    <w:snapToGrid w:val="0"/>
                    <w:jc w:val="center"/>
                    <w:rPr>
                      <w:color w:val="auto"/>
                      <w:kern w:val="0"/>
                      <w:sz w:val="18"/>
                      <w:szCs w:val="18"/>
                    </w:rPr>
                  </w:pPr>
                  <w:r>
                    <w:rPr>
                      <w:color w:val="auto"/>
                      <w:kern w:val="0"/>
                      <w:sz w:val="18"/>
                      <w:szCs w:val="18"/>
                    </w:rPr>
                    <w:t>第95%百分</w:t>
                  </w:r>
                </w:p>
                <w:p w14:paraId="1FDD9436">
                  <w:pPr>
                    <w:widowControl/>
                    <w:adjustRightInd w:val="0"/>
                    <w:snapToGrid w:val="0"/>
                    <w:jc w:val="center"/>
                    <w:rPr>
                      <w:color w:val="auto"/>
                      <w:kern w:val="0"/>
                      <w:sz w:val="18"/>
                      <w:szCs w:val="18"/>
                    </w:rPr>
                  </w:pPr>
                  <w:r>
                    <w:rPr>
                      <w:color w:val="auto"/>
                      <w:kern w:val="0"/>
                      <w:sz w:val="18"/>
                      <w:szCs w:val="18"/>
                    </w:rPr>
                    <w:t>位数日平均</w:t>
                  </w:r>
                </w:p>
              </w:tc>
              <w:tc>
                <w:tcPr>
                  <w:tcW w:w="414" w:type="pct"/>
                  <w:vMerge w:val="continue"/>
                  <w:shd w:val="clear" w:color="auto" w:fill="auto"/>
                  <w:noWrap w:val="0"/>
                  <w:vAlign w:val="center"/>
                </w:tcPr>
                <w:p w14:paraId="50A55B7D">
                  <w:pPr>
                    <w:widowControl/>
                    <w:adjustRightInd w:val="0"/>
                    <w:snapToGrid w:val="0"/>
                    <w:jc w:val="center"/>
                    <w:rPr>
                      <w:color w:val="auto"/>
                      <w:kern w:val="0"/>
                      <w:sz w:val="18"/>
                      <w:szCs w:val="18"/>
                    </w:rPr>
                  </w:pPr>
                </w:p>
              </w:tc>
              <w:tc>
                <w:tcPr>
                  <w:tcW w:w="421" w:type="pct"/>
                  <w:shd w:val="clear" w:color="auto" w:fill="auto"/>
                  <w:noWrap/>
                  <w:vAlign w:val="center"/>
                </w:tcPr>
                <w:p w14:paraId="1B27B274">
                  <w:pPr>
                    <w:widowControl/>
                    <w:adjustRightInd w:val="0"/>
                    <w:snapToGrid w:val="0"/>
                    <w:jc w:val="center"/>
                    <w:rPr>
                      <w:color w:val="auto"/>
                      <w:kern w:val="0"/>
                      <w:sz w:val="18"/>
                      <w:szCs w:val="18"/>
                    </w:rPr>
                  </w:pPr>
                  <w:r>
                    <w:rPr>
                      <w:color w:val="auto"/>
                      <w:kern w:val="0"/>
                      <w:sz w:val="18"/>
                      <w:szCs w:val="18"/>
                    </w:rPr>
                    <w:t>11</w:t>
                  </w:r>
                  <w:r>
                    <w:rPr>
                      <w:rFonts w:hint="eastAsia"/>
                      <w:color w:val="auto"/>
                      <w:kern w:val="0"/>
                      <w:sz w:val="18"/>
                      <w:szCs w:val="18"/>
                    </w:rPr>
                    <w:t>1.2</w:t>
                  </w:r>
                </w:p>
              </w:tc>
              <w:tc>
                <w:tcPr>
                  <w:tcW w:w="364" w:type="pct"/>
                  <w:shd w:val="clear" w:color="auto" w:fill="auto"/>
                  <w:noWrap/>
                  <w:vAlign w:val="center"/>
                </w:tcPr>
                <w:p w14:paraId="42423BED">
                  <w:pPr>
                    <w:widowControl/>
                    <w:adjustRightInd w:val="0"/>
                    <w:snapToGrid w:val="0"/>
                    <w:jc w:val="center"/>
                    <w:rPr>
                      <w:color w:val="auto"/>
                      <w:kern w:val="0"/>
                      <w:sz w:val="18"/>
                      <w:szCs w:val="18"/>
                    </w:rPr>
                  </w:pPr>
                  <w:r>
                    <w:rPr>
                      <w:color w:val="auto"/>
                      <w:kern w:val="0"/>
                      <w:sz w:val="18"/>
                      <w:szCs w:val="18"/>
                    </w:rPr>
                    <w:t>150</w:t>
                  </w:r>
                </w:p>
              </w:tc>
              <w:tc>
                <w:tcPr>
                  <w:tcW w:w="378" w:type="pct"/>
                  <w:shd w:val="clear" w:color="auto" w:fill="auto"/>
                  <w:noWrap w:val="0"/>
                  <w:vAlign w:val="center"/>
                </w:tcPr>
                <w:p w14:paraId="06618A38">
                  <w:pPr>
                    <w:widowControl/>
                    <w:adjustRightInd w:val="0"/>
                    <w:snapToGrid w:val="0"/>
                    <w:jc w:val="center"/>
                    <w:rPr>
                      <w:color w:val="auto"/>
                      <w:kern w:val="0"/>
                      <w:sz w:val="18"/>
                      <w:szCs w:val="18"/>
                    </w:rPr>
                  </w:pPr>
                  <w:r>
                    <w:rPr>
                      <w:rFonts w:hint="eastAsia"/>
                      <w:color w:val="auto"/>
                      <w:kern w:val="0"/>
                      <w:sz w:val="18"/>
                      <w:szCs w:val="18"/>
                    </w:rPr>
                    <w:t>120</w:t>
                  </w:r>
                </w:p>
              </w:tc>
              <w:tc>
                <w:tcPr>
                  <w:tcW w:w="400" w:type="pct"/>
                  <w:shd w:val="clear" w:color="auto" w:fill="auto"/>
                  <w:noWrap/>
                  <w:vAlign w:val="center"/>
                </w:tcPr>
                <w:p w14:paraId="51FE9075">
                  <w:pPr>
                    <w:widowControl/>
                    <w:adjustRightInd w:val="0"/>
                    <w:snapToGrid w:val="0"/>
                    <w:jc w:val="center"/>
                    <w:rPr>
                      <w:rFonts w:hint="eastAsia"/>
                      <w:color w:val="auto"/>
                      <w:kern w:val="0"/>
                      <w:sz w:val="18"/>
                      <w:szCs w:val="18"/>
                    </w:rPr>
                  </w:pPr>
                  <w:r>
                    <w:rPr>
                      <w:rFonts w:hint="eastAsia"/>
                      <w:color w:val="auto"/>
                      <w:kern w:val="0"/>
                      <w:sz w:val="18"/>
                      <w:szCs w:val="18"/>
                    </w:rPr>
                    <w:t>74.1</w:t>
                  </w:r>
                </w:p>
              </w:tc>
              <w:tc>
                <w:tcPr>
                  <w:tcW w:w="414" w:type="pct"/>
                  <w:shd w:val="clear" w:color="auto" w:fill="auto"/>
                  <w:noWrap w:val="0"/>
                  <w:vAlign w:val="center"/>
                </w:tcPr>
                <w:p w14:paraId="2DCC41A0">
                  <w:pPr>
                    <w:jc w:val="center"/>
                    <w:rPr>
                      <w:color w:val="auto"/>
                      <w:sz w:val="18"/>
                      <w:szCs w:val="18"/>
                    </w:rPr>
                  </w:pPr>
                  <w:r>
                    <w:rPr>
                      <w:color w:val="auto"/>
                      <w:sz w:val="18"/>
                      <w:szCs w:val="18"/>
                    </w:rPr>
                    <w:t>92.7</w:t>
                  </w:r>
                </w:p>
              </w:tc>
              <w:tc>
                <w:tcPr>
                  <w:tcW w:w="471" w:type="pct"/>
                  <w:shd w:val="clear" w:color="auto" w:fill="auto"/>
                  <w:noWrap w:val="0"/>
                  <w:vAlign w:val="center"/>
                </w:tcPr>
                <w:p w14:paraId="1A5525CC">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37D95DF8">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2F5CA40F">
                  <w:pPr>
                    <w:widowControl/>
                    <w:adjustRightInd w:val="0"/>
                    <w:snapToGrid w:val="0"/>
                    <w:jc w:val="center"/>
                    <w:rPr>
                      <w:color w:val="auto"/>
                      <w:kern w:val="0"/>
                      <w:sz w:val="18"/>
                      <w:szCs w:val="18"/>
                    </w:rPr>
                  </w:pPr>
                  <w:r>
                    <w:rPr>
                      <w:color w:val="auto"/>
                      <w:kern w:val="0"/>
                      <w:sz w:val="18"/>
                      <w:szCs w:val="18"/>
                    </w:rPr>
                    <w:t>/</w:t>
                  </w:r>
                </w:p>
              </w:tc>
            </w:tr>
            <w:tr w14:paraId="5ADD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restart"/>
                  <w:shd w:val="clear" w:color="auto" w:fill="auto"/>
                  <w:noWrap/>
                  <w:vAlign w:val="center"/>
                </w:tcPr>
                <w:p w14:paraId="2B27C045">
                  <w:pPr>
                    <w:widowControl/>
                    <w:adjustRightInd w:val="0"/>
                    <w:snapToGrid w:val="0"/>
                    <w:jc w:val="center"/>
                    <w:rPr>
                      <w:color w:val="auto"/>
                      <w:kern w:val="0"/>
                      <w:sz w:val="18"/>
                      <w:szCs w:val="18"/>
                    </w:rPr>
                  </w:pPr>
                  <w:r>
                    <w:rPr>
                      <w:color w:val="auto"/>
                      <w:kern w:val="0"/>
                      <w:sz w:val="18"/>
                      <w:szCs w:val="18"/>
                    </w:rPr>
                    <w:t>PM</w:t>
                  </w:r>
                  <w:r>
                    <w:rPr>
                      <w:color w:val="auto"/>
                      <w:kern w:val="0"/>
                      <w:sz w:val="18"/>
                      <w:szCs w:val="18"/>
                      <w:vertAlign w:val="subscript"/>
                    </w:rPr>
                    <w:t>2.5</w:t>
                  </w:r>
                </w:p>
              </w:tc>
              <w:tc>
                <w:tcPr>
                  <w:tcW w:w="793" w:type="pct"/>
                  <w:shd w:val="clear" w:color="auto" w:fill="auto"/>
                  <w:noWrap/>
                  <w:vAlign w:val="center"/>
                </w:tcPr>
                <w:p w14:paraId="71B5F3A7">
                  <w:pPr>
                    <w:widowControl/>
                    <w:adjustRightInd w:val="0"/>
                    <w:snapToGrid w:val="0"/>
                    <w:jc w:val="center"/>
                    <w:rPr>
                      <w:color w:val="auto"/>
                      <w:kern w:val="0"/>
                      <w:sz w:val="18"/>
                      <w:szCs w:val="18"/>
                    </w:rPr>
                  </w:pPr>
                  <w:r>
                    <w:rPr>
                      <w:color w:val="auto"/>
                      <w:kern w:val="0"/>
                      <w:sz w:val="18"/>
                      <w:szCs w:val="18"/>
                    </w:rPr>
                    <w:t>年平均质量</w:t>
                  </w:r>
                </w:p>
                <w:p w14:paraId="331CC2A1">
                  <w:pPr>
                    <w:widowControl/>
                    <w:adjustRightInd w:val="0"/>
                    <w:snapToGrid w:val="0"/>
                    <w:jc w:val="center"/>
                    <w:rPr>
                      <w:color w:val="auto"/>
                      <w:kern w:val="0"/>
                      <w:sz w:val="18"/>
                      <w:szCs w:val="18"/>
                    </w:rPr>
                  </w:pPr>
                  <w:r>
                    <w:rPr>
                      <w:color w:val="auto"/>
                      <w:kern w:val="0"/>
                      <w:sz w:val="18"/>
                      <w:szCs w:val="18"/>
                    </w:rPr>
                    <w:t>浓度</w:t>
                  </w:r>
                </w:p>
              </w:tc>
              <w:tc>
                <w:tcPr>
                  <w:tcW w:w="414" w:type="pct"/>
                  <w:vMerge w:val="continue"/>
                  <w:shd w:val="clear" w:color="auto" w:fill="auto"/>
                  <w:noWrap w:val="0"/>
                  <w:vAlign w:val="center"/>
                </w:tcPr>
                <w:p w14:paraId="32142A6F">
                  <w:pPr>
                    <w:widowControl/>
                    <w:adjustRightInd w:val="0"/>
                    <w:snapToGrid w:val="0"/>
                    <w:jc w:val="center"/>
                    <w:rPr>
                      <w:color w:val="auto"/>
                      <w:kern w:val="0"/>
                      <w:sz w:val="18"/>
                      <w:szCs w:val="18"/>
                    </w:rPr>
                  </w:pPr>
                </w:p>
              </w:tc>
              <w:tc>
                <w:tcPr>
                  <w:tcW w:w="421" w:type="pct"/>
                  <w:shd w:val="clear" w:color="auto" w:fill="auto"/>
                  <w:noWrap/>
                  <w:vAlign w:val="center"/>
                </w:tcPr>
                <w:p w14:paraId="4538592B">
                  <w:pPr>
                    <w:widowControl/>
                    <w:adjustRightInd w:val="0"/>
                    <w:snapToGrid w:val="0"/>
                    <w:jc w:val="center"/>
                    <w:rPr>
                      <w:color w:val="auto"/>
                      <w:kern w:val="0"/>
                      <w:sz w:val="18"/>
                      <w:szCs w:val="18"/>
                    </w:rPr>
                  </w:pPr>
                  <w:r>
                    <w:rPr>
                      <w:color w:val="auto"/>
                      <w:kern w:val="0"/>
                      <w:sz w:val="18"/>
                      <w:szCs w:val="18"/>
                    </w:rPr>
                    <w:t>3</w:t>
                  </w:r>
                  <w:r>
                    <w:rPr>
                      <w:rFonts w:hint="eastAsia"/>
                      <w:color w:val="auto"/>
                      <w:kern w:val="0"/>
                      <w:sz w:val="18"/>
                      <w:szCs w:val="18"/>
                    </w:rPr>
                    <w:t>1.4</w:t>
                  </w:r>
                </w:p>
              </w:tc>
              <w:tc>
                <w:tcPr>
                  <w:tcW w:w="364" w:type="pct"/>
                  <w:shd w:val="clear" w:color="auto" w:fill="auto"/>
                  <w:noWrap/>
                  <w:vAlign w:val="center"/>
                </w:tcPr>
                <w:p w14:paraId="1CCFCAA3">
                  <w:pPr>
                    <w:widowControl/>
                    <w:adjustRightInd w:val="0"/>
                    <w:snapToGrid w:val="0"/>
                    <w:jc w:val="center"/>
                    <w:rPr>
                      <w:color w:val="auto"/>
                      <w:kern w:val="0"/>
                      <w:sz w:val="18"/>
                      <w:szCs w:val="18"/>
                    </w:rPr>
                  </w:pPr>
                  <w:r>
                    <w:rPr>
                      <w:color w:val="auto"/>
                      <w:kern w:val="0"/>
                      <w:sz w:val="18"/>
                      <w:szCs w:val="18"/>
                    </w:rPr>
                    <w:t>35</w:t>
                  </w:r>
                </w:p>
              </w:tc>
              <w:tc>
                <w:tcPr>
                  <w:tcW w:w="378" w:type="pct"/>
                  <w:shd w:val="clear" w:color="auto" w:fill="auto"/>
                  <w:noWrap w:val="0"/>
                  <w:vAlign w:val="center"/>
                </w:tcPr>
                <w:p w14:paraId="50894D84">
                  <w:pPr>
                    <w:widowControl/>
                    <w:adjustRightInd w:val="0"/>
                    <w:snapToGrid w:val="0"/>
                    <w:jc w:val="center"/>
                    <w:rPr>
                      <w:color w:val="auto"/>
                      <w:kern w:val="0"/>
                      <w:sz w:val="18"/>
                      <w:szCs w:val="18"/>
                    </w:rPr>
                  </w:pPr>
                  <w:r>
                    <w:rPr>
                      <w:rFonts w:hint="eastAsia"/>
                      <w:color w:val="auto"/>
                      <w:kern w:val="0"/>
                      <w:sz w:val="18"/>
                      <w:szCs w:val="18"/>
                    </w:rPr>
                    <w:t>30</w:t>
                  </w:r>
                </w:p>
              </w:tc>
              <w:tc>
                <w:tcPr>
                  <w:tcW w:w="400" w:type="pct"/>
                  <w:shd w:val="clear" w:color="auto" w:fill="auto"/>
                  <w:noWrap/>
                  <w:vAlign w:val="center"/>
                </w:tcPr>
                <w:p w14:paraId="6304C0E3">
                  <w:pPr>
                    <w:widowControl/>
                    <w:adjustRightInd w:val="0"/>
                    <w:snapToGrid w:val="0"/>
                    <w:jc w:val="center"/>
                    <w:rPr>
                      <w:rFonts w:hint="eastAsia"/>
                      <w:color w:val="auto"/>
                      <w:kern w:val="0"/>
                      <w:sz w:val="18"/>
                      <w:szCs w:val="18"/>
                    </w:rPr>
                  </w:pPr>
                  <w:r>
                    <w:rPr>
                      <w:rFonts w:hint="eastAsia"/>
                      <w:color w:val="auto"/>
                      <w:kern w:val="0"/>
                      <w:sz w:val="18"/>
                      <w:szCs w:val="18"/>
                    </w:rPr>
                    <w:t>89.7</w:t>
                  </w:r>
                </w:p>
              </w:tc>
              <w:tc>
                <w:tcPr>
                  <w:tcW w:w="414" w:type="pct"/>
                  <w:shd w:val="clear" w:color="auto" w:fill="auto"/>
                  <w:noWrap w:val="0"/>
                  <w:vAlign w:val="center"/>
                </w:tcPr>
                <w:p w14:paraId="6CAB07AD">
                  <w:pPr>
                    <w:jc w:val="center"/>
                    <w:rPr>
                      <w:color w:val="auto"/>
                      <w:sz w:val="18"/>
                      <w:szCs w:val="18"/>
                    </w:rPr>
                  </w:pPr>
                  <w:r>
                    <w:rPr>
                      <w:color w:val="auto"/>
                      <w:sz w:val="18"/>
                      <w:szCs w:val="18"/>
                    </w:rPr>
                    <w:t>104.7</w:t>
                  </w:r>
                </w:p>
              </w:tc>
              <w:tc>
                <w:tcPr>
                  <w:tcW w:w="471" w:type="pct"/>
                  <w:shd w:val="clear" w:color="auto" w:fill="auto"/>
                  <w:noWrap/>
                  <w:vAlign w:val="center"/>
                </w:tcPr>
                <w:p w14:paraId="184B8724">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3FBBB764">
                  <w:pPr>
                    <w:widowControl/>
                    <w:adjustRightInd w:val="0"/>
                    <w:snapToGrid w:val="0"/>
                    <w:jc w:val="center"/>
                    <w:rPr>
                      <w:color w:val="auto"/>
                      <w:kern w:val="0"/>
                      <w:sz w:val="18"/>
                      <w:szCs w:val="18"/>
                    </w:rPr>
                  </w:pPr>
                  <w:r>
                    <w:rPr>
                      <w:color w:val="auto"/>
                      <w:kern w:val="0"/>
                      <w:sz w:val="18"/>
                      <w:szCs w:val="18"/>
                    </w:rPr>
                    <w:t>不达标</w:t>
                  </w:r>
                </w:p>
              </w:tc>
              <w:tc>
                <w:tcPr>
                  <w:tcW w:w="415" w:type="pct"/>
                  <w:shd w:val="clear" w:color="auto" w:fill="auto"/>
                  <w:noWrap w:val="0"/>
                  <w:vAlign w:val="center"/>
                </w:tcPr>
                <w:p w14:paraId="33DDE1B5">
                  <w:pPr>
                    <w:widowControl/>
                    <w:adjustRightInd w:val="0"/>
                    <w:snapToGrid w:val="0"/>
                    <w:jc w:val="center"/>
                    <w:rPr>
                      <w:color w:val="auto"/>
                      <w:kern w:val="0"/>
                      <w:sz w:val="18"/>
                      <w:szCs w:val="18"/>
                    </w:rPr>
                  </w:pPr>
                  <w:r>
                    <w:rPr>
                      <w:rFonts w:hint="eastAsia"/>
                      <w:color w:val="auto"/>
                      <w:kern w:val="0"/>
                      <w:sz w:val="18"/>
                      <w:szCs w:val="18"/>
                    </w:rPr>
                    <w:t>0</w:t>
                  </w:r>
                  <w:r>
                    <w:rPr>
                      <w:color w:val="auto"/>
                      <w:kern w:val="0"/>
                      <w:sz w:val="18"/>
                      <w:szCs w:val="18"/>
                    </w:rPr>
                    <w:t>/</w:t>
                  </w:r>
                  <w:r>
                    <w:rPr>
                      <w:rFonts w:hint="eastAsia"/>
                      <w:color w:val="auto"/>
                      <w:kern w:val="0"/>
                      <w:sz w:val="18"/>
                      <w:szCs w:val="18"/>
                    </w:rPr>
                    <w:t>0.047</w:t>
                  </w:r>
                </w:p>
              </w:tc>
            </w:tr>
            <w:tr w14:paraId="0B06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vMerge w:val="continue"/>
                  <w:shd w:val="clear" w:color="auto" w:fill="auto"/>
                  <w:noWrap w:val="0"/>
                  <w:vAlign w:val="center"/>
                </w:tcPr>
                <w:p w14:paraId="197B82E7">
                  <w:pPr>
                    <w:widowControl/>
                    <w:adjustRightInd w:val="0"/>
                    <w:snapToGrid w:val="0"/>
                    <w:jc w:val="center"/>
                    <w:rPr>
                      <w:color w:val="auto"/>
                      <w:kern w:val="0"/>
                      <w:sz w:val="18"/>
                      <w:szCs w:val="18"/>
                    </w:rPr>
                  </w:pPr>
                </w:p>
              </w:tc>
              <w:tc>
                <w:tcPr>
                  <w:tcW w:w="793" w:type="pct"/>
                  <w:shd w:val="clear" w:color="auto" w:fill="auto"/>
                  <w:noWrap/>
                  <w:vAlign w:val="center"/>
                </w:tcPr>
                <w:p w14:paraId="68EC397F">
                  <w:pPr>
                    <w:widowControl/>
                    <w:adjustRightInd w:val="0"/>
                    <w:snapToGrid w:val="0"/>
                    <w:jc w:val="center"/>
                    <w:rPr>
                      <w:color w:val="auto"/>
                      <w:kern w:val="0"/>
                      <w:sz w:val="18"/>
                      <w:szCs w:val="18"/>
                    </w:rPr>
                  </w:pPr>
                  <w:r>
                    <w:rPr>
                      <w:color w:val="auto"/>
                      <w:kern w:val="0"/>
                      <w:sz w:val="18"/>
                      <w:szCs w:val="18"/>
                    </w:rPr>
                    <w:t>第95%百分</w:t>
                  </w:r>
                </w:p>
                <w:p w14:paraId="51A0D6ED">
                  <w:pPr>
                    <w:widowControl/>
                    <w:adjustRightInd w:val="0"/>
                    <w:snapToGrid w:val="0"/>
                    <w:jc w:val="center"/>
                    <w:rPr>
                      <w:color w:val="auto"/>
                      <w:kern w:val="0"/>
                      <w:sz w:val="18"/>
                      <w:szCs w:val="18"/>
                    </w:rPr>
                  </w:pPr>
                  <w:r>
                    <w:rPr>
                      <w:color w:val="auto"/>
                      <w:kern w:val="0"/>
                      <w:sz w:val="18"/>
                      <w:szCs w:val="18"/>
                    </w:rPr>
                    <w:t>位数日平均</w:t>
                  </w:r>
                </w:p>
              </w:tc>
              <w:tc>
                <w:tcPr>
                  <w:tcW w:w="414" w:type="pct"/>
                  <w:vMerge w:val="continue"/>
                  <w:shd w:val="clear" w:color="auto" w:fill="auto"/>
                  <w:noWrap w:val="0"/>
                  <w:vAlign w:val="center"/>
                </w:tcPr>
                <w:p w14:paraId="5287B14B">
                  <w:pPr>
                    <w:widowControl/>
                    <w:adjustRightInd w:val="0"/>
                    <w:snapToGrid w:val="0"/>
                    <w:jc w:val="center"/>
                    <w:rPr>
                      <w:color w:val="auto"/>
                      <w:kern w:val="0"/>
                      <w:sz w:val="18"/>
                      <w:szCs w:val="18"/>
                    </w:rPr>
                  </w:pPr>
                </w:p>
              </w:tc>
              <w:tc>
                <w:tcPr>
                  <w:tcW w:w="421" w:type="pct"/>
                  <w:shd w:val="clear" w:color="auto" w:fill="auto"/>
                  <w:noWrap/>
                  <w:vAlign w:val="center"/>
                </w:tcPr>
                <w:p w14:paraId="5AE240BF">
                  <w:pPr>
                    <w:widowControl/>
                    <w:adjustRightInd w:val="0"/>
                    <w:snapToGrid w:val="0"/>
                    <w:jc w:val="center"/>
                    <w:rPr>
                      <w:color w:val="auto"/>
                      <w:kern w:val="0"/>
                      <w:sz w:val="18"/>
                      <w:szCs w:val="18"/>
                    </w:rPr>
                  </w:pPr>
                  <w:r>
                    <w:rPr>
                      <w:rFonts w:hint="eastAsia"/>
                      <w:color w:val="auto"/>
                      <w:kern w:val="0"/>
                      <w:sz w:val="18"/>
                      <w:szCs w:val="18"/>
                    </w:rPr>
                    <w:t>80.2</w:t>
                  </w:r>
                </w:p>
              </w:tc>
              <w:tc>
                <w:tcPr>
                  <w:tcW w:w="364" w:type="pct"/>
                  <w:shd w:val="clear" w:color="auto" w:fill="auto"/>
                  <w:noWrap/>
                  <w:vAlign w:val="center"/>
                </w:tcPr>
                <w:p w14:paraId="66EFCC7E">
                  <w:pPr>
                    <w:widowControl/>
                    <w:adjustRightInd w:val="0"/>
                    <w:snapToGrid w:val="0"/>
                    <w:jc w:val="center"/>
                    <w:rPr>
                      <w:color w:val="auto"/>
                      <w:kern w:val="0"/>
                      <w:sz w:val="18"/>
                      <w:szCs w:val="18"/>
                    </w:rPr>
                  </w:pPr>
                  <w:r>
                    <w:rPr>
                      <w:color w:val="auto"/>
                      <w:kern w:val="0"/>
                      <w:sz w:val="18"/>
                      <w:szCs w:val="18"/>
                    </w:rPr>
                    <w:t>75</w:t>
                  </w:r>
                </w:p>
              </w:tc>
              <w:tc>
                <w:tcPr>
                  <w:tcW w:w="378" w:type="pct"/>
                  <w:shd w:val="clear" w:color="auto" w:fill="auto"/>
                  <w:noWrap w:val="0"/>
                  <w:vAlign w:val="center"/>
                </w:tcPr>
                <w:p w14:paraId="7A44A3BA">
                  <w:pPr>
                    <w:widowControl/>
                    <w:adjustRightInd w:val="0"/>
                    <w:snapToGrid w:val="0"/>
                    <w:jc w:val="center"/>
                    <w:rPr>
                      <w:color w:val="auto"/>
                      <w:kern w:val="0"/>
                      <w:sz w:val="18"/>
                      <w:szCs w:val="18"/>
                    </w:rPr>
                  </w:pPr>
                  <w:r>
                    <w:rPr>
                      <w:rFonts w:hint="eastAsia"/>
                      <w:color w:val="auto"/>
                      <w:kern w:val="0"/>
                      <w:sz w:val="18"/>
                      <w:szCs w:val="18"/>
                    </w:rPr>
                    <w:t>60</w:t>
                  </w:r>
                </w:p>
              </w:tc>
              <w:tc>
                <w:tcPr>
                  <w:tcW w:w="400" w:type="pct"/>
                  <w:shd w:val="clear" w:color="auto" w:fill="auto"/>
                  <w:noWrap/>
                  <w:vAlign w:val="center"/>
                </w:tcPr>
                <w:p w14:paraId="28A63E45">
                  <w:pPr>
                    <w:widowControl/>
                    <w:adjustRightInd w:val="0"/>
                    <w:snapToGrid w:val="0"/>
                    <w:jc w:val="center"/>
                    <w:rPr>
                      <w:rFonts w:hint="eastAsia"/>
                      <w:color w:val="auto"/>
                      <w:kern w:val="0"/>
                      <w:sz w:val="18"/>
                      <w:szCs w:val="18"/>
                    </w:rPr>
                  </w:pPr>
                  <w:r>
                    <w:rPr>
                      <w:rFonts w:hint="eastAsia"/>
                      <w:color w:val="auto"/>
                      <w:kern w:val="0"/>
                      <w:sz w:val="18"/>
                      <w:szCs w:val="18"/>
                    </w:rPr>
                    <w:t>106.9</w:t>
                  </w:r>
                </w:p>
              </w:tc>
              <w:tc>
                <w:tcPr>
                  <w:tcW w:w="414" w:type="pct"/>
                  <w:shd w:val="clear" w:color="auto" w:fill="auto"/>
                  <w:noWrap w:val="0"/>
                  <w:vAlign w:val="center"/>
                </w:tcPr>
                <w:p w14:paraId="103DBC85">
                  <w:pPr>
                    <w:jc w:val="center"/>
                    <w:rPr>
                      <w:color w:val="auto"/>
                      <w:sz w:val="18"/>
                      <w:szCs w:val="18"/>
                    </w:rPr>
                  </w:pPr>
                  <w:r>
                    <w:rPr>
                      <w:color w:val="auto"/>
                      <w:sz w:val="18"/>
                      <w:szCs w:val="18"/>
                    </w:rPr>
                    <w:t>133.7</w:t>
                  </w:r>
                </w:p>
              </w:tc>
              <w:tc>
                <w:tcPr>
                  <w:tcW w:w="471" w:type="pct"/>
                  <w:shd w:val="clear" w:color="auto" w:fill="auto"/>
                  <w:noWrap w:val="0"/>
                  <w:vAlign w:val="center"/>
                </w:tcPr>
                <w:p w14:paraId="39623982">
                  <w:pPr>
                    <w:widowControl/>
                    <w:adjustRightInd w:val="0"/>
                    <w:snapToGrid w:val="0"/>
                    <w:jc w:val="center"/>
                    <w:rPr>
                      <w:color w:val="auto"/>
                      <w:kern w:val="0"/>
                      <w:sz w:val="18"/>
                      <w:szCs w:val="18"/>
                    </w:rPr>
                  </w:pPr>
                  <w:r>
                    <w:rPr>
                      <w:color w:val="auto"/>
                      <w:kern w:val="0"/>
                      <w:sz w:val="18"/>
                      <w:szCs w:val="18"/>
                    </w:rPr>
                    <w:t>不达标</w:t>
                  </w:r>
                </w:p>
              </w:tc>
              <w:tc>
                <w:tcPr>
                  <w:tcW w:w="534" w:type="pct"/>
                  <w:shd w:val="clear" w:color="auto" w:fill="auto"/>
                  <w:noWrap w:val="0"/>
                  <w:vAlign w:val="center"/>
                </w:tcPr>
                <w:p w14:paraId="763DC26F">
                  <w:pPr>
                    <w:widowControl/>
                    <w:adjustRightInd w:val="0"/>
                    <w:snapToGrid w:val="0"/>
                    <w:jc w:val="center"/>
                    <w:rPr>
                      <w:color w:val="auto"/>
                      <w:kern w:val="0"/>
                      <w:sz w:val="18"/>
                      <w:szCs w:val="18"/>
                    </w:rPr>
                  </w:pPr>
                  <w:r>
                    <w:rPr>
                      <w:color w:val="auto"/>
                      <w:kern w:val="0"/>
                      <w:sz w:val="18"/>
                      <w:szCs w:val="18"/>
                    </w:rPr>
                    <w:t>不达标</w:t>
                  </w:r>
                </w:p>
              </w:tc>
              <w:tc>
                <w:tcPr>
                  <w:tcW w:w="415" w:type="pct"/>
                  <w:shd w:val="clear" w:color="auto" w:fill="auto"/>
                  <w:noWrap w:val="0"/>
                  <w:vAlign w:val="center"/>
                </w:tcPr>
                <w:p w14:paraId="18D570A5">
                  <w:pPr>
                    <w:widowControl/>
                    <w:adjustRightInd w:val="0"/>
                    <w:snapToGrid w:val="0"/>
                    <w:jc w:val="center"/>
                    <w:rPr>
                      <w:color w:val="auto"/>
                      <w:kern w:val="0"/>
                      <w:sz w:val="18"/>
                      <w:szCs w:val="18"/>
                    </w:rPr>
                  </w:pPr>
                  <w:r>
                    <w:rPr>
                      <w:rFonts w:hint="eastAsia"/>
                      <w:color w:val="auto"/>
                      <w:kern w:val="0"/>
                      <w:sz w:val="18"/>
                      <w:szCs w:val="18"/>
                    </w:rPr>
                    <w:t>0.069/0.337</w:t>
                  </w:r>
                </w:p>
              </w:tc>
            </w:tr>
            <w:tr w14:paraId="36B9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shd w:val="clear" w:color="auto" w:fill="auto"/>
                  <w:noWrap/>
                  <w:vAlign w:val="center"/>
                </w:tcPr>
                <w:p w14:paraId="05B83BBF">
                  <w:pPr>
                    <w:widowControl/>
                    <w:adjustRightInd w:val="0"/>
                    <w:snapToGrid w:val="0"/>
                    <w:jc w:val="center"/>
                    <w:rPr>
                      <w:color w:val="auto"/>
                      <w:kern w:val="0"/>
                      <w:sz w:val="18"/>
                      <w:szCs w:val="18"/>
                    </w:rPr>
                  </w:pPr>
                  <w:r>
                    <w:rPr>
                      <w:color w:val="auto"/>
                      <w:kern w:val="0"/>
                      <w:sz w:val="18"/>
                      <w:szCs w:val="18"/>
                    </w:rPr>
                    <w:t>CO</w:t>
                  </w:r>
                </w:p>
              </w:tc>
              <w:tc>
                <w:tcPr>
                  <w:tcW w:w="793" w:type="pct"/>
                  <w:shd w:val="clear" w:color="auto" w:fill="auto"/>
                  <w:noWrap/>
                  <w:vAlign w:val="center"/>
                </w:tcPr>
                <w:p w14:paraId="2849EA24">
                  <w:pPr>
                    <w:widowControl/>
                    <w:adjustRightInd w:val="0"/>
                    <w:snapToGrid w:val="0"/>
                    <w:jc w:val="center"/>
                    <w:rPr>
                      <w:color w:val="auto"/>
                      <w:kern w:val="0"/>
                      <w:sz w:val="18"/>
                      <w:szCs w:val="18"/>
                    </w:rPr>
                  </w:pPr>
                  <w:r>
                    <w:rPr>
                      <w:color w:val="auto"/>
                      <w:kern w:val="0"/>
                      <w:sz w:val="18"/>
                      <w:szCs w:val="18"/>
                    </w:rPr>
                    <w:t>第95%百分</w:t>
                  </w:r>
                </w:p>
                <w:p w14:paraId="4CC6A825">
                  <w:pPr>
                    <w:widowControl/>
                    <w:adjustRightInd w:val="0"/>
                    <w:snapToGrid w:val="0"/>
                    <w:jc w:val="center"/>
                    <w:rPr>
                      <w:color w:val="auto"/>
                      <w:kern w:val="0"/>
                      <w:sz w:val="18"/>
                      <w:szCs w:val="18"/>
                    </w:rPr>
                  </w:pPr>
                  <w:r>
                    <w:rPr>
                      <w:color w:val="auto"/>
                      <w:kern w:val="0"/>
                      <w:sz w:val="18"/>
                      <w:szCs w:val="18"/>
                    </w:rPr>
                    <w:t>位数日平均</w:t>
                  </w:r>
                </w:p>
              </w:tc>
              <w:tc>
                <w:tcPr>
                  <w:tcW w:w="414" w:type="pct"/>
                  <w:shd w:val="clear" w:color="auto" w:fill="auto"/>
                  <w:noWrap/>
                  <w:vAlign w:val="center"/>
                </w:tcPr>
                <w:p w14:paraId="6237F69E">
                  <w:pPr>
                    <w:widowControl/>
                    <w:adjustRightInd w:val="0"/>
                    <w:snapToGrid w:val="0"/>
                    <w:jc w:val="center"/>
                    <w:rPr>
                      <w:color w:val="auto"/>
                      <w:kern w:val="0"/>
                      <w:sz w:val="18"/>
                      <w:szCs w:val="18"/>
                    </w:rPr>
                  </w:pPr>
                  <w:r>
                    <w:rPr>
                      <w:color w:val="auto"/>
                      <w:kern w:val="0"/>
                      <w:sz w:val="18"/>
                      <w:szCs w:val="18"/>
                    </w:rPr>
                    <w:t>mg/m</w:t>
                  </w:r>
                  <w:r>
                    <w:rPr>
                      <w:color w:val="auto"/>
                      <w:kern w:val="0"/>
                      <w:sz w:val="18"/>
                      <w:szCs w:val="18"/>
                      <w:vertAlign w:val="superscript"/>
                    </w:rPr>
                    <w:t>3</w:t>
                  </w:r>
                </w:p>
              </w:tc>
              <w:tc>
                <w:tcPr>
                  <w:tcW w:w="421" w:type="pct"/>
                  <w:shd w:val="clear" w:color="auto" w:fill="auto"/>
                  <w:noWrap/>
                  <w:vAlign w:val="center"/>
                </w:tcPr>
                <w:p w14:paraId="140D7C66">
                  <w:pPr>
                    <w:widowControl/>
                    <w:adjustRightInd w:val="0"/>
                    <w:snapToGrid w:val="0"/>
                    <w:jc w:val="center"/>
                    <w:rPr>
                      <w:color w:val="auto"/>
                      <w:kern w:val="0"/>
                      <w:sz w:val="18"/>
                      <w:szCs w:val="18"/>
                    </w:rPr>
                  </w:pPr>
                  <w:r>
                    <w:rPr>
                      <w:color w:val="auto"/>
                      <w:kern w:val="0"/>
                      <w:sz w:val="18"/>
                      <w:szCs w:val="18"/>
                    </w:rPr>
                    <w:t>0.</w:t>
                  </w:r>
                  <w:r>
                    <w:rPr>
                      <w:rFonts w:hint="eastAsia"/>
                      <w:color w:val="auto"/>
                      <w:kern w:val="0"/>
                      <w:sz w:val="18"/>
                      <w:szCs w:val="18"/>
                    </w:rPr>
                    <w:t>9</w:t>
                  </w:r>
                </w:p>
              </w:tc>
              <w:tc>
                <w:tcPr>
                  <w:tcW w:w="364" w:type="pct"/>
                  <w:shd w:val="clear" w:color="auto" w:fill="auto"/>
                  <w:noWrap/>
                  <w:vAlign w:val="center"/>
                </w:tcPr>
                <w:p w14:paraId="6D510B1A">
                  <w:pPr>
                    <w:widowControl/>
                    <w:adjustRightInd w:val="0"/>
                    <w:snapToGrid w:val="0"/>
                    <w:jc w:val="center"/>
                    <w:rPr>
                      <w:color w:val="auto"/>
                      <w:kern w:val="0"/>
                      <w:sz w:val="18"/>
                      <w:szCs w:val="18"/>
                    </w:rPr>
                  </w:pPr>
                  <w:r>
                    <w:rPr>
                      <w:color w:val="auto"/>
                      <w:kern w:val="0"/>
                      <w:sz w:val="18"/>
                      <w:szCs w:val="18"/>
                    </w:rPr>
                    <w:t>4</w:t>
                  </w:r>
                </w:p>
              </w:tc>
              <w:tc>
                <w:tcPr>
                  <w:tcW w:w="378" w:type="pct"/>
                  <w:shd w:val="clear" w:color="auto" w:fill="auto"/>
                  <w:noWrap w:val="0"/>
                  <w:vAlign w:val="center"/>
                </w:tcPr>
                <w:p w14:paraId="13314E73">
                  <w:pPr>
                    <w:widowControl/>
                    <w:adjustRightInd w:val="0"/>
                    <w:snapToGrid w:val="0"/>
                    <w:jc w:val="center"/>
                    <w:rPr>
                      <w:color w:val="auto"/>
                      <w:kern w:val="0"/>
                      <w:sz w:val="18"/>
                      <w:szCs w:val="18"/>
                    </w:rPr>
                  </w:pPr>
                  <w:r>
                    <w:rPr>
                      <w:rFonts w:hint="eastAsia"/>
                      <w:color w:val="auto"/>
                      <w:kern w:val="0"/>
                      <w:sz w:val="18"/>
                      <w:szCs w:val="18"/>
                    </w:rPr>
                    <w:t>4</w:t>
                  </w:r>
                </w:p>
              </w:tc>
              <w:tc>
                <w:tcPr>
                  <w:tcW w:w="400" w:type="pct"/>
                  <w:shd w:val="clear" w:color="auto" w:fill="auto"/>
                  <w:noWrap/>
                  <w:vAlign w:val="center"/>
                </w:tcPr>
                <w:p w14:paraId="0444B6AC">
                  <w:pPr>
                    <w:widowControl/>
                    <w:adjustRightInd w:val="0"/>
                    <w:snapToGrid w:val="0"/>
                    <w:jc w:val="center"/>
                    <w:rPr>
                      <w:rFonts w:hint="eastAsia"/>
                      <w:color w:val="auto"/>
                      <w:kern w:val="0"/>
                      <w:sz w:val="18"/>
                      <w:szCs w:val="18"/>
                    </w:rPr>
                  </w:pPr>
                  <w:r>
                    <w:rPr>
                      <w:rFonts w:hint="eastAsia"/>
                      <w:color w:val="auto"/>
                      <w:kern w:val="0"/>
                      <w:sz w:val="18"/>
                      <w:szCs w:val="18"/>
                    </w:rPr>
                    <w:t>22.5</w:t>
                  </w:r>
                </w:p>
              </w:tc>
              <w:tc>
                <w:tcPr>
                  <w:tcW w:w="414" w:type="pct"/>
                  <w:shd w:val="clear" w:color="auto" w:fill="auto"/>
                  <w:noWrap w:val="0"/>
                  <w:vAlign w:val="center"/>
                </w:tcPr>
                <w:p w14:paraId="2BF6C2B3">
                  <w:pPr>
                    <w:jc w:val="center"/>
                    <w:rPr>
                      <w:color w:val="auto"/>
                      <w:sz w:val="18"/>
                      <w:szCs w:val="18"/>
                    </w:rPr>
                  </w:pPr>
                  <w:r>
                    <w:rPr>
                      <w:color w:val="auto"/>
                      <w:sz w:val="18"/>
                      <w:szCs w:val="18"/>
                    </w:rPr>
                    <w:t>22.5</w:t>
                  </w:r>
                </w:p>
              </w:tc>
              <w:tc>
                <w:tcPr>
                  <w:tcW w:w="471" w:type="pct"/>
                  <w:shd w:val="clear" w:color="auto" w:fill="auto"/>
                  <w:noWrap/>
                  <w:vAlign w:val="center"/>
                </w:tcPr>
                <w:p w14:paraId="2347FF0C">
                  <w:pPr>
                    <w:widowControl/>
                    <w:adjustRightInd w:val="0"/>
                    <w:snapToGrid w:val="0"/>
                    <w:jc w:val="center"/>
                    <w:rPr>
                      <w:color w:val="auto"/>
                      <w:kern w:val="0"/>
                      <w:sz w:val="18"/>
                      <w:szCs w:val="18"/>
                    </w:rPr>
                  </w:pPr>
                  <w:r>
                    <w:rPr>
                      <w:color w:val="auto"/>
                      <w:kern w:val="0"/>
                      <w:sz w:val="18"/>
                      <w:szCs w:val="18"/>
                    </w:rPr>
                    <w:t>达标</w:t>
                  </w:r>
                </w:p>
              </w:tc>
              <w:tc>
                <w:tcPr>
                  <w:tcW w:w="534" w:type="pct"/>
                  <w:shd w:val="clear" w:color="auto" w:fill="auto"/>
                  <w:noWrap w:val="0"/>
                  <w:vAlign w:val="center"/>
                </w:tcPr>
                <w:p w14:paraId="5087CA42">
                  <w:pPr>
                    <w:widowControl/>
                    <w:adjustRightInd w:val="0"/>
                    <w:snapToGrid w:val="0"/>
                    <w:jc w:val="center"/>
                    <w:rPr>
                      <w:color w:val="auto"/>
                      <w:kern w:val="0"/>
                      <w:sz w:val="18"/>
                      <w:szCs w:val="18"/>
                    </w:rPr>
                  </w:pPr>
                  <w:r>
                    <w:rPr>
                      <w:color w:val="auto"/>
                      <w:kern w:val="0"/>
                      <w:sz w:val="18"/>
                      <w:szCs w:val="18"/>
                    </w:rPr>
                    <w:t>达标</w:t>
                  </w:r>
                </w:p>
              </w:tc>
              <w:tc>
                <w:tcPr>
                  <w:tcW w:w="415" w:type="pct"/>
                  <w:shd w:val="clear" w:color="auto" w:fill="auto"/>
                  <w:noWrap w:val="0"/>
                  <w:vAlign w:val="center"/>
                </w:tcPr>
                <w:p w14:paraId="1151A3BA">
                  <w:pPr>
                    <w:widowControl/>
                    <w:adjustRightInd w:val="0"/>
                    <w:snapToGrid w:val="0"/>
                    <w:jc w:val="center"/>
                    <w:rPr>
                      <w:color w:val="auto"/>
                      <w:kern w:val="0"/>
                      <w:sz w:val="18"/>
                      <w:szCs w:val="18"/>
                    </w:rPr>
                  </w:pPr>
                  <w:r>
                    <w:rPr>
                      <w:color w:val="auto"/>
                      <w:kern w:val="0"/>
                      <w:sz w:val="18"/>
                      <w:szCs w:val="18"/>
                    </w:rPr>
                    <w:t>/</w:t>
                  </w:r>
                </w:p>
              </w:tc>
            </w:tr>
            <w:tr w14:paraId="1A03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89" w:type="pct"/>
                  <w:shd w:val="clear" w:color="auto" w:fill="auto"/>
                  <w:noWrap/>
                  <w:vAlign w:val="center"/>
                </w:tcPr>
                <w:p w14:paraId="3E8FE2ED">
                  <w:pPr>
                    <w:widowControl/>
                    <w:adjustRightInd w:val="0"/>
                    <w:snapToGrid w:val="0"/>
                    <w:jc w:val="center"/>
                    <w:rPr>
                      <w:color w:val="auto"/>
                      <w:kern w:val="0"/>
                      <w:sz w:val="18"/>
                      <w:szCs w:val="18"/>
                    </w:rPr>
                  </w:pPr>
                  <w:r>
                    <w:rPr>
                      <w:color w:val="auto"/>
                      <w:kern w:val="0"/>
                      <w:sz w:val="18"/>
                      <w:szCs w:val="18"/>
                    </w:rPr>
                    <w:t>O</w:t>
                  </w:r>
                  <w:r>
                    <w:rPr>
                      <w:color w:val="auto"/>
                      <w:kern w:val="0"/>
                      <w:sz w:val="18"/>
                      <w:szCs w:val="18"/>
                      <w:vertAlign w:val="subscript"/>
                    </w:rPr>
                    <w:t>3</w:t>
                  </w:r>
                </w:p>
              </w:tc>
              <w:tc>
                <w:tcPr>
                  <w:tcW w:w="793" w:type="pct"/>
                  <w:shd w:val="clear" w:color="auto" w:fill="auto"/>
                  <w:noWrap/>
                  <w:vAlign w:val="center"/>
                </w:tcPr>
                <w:p w14:paraId="3B59C029">
                  <w:pPr>
                    <w:widowControl/>
                    <w:adjustRightInd w:val="0"/>
                    <w:snapToGrid w:val="0"/>
                    <w:jc w:val="center"/>
                    <w:rPr>
                      <w:color w:val="auto"/>
                      <w:kern w:val="0"/>
                      <w:sz w:val="18"/>
                      <w:szCs w:val="18"/>
                    </w:rPr>
                  </w:pPr>
                  <w:r>
                    <w:rPr>
                      <w:color w:val="auto"/>
                      <w:kern w:val="0"/>
                      <w:sz w:val="18"/>
                      <w:szCs w:val="18"/>
                    </w:rPr>
                    <w:t>第90%百分</w:t>
                  </w:r>
                </w:p>
                <w:p w14:paraId="6A0E0106">
                  <w:pPr>
                    <w:widowControl/>
                    <w:adjustRightInd w:val="0"/>
                    <w:snapToGrid w:val="0"/>
                    <w:jc w:val="center"/>
                    <w:rPr>
                      <w:color w:val="auto"/>
                      <w:kern w:val="0"/>
                      <w:sz w:val="18"/>
                      <w:szCs w:val="18"/>
                    </w:rPr>
                  </w:pPr>
                  <w:r>
                    <w:rPr>
                      <w:color w:val="auto"/>
                      <w:kern w:val="0"/>
                      <w:sz w:val="18"/>
                      <w:szCs w:val="18"/>
                    </w:rPr>
                    <w:t>位数8h</w:t>
                  </w:r>
                </w:p>
                <w:p w14:paraId="294AB706">
                  <w:pPr>
                    <w:widowControl/>
                    <w:adjustRightInd w:val="0"/>
                    <w:snapToGrid w:val="0"/>
                    <w:jc w:val="center"/>
                    <w:rPr>
                      <w:color w:val="auto"/>
                      <w:kern w:val="0"/>
                      <w:sz w:val="18"/>
                      <w:szCs w:val="18"/>
                    </w:rPr>
                  </w:pPr>
                  <w:r>
                    <w:rPr>
                      <w:color w:val="auto"/>
                      <w:kern w:val="0"/>
                      <w:sz w:val="18"/>
                      <w:szCs w:val="18"/>
                    </w:rPr>
                    <w:t>平均质量浓度</w:t>
                  </w:r>
                </w:p>
              </w:tc>
              <w:tc>
                <w:tcPr>
                  <w:tcW w:w="414" w:type="pct"/>
                  <w:shd w:val="clear" w:color="auto" w:fill="auto"/>
                  <w:noWrap/>
                  <w:vAlign w:val="center"/>
                </w:tcPr>
                <w:p w14:paraId="6885F4BE">
                  <w:pPr>
                    <w:widowControl/>
                    <w:adjustRightInd w:val="0"/>
                    <w:snapToGrid w:val="0"/>
                    <w:jc w:val="center"/>
                    <w:rPr>
                      <w:color w:val="auto"/>
                      <w:kern w:val="0"/>
                      <w:sz w:val="18"/>
                      <w:szCs w:val="18"/>
                    </w:rPr>
                  </w:pPr>
                  <w:r>
                    <w:rPr>
                      <w:color w:val="auto"/>
                      <w:kern w:val="0"/>
                      <w:sz w:val="18"/>
                      <w:szCs w:val="18"/>
                    </w:rPr>
                    <w:t>μg/m</w:t>
                  </w:r>
                  <w:r>
                    <w:rPr>
                      <w:color w:val="auto"/>
                      <w:kern w:val="0"/>
                      <w:sz w:val="18"/>
                      <w:szCs w:val="18"/>
                      <w:vertAlign w:val="superscript"/>
                    </w:rPr>
                    <w:t>3</w:t>
                  </w:r>
                </w:p>
              </w:tc>
              <w:tc>
                <w:tcPr>
                  <w:tcW w:w="421" w:type="pct"/>
                  <w:shd w:val="clear" w:color="auto" w:fill="auto"/>
                  <w:noWrap/>
                  <w:vAlign w:val="center"/>
                </w:tcPr>
                <w:p w14:paraId="27EDC82E">
                  <w:pPr>
                    <w:widowControl/>
                    <w:adjustRightInd w:val="0"/>
                    <w:snapToGrid w:val="0"/>
                    <w:jc w:val="center"/>
                    <w:rPr>
                      <w:color w:val="auto"/>
                      <w:kern w:val="0"/>
                      <w:sz w:val="18"/>
                      <w:szCs w:val="18"/>
                    </w:rPr>
                  </w:pPr>
                  <w:r>
                    <w:rPr>
                      <w:rFonts w:hint="eastAsia"/>
                      <w:color w:val="auto"/>
                      <w:kern w:val="0"/>
                      <w:sz w:val="18"/>
                      <w:szCs w:val="18"/>
                    </w:rPr>
                    <w:t>164</w:t>
                  </w:r>
                </w:p>
              </w:tc>
              <w:tc>
                <w:tcPr>
                  <w:tcW w:w="364" w:type="pct"/>
                  <w:shd w:val="clear" w:color="auto" w:fill="auto"/>
                  <w:noWrap/>
                  <w:vAlign w:val="center"/>
                </w:tcPr>
                <w:p w14:paraId="7417F5FE">
                  <w:pPr>
                    <w:adjustRightInd w:val="0"/>
                    <w:snapToGrid w:val="0"/>
                    <w:jc w:val="center"/>
                    <w:rPr>
                      <w:color w:val="auto"/>
                      <w:sz w:val="18"/>
                      <w:szCs w:val="18"/>
                    </w:rPr>
                  </w:pPr>
                  <w:r>
                    <w:rPr>
                      <w:color w:val="auto"/>
                      <w:sz w:val="18"/>
                      <w:szCs w:val="18"/>
                    </w:rPr>
                    <w:t>160</w:t>
                  </w:r>
                </w:p>
              </w:tc>
              <w:tc>
                <w:tcPr>
                  <w:tcW w:w="378" w:type="pct"/>
                  <w:shd w:val="clear" w:color="auto" w:fill="auto"/>
                  <w:noWrap w:val="0"/>
                  <w:vAlign w:val="center"/>
                </w:tcPr>
                <w:p w14:paraId="497F42B0">
                  <w:pPr>
                    <w:adjustRightInd w:val="0"/>
                    <w:snapToGrid w:val="0"/>
                    <w:jc w:val="center"/>
                    <w:rPr>
                      <w:color w:val="auto"/>
                      <w:sz w:val="18"/>
                      <w:szCs w:val="18"/>
                    </w:rPr>
                  </w:pPr>
                  <w:r>
                    <w:rPr>
                      <w:rFonts w:hint="eastAsia"/>
                      <w:color w:val="auto"/>
                      <w:sz w:val="18"/>
                      <w:szCs w:val="18"/>
                    </w:rPr>
                    <w:t>160</w:t>
                  </w:r>
                </w:p>
              </w:tc>
              <w:tc>
                <w:tcPr>
                  <w:tcW w:w="400" w:type="pct"/>
                  <w:shd w:val="clear" w:color="auto" w:fill="auto"/>
                  <w:noWrap/>
                  <w:vAlign w:val="center"/>
                </w:tcPr>
                <w:p w14:paraId="533336F7">
                  <w:pPr>
                    <w:widowControl/>
                    <w:adjustRightInd w:val="0"/>
                    <w:snapToGrid w:val="0"/>
                    <w:jc w:val="center"/>
                    <w:rPr>
                      <w:rFonts w:hint="eastAsia"/>
                      <w:color w:val="auto"/>
                      <w:kern w:val="0"/>
                      <w:sz w:val="18"/>
                      <w:szCs w:val="18"/>
                    </w:rPr>
                  </w:pPr>
                  <w:r>
                    <w:rPr>
                      <w:rFonts w:hint="eastAsia"/>
                      <w:color w:val="auto"/>
                      <w:kern w:val="0"/>
                      <w:sz w:val="18"/>
                      <w:szCs w:val="18"/>
                    </w:rPr>
                    <w:t>102.5</w:t>
                  </w:r>
                </w:p>
              </w:tc>
              <w:tc>
                <w:tcPr>
                  <w:tcW w:w="414" w:type="pct"/>
                  <w:shd w:val="clear" w:color="auto" w:fill="auto"/>
                  <w:noWrap w:val="0"/>
                  <w:vAlign w:val="center"/>
                </w:tcPr>
                <w:p w14:paraId="05E25752">
                  <w:pPr>
                    <w:jc w:val="center"/>
                    <w:rPr>
                      <w:color w:val="auto"/>
                      <w:sz w:val="18"/>
                      <w:szCs w:val="18"/>
                    </w:rPr>
                  </w:pPr>
                  <w:r>
                    <w:rPr>
                      <w:color w:val="auto"/>
                      <w:sz w:val="18"/>
                      <w:szCs w:val="18"/>
                    </w:rPr>
                    <w:t>102.5</w:t>
                  </w:r>
                </w:p>
              </w:tc>
              <w:tc>
                <w:tcPr>
                  <w:tcW w:w="471" w:type="pct"/>
                  <w:shd w:val="clear" w:color="auto" w:fill="auto"/>
                  <w:noWrap/>
                  <w:vAlign w:val="center"/>
                </w:tcPr>
                <w:p w14:paraId="0200A2D3">
                  <w:pPr>
                    <w:widowControl/>
                    <w:adjustRightInd w:val="0"/>
                    <w:snapToGrid w:val="0"/>
                    <w:jc w:val="center"/>
                    <w:rPr>
                      <w:color w:val="auto"/>
                      <w:kern w:val="0"/>
                      <w:sz w:val="18"/>
                      <w:szCs w:val="18"/>
                    </w:rPr>
                  </w:pPr>
                  <w:r>
                    <w:rPr>
                      <w:color w:val="auto"/>
                      <w:kern w:val="0"/>
                      <w:sz w:val="18"/>
                      <w:szCs w:val="18"/>
                    </w:rPr>
                    <w:t>不达标</w:t>
                  </w:r>
                </w:p>
              </w:tc>
              <w:tc>
                <w:tcPr>
                  <w:tcW w:w="534" w:type="pct"/>
                  <w:shd w:val="clear" w:color="auto" w:fill="auto"/>
                  <w:noWrap w:val="0"/>
                  <w:vAlign w:val="center"/>
                </w:tcPr>
                <w:p w14:paraId="5975D29E">
                  <w:pPr>
                    <w:widowControl/>
                    <w:adjustRightInd w:val="0"/>
                    <w:snapToGrid w:val="0"/>
                    <w:jc w:val="center"/>
                    <w:rPr>
                      <w:color w:val="auto"/>
                      <w:kern w:val="0"/>
                      <w:sz w:val="18"/>
                      <w:szCs w:val="18"/>
                    </w:rPr>
                  </w:pPr>
                  <w:r>
                    <w:rPr>
                      <w:color w:val="auto"/>
                      <w:kern w:val="0"/>
                      <w:sz w:val="18"/>
                      <w:szCs w:val="18"/>
                    </w:rPr>
                    <w:t>不达标</w:t>
                  </w:r>
                </w:p>
              </w:tc>
              <w:tc>
                <w:tcPr>
                  <w:tcW w:w="415" w:type="pct"/>
                  <w:shd w:val="clear" w:color="auto" w:fill="auto"/>
                  <w:noWrap w:val="0"/>
                  <w:vAlign w:val="center"/>
                </w:tcPr>
                <w:p w14:paraId="0A095480">
                  <w:pPr>
                    <w:widowControl/>
                    <w:adjustRightInd w:val="0"/>
                    <w:snapToGrid w:val="0"/>
                    <w:jc w:val="center"/>
                    <w:rPr>
                      <w:color w:val="auto"/>
                      <w:kern w:val="0"/>
                      <w:sz w:val="18"/>
                      <w:szCs w:val="18"/>
                    </w:rPr>
                  </w:pPr>
                  <w:r>
                    <w:rPr>
                      <w:rFonts w:hint="eastAsia"/>
                      <w:color w:val="auto"/>
                      <w:kern w:val="0"/>
                      <w:sz w:val="18"/>
                      <w:szCs w:val="18"/>
                    </w:rPr>
                    <w:t>0.025/0.025</w:t>
                  </w:r>
                </w:p>
              </w:tc>
            </w:tr>
            <w:bookmarkEnd w:id="6"/>
            <w:bookmarkEnd w:id="7"/>
            <w:bookmarkEnd w:id="8"/>
          </w:tbl>
          <w:p w14:paraId="7A225AF8">
            <w:pPr>
              <w:keepLines/>
              <w:widowControl/>
              <w:spacing w:line="360" w:lineRule="auto"/>
              <w:ind w:firstLine="420" w:firstLineChars="199"/>
              <w:jc w:val="center"/>
              <w:rPr>
                <w:rFonts w:hint="eastAsia"/>
                <w:b/>
                <w:bCs/>
                <w:color w:val="auto"/>
                <w:szCs w:val="21"/>
              </w:rPr>
            </w:pPr>
          </w:p>
          <w:p w14:paraId="64A68617">
            <w:pPr>
              <w:widowControl/>
              <w:spacing w:line="360" w:lineRule="auto"/>
              <w:ind w:firstLine="425"/>
              <w:jc w:val="left"/>
              <w:rPr>
                <w:rFonts w:hint="default" w:ascii="Times New Roman" w:hAnsi="Times New Roman" w:eastAsia="宋体" w:cs="Times New Roman"/>
                <w:snapToGrid w:val="0"/>
                <w:color w:val="auto"/>
                <w:kern w:val="0"/>
                <w:sz w:val="24"/>
                <w:szCs w:val="24"/>
                <w:lang w:val="en-US" w:eastAsia="zh-CN"/>
              </w:rPr>
            </w:pPr>
            <w:r>
              <w:rPr>
                <w:rFonts w:hint="eastAsia" w:ascii="Times New Roman" w:hAnsi="Times New Roman" w:eastAsia="宋体" w:cs="Times New Roman"/>
                <w:snapToGrid w:val="0"/>
                <w:color w:val="auto"/>
                <w:kern w:val="0"/>
                <w:sz w:val="24"/>
                <w:szCs w:val="24"/>
              </w:rPr>
              <w:t>根据监测结果，2024年南浔区环境空气质量现状PM2.5的日平均第95百分位数浓度和O</w:t>
            </w:r>
            <w:r>
              <w:rPr>
                <w:rFonts w:hint="eastAsia" w:ascii="Times New Roman" w:hAnsi="Times New Roman" w:eastAsia="宋体" w:cs="Times New Roman"/>
                <w:snapToGrid w:val="0"/>
                <w:color w:val="auto"/>
                <w:kern w:val="0"/>
                <w:sz w:val="24"/>
                <w:szCs w:val="24"/>
                <w:vertAlign w:val="subscript"/>
              </w:rPr>
              <w:t>3</w:t>
            </w:r>
            <w:r>
              <w:rPr>
                <w:rFonts w:hint="eastAsia" w:ascii="Times New Roman" w:hAnsi="Times New Roman" w:eastAsia="宋体" w:cs="Times New Roman"/>
                <w:snapToGrid w:val="0"/>
                <w:color w:val="auto"/>
                <w:kern w:val="0"/>
                <w:sz w:val="24"/>
                <w:szCs w:val="24"/>
              </w:rPr>
              <w:t>的8h平均第90百分位数浓度超过2024年当时执行的《环境空气质量标准》（GB3095-2012）中二级标准要求；其余4项常规污染因子指标均能够达到《环境空气质量标准》（GB3095-2012）中二级标准要求。</w:t>
            </w:r>
            <w:r>
              <w:rPr>
                <w:rFonts w:hint="eastAsia" w:ascii="Times New Roman" w:hAnsi="Times New Roman" w:eastAsia="宋体" w:cs="Times New Roman"/>
                <w:snapToGrid w:val="0"/>
                <w:color w:val="auto"/>
                <w:kern w:val="0"/>
                <w:sz w:val="24"/>
                <w:szCs w:val="24"/>
                <w:lang w:val="en-US" w:eastAsia="zh-CN"/>
              </w:rPr>
              <w:t>本项目所在区域为不达标区。</w:t>
            </w:r>
          </w:p>
          <w:p w14:paraId="79358887">
            <w:pPr>
              <w:widowControl/>
              <w:spacing w:line="360" w:lineRule="auto"/>
              <w:ind w:firstLine="425"/>
              <w:jc w:val="left"/>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按照现行《环境空气质量标准》（GB3095-2026）的要求，2024年南浔区环境空气质量现状PM</w:t>
            </w:r>
            <w:r>
              <w:rPr>
                <w:rFonts w:hint="eastAsia" w:ascii="Times New Roman" w:hAnsi="Times New Roman" w:eastAsia="宋体" w:cs="Times New Roman"/>
                <w:snapToGrid w:val="0"/>
                <w:color w:val="auto"/>
                <w:kern w:val="0"/>
                <w:sz w:val="24"/>
                <w:szCs w:val="24"/>
                <w:vertAlign w:val="subscript"/>
              </w:rPr>
              <w:t>2.5</w:t>
            </w:r>
            <w:r>
              <w:rPr>
                <w:rFonts w:hint="eastAsia" w:ascii="Times New Roman" w:hAnsi="Times New Roman" w:eastAsia="宋体" w:cs="Times New Roman"/>
                <w:snapToGrid w:val="0"/>
                <w:color w:val="auto"/>
                <w:kern w:val="0"/>
                <w:sz w:val="24"/>
                <w:szCs w:val="24"/>
              </w:rPr>
              <w:t>的年平均质量浓度、日平均第95百分位数浓度和O</w:t>
            </w:r>
            <w:r>
              <w:rPr>
                <w:rFonts w:hint="eastAsia" w:ascii="Times New Roman" w:hAnsi="Times New Roman" w:eastAsia="宋体" w:cs="Times New Roman"/>
                <w:snapToGrid w:val="0"/>
                <w:color w:val="auto"/>
                <w:kern w:val="0"/>
                <w:sz w:val="24"/>
                <w:szCs w:val="24"/>
                <w:vertAlign w:val="subscript"/>
              </w:rPr>
              <w:t>3</w:t>
            </w:r>
            <w:r>
              <w:rPr>
                <w:rFonts w:hint="eastAsia" w:ascii="Times New Roman" w:hAnsi="Times New Roman" w:eastAsia="宋体" w:cs="Times New Roman"/>
                <w:snapToGrid w:val="0"/>
                <w:color w:val="auto"/>
                <w:kern w:val="0"/>
                <w:sz w:val="24"/>
                <w:szCs w:val="24"/>
              </w:rPr>
              <w:t>的8h平均第90百分位数浓度超过该标准中二级标准要求；其余4项常规污染因子指标均能够达到《环境空气质量标准》（GB3095-2026）中二级标准要求。</w:t>
            </w:r>
          </w:p>
          <w:p w14:paraId="214571E2">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《湖州市大气环境质量限期达标规划》分解7个方面44项任务，其中主要工作任务有：</w:t>
            </w:r>
          </w:p>
          <w:p w14:paraId="65A25F5C">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（1）深化能源结构调整，构建清洁低碳能源体系，控制煤炭消费总量，深入推进高污染燃料设施淘汰，提升清洁能源利用水平，提高能源利用效率；</w:t>
            </w:r>
          </w:p>
          <w:p w14:paraId="5B0FDED6">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2）优化产业结构调整，构建绿色低碳产业体系，坚持绿色低碳发展，推动产业转型升级，严格产业准入，优化产业布局，淘汰高污染落后产能，全面整治“散乱污”企业，全面发展循环低碳经济，优化城市空间布局；</w:t>
            </w:r>
          </w:p>
          <w:p w14:paraId="1B6FF69F">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3）深化工业烟气治理，加强工业VOCs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w:t>
            </w:r>
          </w:p>
          <w:p w14:paraId="2B78AD46">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w:t>
            </w:r>
          </w:p>
          <w:p w14:paraId="6028FFDA">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（5）强化城市烟尘治理，减少生活废气排放，加强施工场地扬尘管理，强化道路扬尘治理，加强堆场扬尘治理，控制装修及服务业废气污染，加强臭气异味及综合整治；</w:t>
            </w:r>
          </w:p>
          <w:p w14:paraId="2D72AF08">
            <w:pPr>
              <w:adjustRightInd w:val="0"/>
              <w:snapToGrid w:val="0"/>
              <w:spacing w:line="360" w:lineRule="auto"/>
              <w:ind w:firstLine="425"/>
              <w:rPr>
                <w:rFonts w:hint="eastAsia"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（6）控制农村废气污染，加强矿山粉尘防治，强化秸秆综合利用和秸秆禁烧，推进绿化碳汇工程，加强矿山粉尘防治；</w:t>
            </w:r>
          </w:p>
          <w:p w14:paraId="36023820">
            <w:pPr>
              <w:widowControl/>
              <w:spacing w:line="360" w:lineRule="auto"/>
              <w:ind w:firstLine="425"/>
              <w:jc w:val="left"/>
              <w:rPr>
                <w:rFonts w:hint="eastAsia"/>
                <w:snapToGrid w:val="0"/>
                <w:color w:val="auto"/>
                <w:kern w:val="0"/>
                <w:sz w:val="24"/>
              </w:rPr>
            </w:pPr>
            <w:r>
              <w:rPr>
                <w:rFonts w:hint="eastAsia" w:ascii="Times New Roman" w:hAnsi="Times New Roman" w:eastAsia="宋体" w:cs="Times New Roman"/>
                <w:snapToGrid w:val="0"/>
                <w:color w:val="auto"/>
                <w:kern w:val="0"/>
                <w:sz w:val="24"/>
                <w:szCs w:val="24"/>
              </w:rPr>
              <w:t>（7）加强大气污染防治能力建设，提升大气监测监控能力，完善重污染天气监测预警体系，实施季节性污染排放调控，建设网格化环境监管体系。随着上述工作的持续推进，区域环境空气质量必将会进一步得到改善。</w:t>
            </w:r>
          </w:p>
          <w:p w14:paraId="2DC75A45">
            <w:pPr>
              <w:adjustRightInd w:val="0"/>
              <w:snapToGrid w:val="0"/>
              <w:spacing w:line="360" w:lineRule="auto"/>
              <w:ind w:firstLine="425"/>
              <w:rPr>
                <w:color w:val="auto"/>
                <w:sz w:val="24"/>
              </w:rPr>
            </w:pPr>
            <w:r>
              <w:rPr>
                <w:rFonts w:hint="eastAsia"/>
                <w:color w:val="auto"/>
                <w:sz w:val="24"/>
              </w:rPr>
              <w:t>2</w:t>
            </w:r>
            <w:r>
              <w:rPr>
                <w:color w:val="auto"/>
                <w:sz w:val="24"/>
              </w:rPr>
              <w:t>、</w:t>
            </w:r>
            <w:r>
              <w:rPr>
                <w:rFonts w:hint="eastAsia"/>
                <w:color w:val="auto"/>
                <w:sz w:val="24"/>
              </w:rPr>
              <w:t>其他（特征）污染物环境质量现状数据</w:t>
            </w:r>
          </w:p>
          <w:p w14:paraId="53DEDB69">
            <w:pPr>
              <w:widowControl/>
              <w:spacing w:line="360" w:lineRule="auto"/>
              <w:ind w:firstLine="425"/>
              <w:jc w:val="left"/>
              <w:rPr>
                <w:rFonts w:hint="eastAsia"/>
                <w:snapToGrid w:val="0"/>
                <w:color w:val="auto"/>
                <w:kern w:val="0"/>
                <w:sz w:val="24"/>
              </w:rPr>
            </w:pPr>
            <w:r>
              <w:rPr>
                <w:rFonts w:hint="eastAsia"/>
                <w:snapToGrid w:val="0"/>
                <w:color w:val="auto"/>
                <w:kern w:val="0"/>
                <w:sz w:val="24"/>
              </w:rPr>
              <w:t>为了解项目拟建区域其他污染物的环境质量现状，本项目特征污染因子TSP、臭气浓度、非甲烷总烃引用《湖州强俊新材有限公司年产环保浸胶纸600万张项目环境影响报告表》中委托耐斯检测服务（湖州）有限公司进行监测的数据（报告编号：J2311058）。监测点位在湖州强俊新材有限公司项目所在地（厂区内），距本项目约</w:t>
            </w:r>
            <w:r>
              <w:rPr>
                <w:rFonts w:hint="eastAsia"/>
                <w:snapToGrid w:val="0"/>
                <w:color w:val="auto"/>
                <w:kern w:val="0"/>
                <w:sz w:val="24"/>
                <w:lang w:val="en-US" w:eastAsia="zh-CN"/>
              </w:rPr>
              <w:t>61</w:t>
            </w:r>
            <w:r>
              <w:rPr>
                <w:rFonts w:hint="eastAsia"/>
                <w:snapToGrid w:val="0"/>
                <w:color w:val="auto"/>
                <w:kern w:val="0"/>
                <w:sz w:val="24"/>
              </w:rPr>
              <w:t>m，</w:t>
            </w:r>
            <w:r>
              <w:rPr>
                <w:rFonts w:hint="eastAsia"/>
                <w:snapToGrid w:val="0"/>
                <w:color w:val="auto"/>
                <w:kern w:val="0"/>
                <w:sz w:val="24"/>
                <w:lang w:val="en-US" w:eastAsia="zh-CN"/>
              </w:rPr>
              <w:t>本项目距监测点距离见图3-1。</w:t>
            </w:r>
            <w:r>
              <w:rPr>
                <w:rFonts w:hint="eastAsia"/>
                <w:snapToGrid w:val="0"/>
                <w:color w:val="auto"/>
                <w:kern w:val="0"/>
                <w:sz w:val="24"/>
              </w:rPr>
              <w:t>监测时间为2023年12月5日~2023年12月11日（3年有效期内）。具体见下表3-2~表3-4。</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3"/>
            </w:tblGrid>
            <w:tr w14:paraId="7313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3" w:type="dxa"/>
                  <w:vAlign w:val="center"/>
                </w:tcPr>
                <w:p w14:paraId="7F35DF34">
                  <w:pPr>
                    <w:widowControl/>
                    <w:jc w:val="center"/>
                    <w:rPr>
                      <w:rFonts w:hint="eastAsia"/>
                      <w:color w:val="auto"/>
                      <w:kern w:val="0"/>
                      <w:szCs w:val="21"/>
                    </w:rPr>
                  </w:pPr>
                  <w:r>
                    <w:rPr>
                      <w:color w:val="auto"/>
                    </w:rPr>
                    <w:drawing>
                      <wp:inline distT="0" distB="0" distL="114300" distR="114300">
                        <wp:extent cx="5198745" cy="3074035"/>
                        <wp:effectExtent l="0" t="0" r="13335"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9"/>
                                <a:stretch>
                                  <a:fillRect/>
                                </a:stretch>
                              </pic:blipFill>
                              <pic:spPr>
                                <a:xfrm>
                                  <a:off x="0" y="0"/>
                                  <a:ext cx="5198745" cy="3074035"/>
                                </a:xfrm>
                                <a:prstGeom prst="rect">
                                  <a:avLst/>
                                </a:prstGeom>
                                <a:noFill/>
                                <a:ln>
                                  <a:noFill/>
                                </a:ln>
                              </pic:spPr>
                            </pic:pic>
                          </a:graphicData>
                        </a:graphic>
                      </wp:inline>
                    </w:drawing>
                  </w:r>
                </w:p>
              </w:tc>
            </w:tr>
          </w:tbl>
          <w:p w14:paraId="2925EE0A">
            <w:pPr>
              <w:widowControl/>
              <w:spacing w:line="360" w:lineRule="auto"/>
              <w:ind w:firstLine="425"/>
              <w:jc w:val="center"/>
              <w:rPr>
                <w:rFonts w:hint="default" w:eastAsia="宋体"/>
                <w:snapToGrid w:val="0"/>
                <w:color w:val="auto"/>
                <w:kern w:val="0"/>
                <w:sz w:val="24"/>
                <w:lang w:val="en-US" w:eastAsia="zh-CN"/>
              </w:rPr>
            </w:pPr>
            <w:r>
              <w:rPr>
                <w:rFonts w:hint="eastAsia"/>
                <w:b/>
                <w:bCs/>
                <w:color w:val="auto"/>
                <w:sz w:val="24"/>
              </w:rPr>
              <w:t xml:space="preserve">图3-1 </w:t>
            </w:r>
            <w:r>
              <w:rPr>
                <w:rFonts w:hint="eastAsia"/>
                <w:b/>
                <w:bCs/>
                <w:color w:val="auto"/>
                <w:sz w:val="24"/>
                <w:lang w:val="en-US" w:eastAsia="zh-CN"/>
              </w:rPr>
              <w:t>本项目距引用数据检测点位位置关系图</w:t>
            </w:r>
          </w:p>
          <w:p w14:paraId="27943CE3">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TSP监测结果表</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2520"/>
              <w:gridCol w:w="3787"/>
            </w:tblGrid>
            <w:tr w14:paraId="0B1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7CF09FF6">
                  <w:pPr>
                    <w:widowControl/>
                    <w:jc w:val="center"/>
                    <w:rPr>
                      <w:b w:val="0"/>
                      <w:bCs w:val="0"/>
                      <w:color w:val="auto"/>
                      <w:kern w:val="0"/>
                      <w:szCs w:val="21"/>
                    </w:rPr>
                  </w:pPr>
                  <w:r>
                    <w:rPr>
                      <w:rFonts w:hint="eastAsia"/>
                      <w:b w:val="0"/>
                      <w:bCs w:val="0"/>
                      <w:color w:val="auto"/>
                      <w:kern w:val="0"/>
                      <w:szCs w:val="21"/>
                    </w:rPr>
                    <w:t>采样日期</w:t>
                  </w:r>
                </w:p>
              </w:tc>
              <w:tc>
                <w:tcPr>
                  <w:tcW w:w="2520" w:type="dxa"/>
                  <w:vAlign w:val="center"/>
                </w:tcPr>
                <w:p w14:paraId="363595DB">
                  <w:pPr>
                    <w:widowControl/>
                    <w:jc w:val="center"/>
                    <w:rPr>
                      <w:b w:val="0"/>
                      <w:bCs w:val="0"/>
                      <w:color w:val="auto"/>
                      <w:kern w:val="0"/>
                      <w:szCs w:val="21"/>
                    </w:rPr>
                  </w:pPr>
                  <w:r>
                    <w:rPr>
                      <w:rFonts w:hint="eastAsia"/>
                      <w:b w:val="0"/>
                      <w:bCs w:val="0"/>
                      <w:color w:val="auto"/>
                      <w:kern w:val="0"/>
                      <w:szCs w:val="21"/>
                    </w:rPr>
                    <w:t>采样位置</w:t>
                  </w:r>
                </w:p>
              </w:tc>
              <w:tc>
                <w:tcPr>
                  <w:tcW w:w="3787" w:type="dxa"/>
                  <w:vAlign w:val="center"/>
                </w:tcPr>
                <w:p w14:paraId="40C2C534">
                  <w:pPr>
                    <w:widowControl/>
                    <w:jc w:val="center"/>
                    <w:rPr>
                      <w:b w:val="0"/>
                      <w:bCs w:val="0"/>
                      <w:color w:val="auto"/>
                      <w:kern w:val="0"/>
                      <w:szCs w:val="21"/>
                    </w:rPr>
                  </w:pPr>
                  <w:r>
                    <w:rPr>
                      <w:rFonts w:hint="eastAsia"/>
                      <w:b w:val="0"/>
                      <w:bCs w:val="0"/>
                      <w:color w:val="auto"/>
                      <w:kern w:val="0"/>
                      <w:szCs w:val="21"/>
                    </w:rPr>
                    <w:t>总悬浮颗粒物（mg/m</w:t>
                  </w:r>
                  <w:r>
                    <w:rPr>
                      <w:rFonts w:hint="eastAsia"/>
                      <w:b w:val="0"/>
                      <w:bCs w:val="0"/>
                      <w:color w:val="auto"/>
                      <w:kern w:val="0"/>
                      <w:szCs w:val="21"/>
                      <w:vertAlign w:val="superscript"/>
                    </w:rPr>
                    <w:t>3</w:t>
                  </w:r>
                  <w:r>
                    <w:rPr>
                      <w:rFonts w:hint="eastAsia"/>
                      <w:b w:val="0"/>
                      <w:bCs w:val="0"/>
                      <w:color w:val="auto"/>
                      <w:kern w:val="0"/>
                      <w:szCs w:val="21"/>
                    </w:rPr>
                    <w:t>）</w:t>
                  </w:r>
                </w:p>
              </w:tc>
            </w:tr>
            <w:tr w14:paraId="1621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2360A175">
                  <w:pPr>
                    <w:widowControl/>
                    <w:jc w:val="center"/>
                    <w:rPr>
                      <w:color w:val="auto"/>
                      <w:kern w:val="0"/>
                      <w:szCs w:val="21"/>
                    </w:rPr>
                  </w:pPr>
                  <w:r>
                    <w:rPr>
                      <w:rFonts w:hint="eastAsia"/>
                      <w:color w:val="auto"/>
                      <w:kern w:val="0"/>
                      <w:szCs w:val="21"/>
                    </w:rPr>
                    <w:t>2023.12.05</w:t>
                  </w:r>
                </w:p>
              </w:tc>
              <w:tc>
                <w:tcPr>
                  <w:tcW w:w="2520" w:type="dxa"/>
                  <w:vMerge w:val="restart"/>
                  <w:vAlign w:val="center"/>
                </w:tcPr>
                <w:p w14:paraId="3309748C">
                  <w:pPr>
                    <w:pStyle w:val="46"/>
                    <w:jc w:val="center"/>
                    <w:rPr>
                      <w:color w:val="auto"/>
                    </w:rPr>
                  </w:pPr>
                  <w:r>
                    <w:rPr>
                      <w:rFonts w:hint="eastAsia"/>
                      <w:color w:val="auto"/>
                      <w:kern w:val="0"/>
                      <w:szCs w:val="21"/>
                    </w:rPr>
                    <w:t>湖州强俊新材有限公司</w:t>
                  </w:r>
                </w:p>
              </w:tc>
              <w:tc>
                <w:tcPr>
                  <w:tcW w:w="3787" w:type="dxa"/>
                  <w:vAlign w:val="center"/>
                </w:tcPr>
                <w:p w14:paraId="0CC9006B">
                  <w:pPr>
                    <w:widowControl/>
                    <w:jc w:val="center"/>
                    <w:rPr>
                      <w:color w:val="auto"/>
                      <w:kern w:val="0"/>
                      <w:szCs w:val="21"/>
                    </w:rPr>
                  </w:pPr>
                  <w:r>
                    <w:rPr>
                      <w:rFonts w:hint="eastAsia"/>
                      <w:color w:val="auto"/>
                      <w:kern w:val="0"/>
                      <w:szCs w:val="21"/>
                    </w:rPr>
                    <w:t>0.245</w:t>
                  </w:r>
                </w:p>
              </w:tc>
            </w:tr>
            <w:tr w14:paraId="67DC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2A1D9328">
                  <w:pPr>
                    <w:widowControl/>
                    <w:jc w:val="center"/>
                    <w:rPr>
                      <w:color w:val="auto"/>
                      <w:kern w:val="0"/>
                      <w:szCs w:val="21"/>
                    </w:rPr>
                  </w:pPr>
                  <w:r>
                    <w:rPr>
                      <w:rFonts w:hint="eastAsia"/>
                      <w:color w:val="auto"/>
                      <w:kern w:val="0"/>
                      <w:szCs w:val="21"/>
                    </w:rPr>
                    <w:t>2023.12.06</w:t>
                  </w:r>
                </w:p>
              </w:tc>
              <w:tc>
                <w:tcPr>
                  <w:tcW w:w="2520" w:type="dxa"/>
                  <w:vMerge w:val="continue"/>
                  <w:vAlign w:val="center"/>
                </w:tcPr>
                <w:p w14:paraId="4BA333FB">
                  <w:pPr>
                    <w:widowControl/>
                    <w:jc w:val="center"/>
                    <w:rPr>
                      <w:color w:val="auto"/>
                      <w:kern w:val="0"/>
                      <w:szCs w:val="21"/>
                    </w:rPr>
                  </w:pPr>
                </w:p>
              </w:tc>
              <w:tc>
                <w:tcPr>
                  <w:tcW w:w="3787" w:type="dxa"/>
                  <w:vAlign w:val="center"/>
                </w:tcPr>
                <w:p w14:paraId="4F0E04D7">
                  <w:pPr>
                    <w:widowControl/>
                    <w:jc w:val="center"/>
                    <w:rPr>
                      <w:color w:val="auto"/>
                      <w:kern w:val="0"/>
                      <w:szCs w:val="21"/>
                    </w:rPr>
                  </w:pPr>
                  <w:r>
                    <w:rPr>
                      <w:rFonts w:hint="eastAsia"/>
                      <w:color w:val="auto"/>
                      <w:kern w:val="0"/>
                      <w:szCs w:val="21"/>
                    </w:rPr>
                    <w:t>0.228</w:t>
                  </w:r>
                </w:p>
              </w:tc>
            </w:tr>
            <w:tr w14:paraId="3E4A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13DD11A3">
                  <w:pPr>
                    <w:widowControl/>
                    <w:jc w:val="center"/>
                    <w:rPr>
                      <w:color w:val="auto"/>
                      <w:kern w:val="0"/>
                      <w:szCs w:val="21"/>
                    </w:rPr>
                  </w:pPr>
                  <w:r>
                    <w:rPr>
                      <w:rFonts w:hint="eastAsia"/>
                      <w:color w:val="auto"/>
                      <w:kern w:val="0"/>
                      <w:szCs w:val="21"/>
                    </w:rPr>
                    <w:t>2023.12.07</w:t>
                  </w:r>
                </w:p>
              </w:tc>
              <w:tc>
                <w:tcPr>
                  <w:tcW w:w="2520" w:type="dxa"/>
                  <w:vMerge w:val="continue"/>
                  <w:vAlign w:val="center"/>
                </w:tcPr>
                <w:p w14:paraId="22FA642C">
                  <w:pPr>
                    <w:widowControl/>
                    <w:jc w:val="center"/>
                    <w:rPr>
                      <w:color w:val="auto"/>
                      <w:kern w:val="0"/>
                      <w:szCs w:val="21"/>
                    </w:rPr>
                  </w:pPr>
                </w:p>
              </w:tc>
              <w:tc>
                <w:tcPr>
                  <w:tcW w:w="3787" w:type="dxa"/>
                  <w:vAlign w:val="center"/>
                </w:tcPr>
                <w:p w14:paraId="7AE1AA2C">
                  <w:pPr>
                    <w:widowControl/>
                    <w:jc w:val="center"/>
                    <w:rPr>
                      <w:color w:val="auto"/>
                      <w:kern w:val="0"/>
                      <w:szCs w:val="21"/>
                    </w:rPr>
                  </w:pPr>
                  <w:r>
                    <w:rPr>
                      <w:rFonts w:hint="eastAsia"/>
                      <w:color w:val="auto"/>
                      <w:kern w:val="0"/>
                      <w:szCs w:val="21"/>
                    </w:rPr>
                    <w:t>0.261</w:t>
                  </w:r>
                </w:p>
              </w:tc>
            </w:tr>
            <w:tr w14:paraId="1DF6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441404F6">
                  <w:pPr>
                    <w:widowControl/>
                    <w:jc w:val="center"/>
                    <w:rPr>
                      <w:color w:val="auto"/>
                      <w:kern w:val="0"/>
                      <w:szCs w:val="21"/>
                    </w:rPr>
                  </w:pPr>
                  <w:r>
                    <w:rPr>
                      <w:rFonts w:hint="eastAsia"/>
                      <w:color w:val="auto"/>
                      <w:kern w:val="0"/>
                      <w:szCs w:val="21"/>
                    </w:rPr>
                    <w:t>2023.12.08</w:t>
                  </w:r>
                </w:p>
              </w:tc>
              <w:tc>
                <w:tcPr>
                  <w:tcW w:w="2520" w:type="dxa"/>
                  <w:vMerge w:val="continue"/>
                  <w:vAlign w:val="center"/>
                </w:tcPr>
                <w:p w14:paraId="4F0F35C5">
                  <w:pPr>
                    <w:widowControl/>
                    <w:jc w:val="center"/>
                    <w:rPr>
                      <w:color w:val="auto"/>
                      <w:kern w:val="0"/>
                      <w:szCs w:val="21"/>
                    </w:rPr>
                  </w:pPr>
                </w:p>
              </w:tc>
              <w:tc>
                <w:tcPr>
                  <w:tcW w:w="3787" w:type="dxa"/>
                  <w:vAlign w:val="center"/>
                </w:tcPr>
                <w:p w14:paraId="158EAFB2">
                  <w:pPr>
                    <w:widowControl/>
                    <w:jc w:val="center"/>
                    <w:rPr>
                      <w:color w:val="auto"/>
                      <w:kern w:val="0"/>
                      <w:szCs w:val="21"/>
                    </w:rPr>
                  </w:pPr>
                  <w:r>
                    <w:rPr>
                      <w:rFonts w:hint="eastAsia"/>
                      <w:color w:val="auto"/>
                      <w:kern w:val="0"/>
                      <w:szCs w:val="21"/>
                    </w:rPr>
                    <w:t>0.197</w:t>
                  </w:r>
                </w:p>
              </w:tc>
            </w:tr>
            <w:tr w14:paraId="3060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24F1A83A">
                  <w:pPr>
                    <w:widowControl/>
                    <w:jc w:val="center"/>
                    <w:rPr>
                      <w:color w:val="auto"/>
                      <w:kern w:val="0"/>
                      <w:szCs w:val="21"/>
                    </w:rPr>
                  </w:pPr>
                  <w:r>
                    <w:rPr>
                      <w:rFonts w:hint="eastAsia"/>
                      <w:color w:val="auto"/>
                      <w:kern w:val="0"/>
                      <w:szCs w:val="21"/>
                    </w:rPr>
                    <w:t>2023.12.09</w:t>
                  </w:r>
                </w:p>
              </w:tc>
              <w:tc>
                <w:tcPr>
                  <w:tcW w:w="2520" w:type="dxa"/>
                  <w:vMerge w:val="continue"/>
                  <w:vAlign w:val="center"/>
                </w:tcPr>
                <w:p w14:paraId="65CF86FE">
                  <w:pPr>
                    <w:widowControl/>
                    <w:jc w:val="center"/>
                    <w:rPr>
                      <w:color w:val="auto"/>
                      <w:kern w:val="0"/>
                      <w:szCs w:val="21"/>
                    </w:rPr>
                  </w:pPr>
                </w:p>
              </w:tc>
              <w:tc>
                <w:tcPr>
                  <w:tcW w:w="3787" w:type="dxa"/>
                  <w:vAlign w:val="center"/>
                </w:tcPr>
                <w:p w14:paraId="657ABAE1">
                  <w:pPr>
                    <w:widowControl/>
                    <w:jc w:val="center"/>
                    <w:rPr>
                      <w:color w:val="auto"/>
                      <w:kern w:val="0"/>
                      <w:szCs w:val="21"/>
                    </w:rPr>
                  </w:pPr>
                  <w:r>
                    <w:rPr>
                      <w:rFonts w:hint="eastAsia"/>
                      <w:color w:val="auto"/>
                      <w:kern w:val="0"/>
                      <w:szCs w:val="21"/>
                    </w:rPr>
                    <w:t>0.180</w:t>
                  </w:r>
                </w:p>
              </w:tc>
            </w:tr>
            <w:tr w14:paraId="519F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73A651E9">
                  <w:pPr>
                    <w:widowControl/>
                    <w:jc w:val="center"/>
                    <w:rPr>
                      <w:color w:val="auto"/>
                      <w:kern w:val="0"/>
                      <w:szCs w:val="21"/>
                    </w:rPr>
                  </w:pPr>
                  <w:r>
                    <w:rPr>
                      <w:rFonts w:hint="eastAsia"/>
                      <w:color w:val="auto"/>
                      <w:kern w:val="0"/>
                      <w:szCs w:val="21"/>
                    </w:rPr>
                    <w:t>2023.12.10</w:t>
                  </w:r>
                </w:p>
              </w:tc>
              <w:tc>
                <w:tcPr>
                  <w:tcW w:w="2520" w:type="dxa"/>
                  <w:vMerge w:val="continue"/>
                  <w:vAlign w:val="center"/>
                </w:tcPr>
                <w:p w14:paraId="4EA13A40">
                  <w:pPr>
                    <w:widowControl/>
                    <w:jc w:val="center"/>
                    <w:rPr>
                      <w:color w:val="auto"/>
                      <w:kern w:val="0"/>
                      <w:szCs w:val="21"/>
                    </w:rPr>
                  </w:pPr>
                </w:p>
              </w:tc>
              <w:tc>
                <w:tcPr>
                  <w:tcW w:w="3787" w:type="dxa"/>
                  <w:vAlign w:val="center"/>
                </w:tcPr>
                <w:p w14:paraId="1A448497">
                  <w:pPr>
                    <w:widowControl/>
                    <w:jc w:val="center"/>
                    <w:rPr>
                      <w:color w:val="auto"/>
                      <w:kern w:val="0"/>
                      <w:szCs w:val="21"/>
                    </w:rPr>
                  </w:pPr>
                  <w:r>
                    <w:rPr>
                      <w:rFonts w:hint="eastAsia"/>
                      <w:color w:val="auto"/>
                      <w:kern w:val="0"/>
                      <w:szCs w:val="21"/>
                    </w:rPr>
                    <w:t>0.201</w:t>
                  </w:r>
                </w:p>
              </w:tc>
            </w:tr>
            <w:tr w14:paraId="17AD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96" w:type="dxa"/>
                  <w:vAlign w:val="center"/>
                </w:tcPr>
                <w:p w14:paraId="6910BABE">
                  <w:pPr>
                    <w:widowControl/>
                    <w:jc w:val="center"/>
                    <w:rPr>
                      <w:color w:val="auto"/>
                      <w:kern w:val="0"/>
                      <w:szCs w:val="21"/>
                    </w:rPr>
                  </w:pPr>
                  <w:r>
                    <w:rPr>
                      <w:rFonts w:hint="eastAsia"/>
                      <w:color w:val="auto"/>
                      <w:kern w:val="0"/>
                      <w:szCs w:val="21"/>
                    </w:rPr>
                    <w:t>2023.12.11</w:t>
                  </w:r>
                </w:p>
              </w:tc>
              <w:tc>
                <w:tcPr>
                  <w:tcW w:w="2520" w:type="dxa"/>
                  <w:vMerge w:val="continue"/>
                  <w:vAlign w:val="center"/>
                </w:tcPr>
                <w:p w14:paraId="41D9071B">
                  <w:pPr>
                    <w:widowControl/>
                    <w:jc w:val="center"/>
                    <w:rPr>
                      <w:color w:val="auto"/>
                      <w:kern w:val="0"/>
                      <w:szCs w:val="21"/>
                    </w:rPr>
                  </w:pPr>
                </w:p>
              </w:tc>
              <w:tc>
                <w:tcPr>
                  <w:tcW w:w="3787" w:type="dxa"/>
                  <w:vAlign w:val="center"/>
                </w:tcPr>
                <w:p w14:paraId="3DF268DB">
                  <w:pPr>
                    <w:widowControl/>
                    <w:jc w:val="center"/>
                    <w:rPr>
                      <w:color w:val="auto"/>
                      <w:kern w:val="0"/>
                      <w:szCs w:val="21"/>
                    </w:rPr>
                  </w:pPr>
                  <w:r>
                    <w:rPr>
                      <w:rFonts w:hint="eastAsia"/>
                      <w:color w:val="auto"/>
                      <w:kern w:val="0"/>
                      <w:szCs w:val="21"/>
                    </w:rPr>
                    <w:t>0.233</w:t>
                  </w:r>
                </w:p>
              </w:tc>
            </w:tr>
          </w:tbl>
          <w:p w14:paraId="485A2D47">
            <w:pPr>
              <w:numPr>
                <w:ilvl w:val="0"/>
                <w:numId w:val="0"/>
              </w:numPr>
              <w:adjustRightInd w:val="0"/>
              <w:snapToGrid w:val="0"/>
              <w:spacing w:before="48" w:beforeLines="20" w:after="48" w:afterLines="20" w:line="0" w:lineRule="atLeast"/>
              <w:ind w:leftChars="0"/>
              <w:jc w:val="both"/>
              <w:rPr>
                <w:b/>
                <w:bCs/>
                <w:color w:val="auto"/>
                <w:sz w:val="24"/>
              </w:rPr>
            </w:pPr>
          </w:p>
          <w:p w14:paraId="73988894">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其他污染因子监测结果表</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1680"/>
              <w:gridCol w:w="1681"/>
              <w:gridCol w:w="1681"/>
              <w:gridCol w:w="1681"/>
            </w:tblGrid>
            <w:tr w14:paraId="18B8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Align w:val="center"/>
                </w:tcPr>
                <w:p w14:paraId="3DBC89C1">
                  <w:pPr>
                    <w:widowControl/>
                    <w:jc w:val="center"/>
                    <w:rPr>
                      <w:b w:val="0"/>
                      <w:bCs w:val="0"/>
                      <w:color w:val="auto"/>
                      <w:kern w:val="0"/>
                      <w:szCs w:val="21"/>
                    </w:rPr>
                  </w:pPr>
                  <w:r>
                    <w:rPr>
                      <w:rFonts w:hint="eastAsia"/>
                      <w:b w:val="0"/>
                      <w:bCs w:val="0"/>
                      <w:color w:val="auto"/>
                      <w:kern w:val="0"/>
                      <w:szCs w:val="21"/>
                    </w:rPr>
                    <w:t>采样日期</w:t>
                  </w:r>
                </w:p>
              </w:tc>
              <w:tc>
                <w:tcPr>
                  <w:tcW w:w="1680" w:type="dxa"/>
                  <w:vAlign w:val="center"/>
                </w:tcPr>
                <w:p w14:paraId="04FD91DA">
                  <w:pPr>
                    <w:widowControl/>
                    <w:jc w:val="center"/>
                    <w:rPr>
                      <w:b w:val="0"/>
                      <w:bCs w:val="0"/>
                      <w:color w:val="auto"/>
                      <w:kern w:val="0"/>
                      <w:szCs w:val="21"/>
                    </w:rPr>
                  </w:pPr>
                  <w:r>
                    <w:rPr>
                      <w:rFonts w:hint="eastAsia"/>
                      <w:b w:val="0"/>
                      <w:bCs w:val="0"/>
                      <w:color w:val="auto"/>
                      <w:kern w:val="0"/>
                      <w:szCs w:val="21"/>
                    </w:rPr>
                    <w:t>采样位置</w:t>
                  </w:r>
                </w:p>
              </w:tc>
              <w:tc>
                <w:tcPr>
                  <w:tcW w:w="1681" w:type="dxa"/>
                  <w:vAlign w:val="center"/>
                </w:tcPr>
                <w:p w14:paraId="0ED0F86B">
                  <w:pPr>
                    <w:widowControl/>
                    <w:jc w:val="center"/>
                    <w:rPr>
                      <w:b w:val="0"/>
                      <w:bCs w:val="0"/>
                      <w:color w:val="auto"/>
                      <w:kern w:val="0"/>
                      <w:szCs w:val="21"/>
                    </w:rPr>
                  </w:pPr>
                  <w:r>
                    <w:rPr>
                      <w:rFonts w:hint="eastAsia"/>
                      <w:b w:val="0"/>
                      <w:bCs w:val="0"/>
                      <w:color w:val="auto"/>
                      <w:kern w:val="0"/>
                      <w:szCs w:val="21"/>
                    </w:rPr>
                    <w:t>检测时间</w:t>
                  </w:r>
                </w:p>
              </w:tc>
              <w:tc>
                <w:tcPr>
                  <w:tcW w:w="1681" w:type="dxa"/>
                  <w:vAlign w:val="center"/>
                </w:tcPr>
                <w:p w14:paraId="01D6D866">
                  <w:pPr>
                    <w:widowControl/>
                    <w:jc w:val="center"/>
                    <w:rPr>
                      <w:b w:val="0"/>
                      <w:bCs w:val="0"/>
                      <w:color w:val="auto"/>
                      <w:kern w:val="0"/>
                      <w:szCs w:val="21"/>
                    </w:rPr>
                  </w:pPr>
                  <w:r>
                    <w:rPr>
                      <w:rFonts w:hint="eastAsia"/>
                      <w:b w:val="0"/>
                      <w:bCs w:val="0"/>
                      <w:color w:val="auto"/>
                      <w:kern w:val="0"/>
                      <w:szCs w:val="21"/>
                    </w:rPr>
                    <w:t>臭气浓度</w:t>
                  </w:r>
                </w:p>
                <w:p w14:paraId="2A386506">
                  <w:pPr>
                    <w:widowControl/>
                    <w:jc w:val="center"/>
                    <w:rPr>
                      <w:b w:val="0"/>
                      <w:bCs w:val="0"/>
                      <w:color w:val="auto"/>
                      <w:kern w:val="0"/>
                      <w:szCs w:val="21"/>
                    </w:rPr>
                  </w:pPr>
                  <w:r>
                    <w:rPr>
                      <w:rFonts w:hint="eastAsia"/>
                      <w:b w:val="0"/>
                      <w:bCs w:val="0"/>
                      <w:color w:val="auto"/>
                      <w:kern w:val="0"/>
                      <w:szCs w:val="21"/>
                    </w:rPr>
                    <w:t>（无量纲）</w:t>
                  </w:r>
                </w:p>
              </w:tc>
              <w:tc>
                <w:tcPr>
                  <w:tcW w:w="1681" w:type="dxa"/>
                  <w:vAlign w:val="center"/>
                </w:tcPr>
                <w:p w14:paraId="508851DA">
                  <w:pPr>
                    <w:widowControl/>
                    <w:jc w:val="center"/>
                    <w:rPr>
                      <w:b w:val="0"/>
                      <w:bCs w:val="0"/>
                      <w:color w:val="auto"/>
                      <w:kern w:val="0"/>
                      <w:szCs w:val="21"/>
                    </w:rPr>
                  </w:pPr>
                  <w:r>
                    <w:rPr>
                      <w:rFonts w:hint="eastAsia"/>
                      <w:b w:val="0"/>
                      <w:bCs w:val="0"/>
                      <w:color w:val="auto"/>
                      <w:kern w:val="0"/>
                      <w:szCs w:val="21"/>
                    </w:rPr>
                    <w:t>非甲烷总烃（mg/m</w:t>
                  </w:r>
                  <w:r>
                    <w:rPr>
                      <w:rFonts w:hint="eastAsia"/>
                      <w:b w:val="0"/>
                      <w:bCs w:val="0"/>
                      <w:color w:val="auto"/>
                      <w:kern w:val="0"/>
                      <w:szCs w:val="21"/>
                      <w:vertAlign w:val="superscript"/>
                    </w:rPr>
                    <w:t>3</w:t>
                  </w:r>
                  <w:r>
                    <w:rPr>
                      <w:rFonts w:hint="eastAsia"/>
                      <w:b w:val="0"/>
                      <w:bCs w:val="0"/>
                      <w:color w:val="auto"/>
                      <w:kern w:val="0"/>
                      <w:szCs w:val="21"/>
                    </w:rPr>
                    <w:t>）</w:t>
                  </w:r>
                </w:p>
              </w:tc>
            </w:tr>
            <w:tr w14:paraId="05CA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09276096">
                  <w:pPr>
                    <w:widowControl/>
                    <w:jc w:val="center"/>
                    <w:rPr>
                      <w:color w:val="auto"/>
                      <w:kern w:val="0"/>
                      <w:szCs w:val="21"/>
                    </w:rPr>
                  </w:pPr>
                  <w:r>
                    <w:rPr>
                      <w:rFonts w:hint="eastAsia"/>
                      <w:color w:val="auto"/>
                      <w:kern w:val="0"/>
                      <w:szCs w:val="21"/>
                    </w:rPr>
                    <w:t>2023.12.05</w:t>
                  </w:r>
                </w:p>
              </w:tc>
              <w:tc>
                <w:tcPr>
                  <w:tcW w:w="1680" w:type="dxa"/>
                  <w:vMerge w:val="restart"/>
                  <w:vAlign w:val="center"/>
                </w:tcPr>
                <w:p w14:paraId="0F77CB88">
                  <w:pPr>
                    <w:widowControl/>
                    <w:jc w:val="center"/>
                    <w:rPr>
                      <w:color w:val="auto"/>
                      <w:kern w:val="0"/>
                      <w:szCs w:val="21"/>
                    </w:rPr>
                  </w:pPr>
                  <w:r>
                    <w:rPr>
                      <w:rFonts w:hint="eastAsia"/>
                      <w:color w:val="auto"/>
                      <w:kern w:val="0"/>
                      <w:szCs w:val="21"/>
                    </w:rPr>
                    <w:t>湖州强俊新材有限公司</w:t>
                  </w:r>
                </w:p>
              </w:tc>
              <w:tc>
                <w:tcPr>
                  <w:tcW w:w="1681" w:type="dxa"/>
                  <w:vAlign w:val="center"/>
                </w:tcPr>
                <w:p w14:paraId="01C7CFD7">
                  <w:pPr>
                    <w:widowControl/>
                    <w:jc w:val="center"/>
                    <w:rPr>
                      <w:color w:val="auto"/>
                      <w:kern w:val="0"/>
                      <w:szCs w:val="21"/>
                    </w:rPr>
                  </w:pPr>
                  <w:r>
                    <w:rPr>
                      <w:rFonts w:hint="eastAsia"/>
                      <w:color w:val="auto"/>
                      <w:kern w:val="0"/>
                      <w:szCs w:val="21"/>
                    </w:rPr>
                    <w:t>02:00~03:00</w:t>
                  </w:r>
                </w:p>
              </w:tc>
              <w:tc>
                <w:tcPr>
                  <w:tcW w:w="1681" w:type="dxa"/>
                  <w:vAlign w:val="center"/>
                </w:tcPr>
                <w:p w14:paraId="697D1DC1">
                  <w:pPr>
                    <w:widowControl/>
                    <w:jc w:val="center"/>
                    <w:rPr>
                      <w:color w:val="auto"/>
                      <w:kern w:val="0"/>
                      <w:szCs w:val="21"/>
                    </w:rPr>
                  </w:pPr>
                  <w:r>
                    <w:rPr>
                      <w:rFonts w:hint="eastAsia"/>
                      <w:color w:val="auto"/>
                      <w:kern w:val="0"/>
                      <w:szCs w:val="21"/>
                    </w:rPr>
                    <w:t>13</w:t>
                  </w:r>
                </w:p>
              </w:tc>
              <w:tc>
                <w:tcPr>
                  <w:tcW w:w="1681" w:type="dxa"/>
                  <w:vAlign w:val="center"/>
                </w:tcPr>
                <w:p w14:paraId="7FEB6D39">
                  <w:pPr>
                    <w:widowControl/>
                    <w:jc w:val="center"/>
                    <w:rPr>
                      <w:color w:val="auto"/>
                      <w:kern w:val="0"/>
                      <w:szCs w:val="21"/>
                    </w:rPr>
                  </w:pPr>
                  <w:r>
                    <w:rPr>
                      <w:rFonts w:hint="eastAsia"/>
                      <w:color w:val="auto"/>
                      <w:kern w:val="0"/>
                      <w:szCs w:val="21"/>
                    </w:rPr>
                    <w:t>1.03</w:t>
                  </w:r>
                </w:p>
              </w:tc>
            </w:tr>
            <w:tr w14:paraId="5AA0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357D42A7">
                  <w:pPr>
                    <w:widowControl/>
                    <w:jc w:val="center"/>
                    <w:rPr>
                      <w:color w:val="auto"/>
                      <w:kern w:val="0"/>
                      <w:szCs w:val="21"/>
                    </w:rPr>
                  </w:pPr>
                </w:p>
              </w:tc>
              <w:tc>
                <w:tcPr>
                  <w:tcW w:w="1680" w:type="dxa"/>
                  <w:vMerge w:val="continue"/>
                  <w:vAlign w:val="center"/>
                </w:tcPr>
                <w:p w14:paraId="2172D497">
                  <w:pPr>
                    <w:widowControl/>
                    <w:jc w:val="center"/>
                    <w:rPr>
                      <w:color w:val="auto"/>
                      <w:kern w:val="0"/>
                      <w:szCs w:val="21"/>
                    </w:rPr>
                  </w:pPr>
                </w:p>
              </w:tc>
              <w:tc>
                <w:tcPr>
                  <w:tcW w:w="1681" w:type="dxa"/>
                  <w:vAlign w:val="center"/>
                </w:tcPr>
                <w:p w14:paraId="4D52691D">
                  <w:pPr>
                    <w:widowControl/>
                    <w:jc w:val="center"/>
                    <w:rPr>
                      <w:color w:val="auto"/>
                      <w:kern w:val="0"/>
                      <w:szCs w:val="21"/>
                    </w:rPr>
                  </w:pPr>
                  <w:r>
                    <w:rPr>
                      <w:rFonts w:hint="eastAsia"/>
                      <w:color w:val="auto"/>
                      <w:kern w:val="0"/>
                      <w:szCs w:val="21"/>
                    </w:rPr>
                    <w:t>08:00~09:00</w:t>
                  </w:r>
                </w:p>
              </w:tc>
              <w:tc>
                <w:tcPr>
                  <w:tcW w:w="1681" w:type="dxa"/>
                  <w:vAlign w:val="center"/>
                </w:tcPr>
                <w:p w14:paraId="6D976994">
                  <w:pPr>
                    <w:widowControl/>
                    <w:jc w:val="center"/>
                    <w:rPr>
                      <w:color w:val="auto"/>
                      <w:kern w:val="0"/>
                      <w:szCs w:val="21"/>
                    </w:rPr>
                  </w:pPr>
                  <w:r>
                    <w:rPr>
                      <w:rFonts w:hint="eastAsia"/>
                      <w:color w:val="auto"/>
                      <w:kern w:val="0"/>
                      <w:szCs w:val="21"/>
                    </w:rPr>
                    <w:t>14</w:t>
                  </w:r>
                </w:p>
              </w:tc>
              <w:tc>
                <w:tcPr>
                  <w:tcW w:w="1681" w:type="dxa"/>
                  <w:vAlign w:val="center"/>
                </w:tcPr>
                <w:p w14:paraId="64BA501E">
                  <w:pPr>
                    <w:widowControl/>
                    <w:jc w:val="center"/>
                    <w:rPr>
                      <w:color w:val="auto"/>
                      <w:kern w:val="0"/>
                      <w:szCs w:val="21"/>
                    </w:rPr>
                  </w:pPr>
                  <w:r>
                    <w:rPr>
                      <w:rFonts w:hint="eastAsia"/>
                      <w:color w:val="auto"/>
                      <w:kern w:val="0"/>
                      <w:szCs w:val="21"/>
                    </w:rPr>
                    <w:t>1.52</w:t>
                  </w:r>
                </w:p>
              </w:tc>
            </w:tr>
            <w:tr w14:paraId="2797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5BF7F19E">
                  <w:pPr>
                    <w:widowControl/>
                    <w:jc w:val="center"/>
                    <w:rPr>
                      <w:color w:val="auto"/>
                      <w:kern w:val="0"/>
                      <w:szCs w:val="21"/>
                    </w:rPr>
                  </w:pPr>
                </w:p>
              </w:tc>
              <w:tc>
                <w:tcPr>
                  <w:tcW w:w="1680" w:type="dxa"/>
                  <w:vMerge w:val="continue"/>
                  <w:vAlign w:val="center"/>
                </w:tcPr>
                <w:p w14:paraId="51FD1CA1">
                  <w:pPr>
                    <w:widowControl/>
                    <w:jc w:val="center"/>
                    <w:rPr>
                      <w:color w:val="auto"/>
                      <w:kern w:val="0"/>
                      <w:szCs w:val="21"/>
                    </w:rPr>
                  </w:pPr>
                </w:p>
              </w:tc>
              <w:tc>
                <w:tcPr>
                  <w:tcW w:w="1681" w:type="dxa"/>
                  <w:vAlign w:val="center"/>
                </w:tcPr>
                <w:p w14:paraId="76402B58">
                  <w:pPr>
                    <w:widowControl/>
                    <w:jc w:val="center"/>
                    <w:rPr>
                      <w:color w:val="auto"/>
                      <w:kern w:val="0"/>
                      <w:szCs w:val="21"/>
                    </w:rPr>
                  </w:pPr>
                  <w:r>
                    <w:rPr>
                      <w:rFonts w:hint="eastAsia"/>
                      <w:color w:val="auto"/>
                      <w:kern w:val="0"/>
                      <w:szCs w:val="21"/>
                    </w:rPr>
                    <w:t>14:00~15:00</w:t>
                  </w:r>
                </w:p>
              </w:tc>
              <w:tc>
                <w:tcPr>
                  <w:tcW w:w="1681" w:type="dxa"/>
                  <w:vAlign w:val="center"/>
                </w:tcPr>
                <w:p w14:paraId="16CBCD87">
                  <w:pPr>
                    <w:widowControl/>
                    <w:jc w:val="center"/>
                    <w:rPr>
                      <w:color w:val="auto"/>
                      <w:kern w:val="0"/>
                      <w:szCs w:val="21"/>
                    </w:rPr>
                  </w:pPr>
                  <w:r>
                    <w:rPr>
                      <w:rFonts w:hint="eastAsia"/>
                      <w:color w:val="auto"/>
                      <w:kern w:val="0"/>
                      <w:szCs w:val="21"/>
                    </w:rPr>
                    <w:t>14</w:t>
                  </w:r>
                </w:p>
              </w:tc>
              <w:tc>
                <w:tcPr>
                  <w:tcW w:w="1681" w:type="dxa"/>
                  <w:vAlign w:val="center"/>
                </w:tcPr>
                <w:p w14:paraId="23985F94">
                  <w:pPr>
                    <w:widowControl/>
                    <w:jc w:val="center"/>
                    <w:rPr>
                      <w:color w:val="auto"/>
                      <w:kern w:val="0"/>
                      <w:szCs w:val="21"/>
                    </w:rPr>
                  </w:pPr>
                  <w:r>
                    <w:rPr>
                      <w:rFonts w:hint="eastAsia"/>
                      <w:color w:val="auto"/>
                      <w:kern w:val="0"/>
                      <w:szCs w:val="21"/>
                    </w:rPr>
                    <w:t>1.33</w:t>
                  </w:r>
                </w:p>
              </w:tc>
            </w:tr>
            <w:tr w14:paraId="4F03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78FE2CE3">
                  <w:pPr>
                    <w:widowControl/>
                    <w:jc w:val="center"/>
                    <w:rPr>
                      <w:color w:val="auto"/>
                      <w:kern w:val="0"/>
                      <w:szCs w:val="21"/>
                    </w:rPr>
                  </w:pPr>
                </w:p>
              </w:tc>
              <w:tc>
                <w:tcPr>
                  <w:tcW w:w="1680" w:type="dxa"/>
                  <w:vMerge w:val="continue"/>
                  <w:vAlign w:val="center"/>
                </w:tcPr>
                <w:p w14:paraId="4A0CF3B4">
                  <w:pPr>
                    <w:widowControl/>
                    <w:jc w:val="center"/>
                    <w:rPr>
                      <w:color w:val="auto"/>
                      <w:kern w:val="0"/>
                      <w:szCs w:val="21"/>
                    </w:rPr>
                  </w:pPr>
                </w:p>
              </w:tc>
              <w:tc>
                <w:tcPr>
                  <w:tcW w:w="1681" w:type="dxa"/>
                  <w:vAlign w:val="center"/>
                </w:tcPr>
                <w:p w14:paraId="6DEE2850">
                  <w:pPr>
                    <w:widowControl/>
                    <w:jc w:val="center"/>
                    <w:rPr>
                      <w:color w:val="auto"/>
                      <w:kern w:val="0"/>
                      <w:szCs w:val="21"/>
                    </w:rPr>
                  </w:pPr>
                  <w:r>
                    <w:rPr>
                      <w:rFonts w:hint="eastAsia"/>
                      <w:color w:val="auto"/>
                      <w:kern w:val="0"/>
                      <w:szCs w:val="21"/>
                    </w:rPr>
                    <w:t>20:00~21:00</w:t>
                  </w:r>
                </w:p>
              </w:tc>
              <w:tc>
                <w:tcPr>
                  <w:tcW w:w="1681" w:type="dxa"/>
                  <w:vAlign w:val="center"/>
                </w:tcPr>
                <w:p w14:paraId="648D82CA">
                  <w:pPr>
                    <w:widowControl/>
                    <w:jc w:val="center"/>
                    <w:rPr>
                      <w:color w:val="auto"/>
                      <w:kern w:val="0"/>
                      <w:szCs w:val="21"/>
                    </w:rPr>
                  </w:pPr>
                  <w:r>
                    <w:rPr>
                      <w:rFonts w:hint="eastAsia"/>
                      <w:color w:val="auto"/>
                      <w:kern w:val="0"/>
                      <w:szCs w:val="21"/>
                    </w:rPr>
                    <w:t>12</w:t>
                  </w:r>
                </w:p>
              </w:tc>
              <w:tc>
                <w:tcPr>
                  <w:tcW w:w="1681" w:type="dxa"/>
                  <w:vAlign w:val="center"/>
                </w:tcPr>
                <w:p w14:paraId="23DF77CB">
                  <w:pPr>
                    <w:widowControl/>
                    <w:jc w:val="center"/>
                    <w:rPr>
                      <w:color w:val="auto"/>
                      <w:kern w:val="0"/>
                      <w:szCs w:val="21"/>
                    </w:rPr>
                  </w:pPr>
                  <w:r>
                    <w:rPr>
                      <w:rFonts w:hint="eastAsia"/>
                      <w:color w:val="auto"/>
                      <w:kern w:val="0"/>
                      <w:szCs w:val="21"/>
                    </w:rPr>
                    <w:t>0.84</w:t>
                  </w:r>
                </w:p>
              </w:tc>
            </w:tr>
            <w:tr w14:paraId="048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53D07304">
                  <w:pPr>
                    <w:widowControl/>
                    <w:jc w:val="center"/>
                    <w:rPr>
                      <w:color w:val="auto"/>
                      <w:kern w:val="0"/>
                      <w:szCs w:val="21"/>
                    </w:rPr>
                  </w:pPr>
                  <w:r>
                    <w:rPr>
                      <w:rFonts w:hint="eastAsia"/>
                      <w:color w:val="auto"/>
                      <w:kern w:val="0"/>
                      <w:szCs w:val="21"/>
                    </w:rPr>
                    <w:t>2023.12.06</w:t>
                  </w:r>
                </w:p>
              </w:tc>
              <w:tc>
                <w:tcPr>
                  <w:tcW w:w="1680" w:type="dxa"/>
                  <w:vMerge w:val="continue"/>
                  <w:vAlign w:val="center"/>
                </w:tcPr>
                <w:p w14:paraId="7ED95470">
                  <w:pPr>
                    <w:widowControl/>
                    <w:jc w:val="center"/>
                    <w:rPr>
                      <w:color w:val="auto"/>
                      <w:kern w:val="0"/>
                      <w:szCs w:val="21"/>
                    </w:rPr>
                  </w:pPr>
                </w:p>
              </w:tc>
              <w:tc>
                <w:tcPr>
                  <w:tcW w:w="1681" w:type="dxa"/>
                  <w:vAlign w:val="center"/>
                </w:tcPr>
                <w:p w14:paraId="728953C8">
                  <w:pPr>
                    <w:widowControl/>
                    <w:jc w:val="center"/>
                    <w:rPr>
                      <w:color w:val="auto"/>
                      <w:kern w:val="0"/>
                      <w:szCs w:val="21"/>
                    </w:rPr>
                  </w:pPr>
                  <w:r>
                    <w:rPr>
                      <w:rFonts w:hint="eastAsia"/>
                      <w:color w:val="auto"/>
                      <w:kern w:val="0"/>
                      <w:szCs w:val="21"/>
                    </w:rPr>
                    <w:t>02:00~03:00</w:t>
                  </w:r>
                </w:p>
              </w:tc>
              <w:tc>
                <w:tcPr>
                  <w:tcW w:w="1681" w:type="dxa"/>
                  <w:vAlign w:val="center"/>
                </w:tcPr>
                <w:p w14:paraId="19600CAE">
                  <w:pPr>
                    <w:widowControl/>
                    <w:jc w:val="center"/>
                    <w:rPr>
                      <w:color w:val="auto"/>
                      <w:kern w:val="0"/>
                      <w:szCs w:val="21"/>
                    </w:rPr>
                  </w:pPr>
                  <w:r>
                    <w:rPr>
                      <w:rFonts w:hint="eastAsia"/>
                      <w:color w:val="auto"/>
                      <w:kern w:val="0"/>
                      <w:szCs w:val="21"/>
                    </w:rPr>
                    <w:t>13</w:t>
                  </w:r>
                </w:p>
              </w:tc>
              <w:tc>
                <w:tcPr>
                  <w:tcW w:w="1681" w:type="dxa"/>
                  <w:vAlign w:val="center"/>
                </w:tcPr>
                <w:p w14:paraId="14D32DC7">
                  <w:pPr>
                    <w:widowControl/>
                    <w:jc w:val="center"/>
                    <w:rPr>
                      <w:color w:val="auto"/>
                      <w:kern w:val="0"/>
                      <w:szCs w:val="21"/>
                    </w:rPr>
                  </w:pPr>
                  <w:r>
                    <w:rPr>
                      <w:rFonts w:hint="eastAsia"/>
                      <w:color w:val="auto"/>
                      <w:kern w:val="0"/>
                      <w:szCs w:val="21"/>
                    </w:rPr>
                    <w:t>1.10</w:t>
                  </w:r>
                </w:p>
              </w:tc>
            </w:tr>
            <w:tr w14:paraId="124C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223BF0E2">
                  <w:pPr>
                    <w:widowControl/>
                    <w:jc w:val="center"/>
                    <w:rPr>
                      <w:color w:val="auto"/>
                      <w:kern w:val="0"/>
                      <w:szCs w:val="21"/>
                    </w:rPr>
                  </w:pPr>
                </w:p>
              </w:tc>
              <w:tc>
                <w:tcPr>
                  <w:tcW w:w="1680" w:type="dxa"/>
                  <w:vMerge w:val="continue"/>
                  <w:vAlign w:val="center"/>
                </w:tcPr>
                <w:p w14:paraId="7094C70B">
                  <w:pPr>
                    <w:widowControl/>
                    <w:jc w:val="center"/>
                    <w:rPr>
                      <w:color w:val="auto"/>
                      <w:kern w:val="0"/>
                      <w:szCs w:val="21"/>
                    </w:rPr>
                  </w:pPr>
                </w:p>
              </w:tc>
              <w:tc>
                <w:tcPr>
                  <w:tcW w:w="1681" w:type="dxa"/>
                  <w:vAlign w:val="center"/>
                </w:tcPr>
                <w:p w14:paraId="16A4F300">
                  <w:pPr>
                    <w:widowControl/>
                    <w:jc w:val="center"/>
                    <w:rPr>
                      <w:color w:val="auto"/>
                      <w:kern w:val="0"/>
                      <w:szCs w:val="21"/>
                    </w:rPr>
                  </w:pPr>
                  <w:r>
                    <w:rPr>
                      <w:rFonts w:hint="eastAsia"/>
                      <w:color w:val="auto"/>
                      <w:kern w:val="0"/>
                      <w:szCs w:val="21"/>
                    </w:rPr>
                    <w:t>08:00~09:00</w:t>
                  </w:r>
                </w:p>
              </w:tc>
              <w:tc>
                <w:tcPr>
                  <w:tcW w:w="1681" w:type="dxa"/>
                  <w:vAlign w:val="center"/>
                </w:tcPr>
                <w:p w14:paraId="510B002B">
                  <w:pPr>
                    <w:widowControl/>
                    <w:jc w:val="center"/>
                    <w:rPr>
                      <w:color w:val="auto"/>
                      <w:kern w:val="0"/>
                      <w:szCs w:val="21"/>
                    </w:rPr>
                  </w:pPr>
                  <w:r>
                    <w:rPr>
                      <w:rFonts w:hint="eastAsia"/>
                      <w:color w:val="auto"/>
                      <w:kern w:val="0"/>
                      <w:szCs w:val="21"/>
                    </w:rPr>
                    <w:t>12</w:t>
                  </w:r>
                </w:p>
              </w:tc>
              <w:tc>
                <w:tcPr>
                  <w:tcW w:w="1681" w:type="dxa"/>
                  <w:vAlign w:val="center"/>
                </w:tcPr>
                <w:p w14:paraId="2E12622A">
                  <w:pPr>
                    <w:widowControl/>
                    <w:jc w:val="center"/>
                    <w:rPr>
                      <w:color w:val="auto"/>
                      <w:kern w:val="0"/>
                      <w:szCs w:val="21"/>
                    </w:rPr>
                  </w:pPr>
                  <w:r>
                    <w:rPr>
                      <w:rFonts w:hint="eastAsia"/>
                      <w:color w:val="auto"/>
                      <w:kern w:val="0"/>
                      <w:szCs w:val="21"/>
                    </w:rPr>
                    <w:t>1.53</w:t>
                  </w:r>
                </w:p>
              </w:tc>
            </w:tr>
            <w:tr w14:paraId="3F47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24493F65">
                  <w:pPr>
                    <w:widowControl/>
                    <w:jc w:val="center"/>
                    <w:rPr>
                      <w:color w:val="auto"/>
                      <w:kern w:val="0"/>
                      <w:szCs w:val="21"/>
                    </w:rPr>
                  </w:pPr>
                </w:p>
              </w:tc>
              <w:tc>
                <w:tcPr>
                  <w:tcW w:w="1680" w:type="dxa"/>
                  <w:vMerge w:val="continue"/>
                  <w:vAlign w:val="center"/>
                </w:tcPr>
                <w:p w14:paraId="2911D258">
                  <w:pPr>
                    <w:widowControl/>
                    <w:jc w:val="center"/>
                    <w:rPr>
                      <w:color w:val="auto"/>
                      <w:kern w:val="0"/>
                      <w:szCs w:val="21"/>
                    </w:rPr>
                  </w:pPr>
                </w:p>
              </w:tc>
              <w:tc>
                <w:tcPr>
                  <w:tcW w:w="1681" w:type="dxa"/>
                  <w:vAlign w:val="center"/>
                </w:tcPr>
                <w:p w14:paraId="2BBF4CD7">
                  <w:pPr>
                    <w:widowControl/>
                    <w:jc w:val="center"/>
                    <w:rPr>
                      <w:color w:val="auto"/>
                      <w:kern w:val="0"/>
                      <w:szCs w:val="21"/>
                    </w:rPr>
                  </w:pPr>
                  <w:r>
                    <w:rPr>
                      <w:rFonts w:hint="eastAsia"/>
                      <w:color w:val="auto"/>
                      <w:kern w:val="0"/>
                      <w:szCs w:val="21"/>
                    </w:rPr>
                    <w:t>14:00~15:00</w:t>
                  </w:r>
                </w:p>
              </w:tc>
              <w:tc>
                <w:tcPr>
                  <w:tcW w:w="1681" w:type="dxa"/>
                  <w:vAlign w:val="center"/>
                </w:tcPr>
                <w:p w14:paraId="64F3A9E5">
                  <w:pPr>
                    <w:widowControl/>
                    <w:jc w:val="center"/>
                    <w:rPr>
                      <w:color w:val="auto"/>
                      <w:kern w:val="0"/>
                      <w:szCs w:val="21"/>
                    </w:rPr>
                  </w:pPr>
                  <w:r>
                    <w:rPr>
                      <w:rFonts w:hint="eastAsia"/>
                      <w:color w:val="auto"/>
                      <w:kern w:val="0"/>
                      <w:szCs w:val="21"/>
                    </w:rPr>
                    <w:t>14</w:t>
                  </w:r>
                </w:p>
              </w:tc>
              <w:tc>
                <w:tcPr>
                  <w:tcW w:w="1681" w:type="dxa"/>
                  <w:vAlign w:val="center"/>
                </w:tcPr>
                <w:p w14:paraId="72C9B591">
                  <w:pPr>
                    <w:widowControl/>
                    <w:jc w:val="center"/>
                    <w:rPr>
                      <w:color w:val="auto"/>
                      <w:kern w:val="0"/>
                      <w:szCs w:val="21"/>
                    </w:rPr>
                  </w:pPr>
                  <w:r>
                    <w:rPr>
                      <w:rFonts w:hint="eastAsia"/>
                      <w:color w:val="auto"/>
                      <w:kern w:val="0"/>
                      <w:szCs w:val="21"/>
                    </w:rPr>
                    <w:t>1.26</w:t>
                  </w:r>
                </w:p>
              </w:tc>
            </w:tr>
            <w:tr w14:paraId="71FF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3331C674">
                  <w:pPr>
                    <w:widowControl/>
                    <w:jc w:val="center"/>
                    <w:rPr>
                      <w:color w:val="auto"/>
                      <w:kern w:val="0"/>
                      <w:szCs w:val="21"/>
                    </w:rPr>
                  </w:pPr>
                </w:p>
              </w:tc>
              <w:tc>
                <w:tcPr>
                  <w:tcW w:w="1680" w:type="dxa"/>
                  <w:vMerge w:val="continue"/>
                  <w:vAlign w:val="center"/>
                </w:tcPr>
                <w:p w14:paraId="17972137">
                  <w:pPr>
                    <w:widowControl/>
                    <w:jc w:val="center"/>
                    <w:rPr>
                      <w:color w:val="auto"/>
                      <w:kern w:val="0"/>
                      <w:szCs w:val="21"/>
                    </w:rPr>
                  </w:pPr>
                </w:p>
              </w:tc>
              <w:tc>
                <w:tcPr>
                  <w:tcW w:w="1681" w:type="dxa"/>
                  <w:vAlign w:val="center"/>
                </w:tcPr>
                <w:p w14:paraId="1BE202FD">
                  <w:pPr>
                    <w:widowControl/>
                    <w:jc w:val="center"/>
                    <w:rPr>
                      <w:color w:val="auto"/>
                      <w:kern w:val="0"/>
                      <w:szCs w:val="21"/>
                    </w:rPr>
                  </w:pPr>
                  <w:r>
                    <w:rPr>
                      <w:rFonts w:hint="eastAsia"/>
                      <w:color w:val="auto"/>
                      <w:kern w:val="0"/>
                      <w:szCs w:val="21"/>
                    </w:rPr>
                    <w:t>20:00~21:00</w:t>
                  </w:r>
                </w:p>
              </w:tc>
              <w:tc>
                <w:tcPr>
                  <w:tcW w:w="1681" w:type="dxa"/>
                  <w:vAlign w:val="center"/>
                </w:tcPr>
                <w:p w14:paraId="48996CBE">
                  <w:pPr>
                    <w:widowControl/>
                    <w:jc w:val="center"/>
                    <w:rPr>
                      <w:color w:val="auto"/>
                      <w:kern w:val="0"/>
                      <w:szCs w:val="21"/>
                    </w:rPr>
                  </w:pPr>
                  <w:r>
                    <w:rPr>
                      <w:rFonts w:hint="eastAsia"/>
                      <w:color w:val="auto"/>
                      <w:kern w:val="0"/>
                      <w:szCs w:val="21"/>
                    </w:rPr>
                    <w:t>10</w:t>
                  </w:r>
                </w:p>
              </w:tc>
              <w:tc>
                <w:tcPr>
                  <w:tcW w:w="1681" w:type="dxa"/>
                  <w:vAlign w:val="center"/>
                </w:tcPr>
                <w:p w14:paraId="40ED7DC7">
                  <w:pPr>
                    <w:widowControl/>
                    <w:jc w:val="center"/>
                    <w:rPr>
                      <w:color w:val="auto"/>
                      <w:kern w:val="0"/>
                      <w:szCs w:val="21"/>
                    </w:rPr>
                  </w:pPr>
                  <w:r>
                    <w:rPr>
                      <w:rFonts w:hint="eastAsia"/>
                      <w:color w:val="auto"/>
                      <w:kern w:val="0"/>
                      <w:szCs w:val="21"/>
                    </w:rPr>
                    <w:t>1.01</w:t>
                  </w:r>
                </w:p>
              </w:tc>
            </w:tr>
            <w:tr w14:paraId="7CAD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63FF9252">
                  <w:pPr>
                    <w:widowControl/>
                    <w:jc w:val="center"/>
                    <w:rPr>
                      <w:color w:val="auto"/>
                      <w:kern w:val="0"/>
                      <w:szCs w:val="21"/>
                    </w:rPr>
                  </w:pPr>
                  <w:r>
                    <w:rPr>
                      <w:rFonts w:hint="eastAsia"/>
                      <w:color w:val="auto"/>
                      <w:kern w:val="0"/>
                      <w:szCs w:val="21"/>
                    </w:rPr>
                    <w:t>2023.12.07</w:t>
                  </w:r>
                </w:p>
              </w:tc>
              <w:tc>
                <w:tcPr>
                  <w:tcW w:w="1680" w:type="dxa"/>
                  <w:vMerge w:val="continue"/>
                  <w:vAlign w:val="center"/>
                </w:tcPr>
                <w:p w14:paraId="5E9D3FC2">
                  <w:pPr>
                    <w:widowControl/>
                    <w:jc w:val="center"/>
                    <w:rPr>
                      <w:color w:val="auto"/>
                      <w:kern w:val="0"/>
                      <w:szCs w:val="21"/>
                    </w:rPr>
                  </w:pPr>
                </w:p>
              </w:tc>
              <w:tc>
                <w:tcPr>
                  <w:tcW w:w="1681" w:type="dxa"/>
                  <w:vAlign w:val="center"/>
                </w:tcPr>
                <w:p w14:paraId="51A3EBDD">
                  <w:pPr>
                    <w:widowControl/>
                    <w:jc w:val="center"/>
                    <w:rPr>
                      <w:color w:val="auto"/>
                      <w:kern w:val="0"/>
                      <w:szCs w:val="21"/>
                    </w:rPr>
                  </w:pPr>
                  <w:r>
                    <w:rPr>
                      <w:rFonts w:hint="eastAsia"/>
                      <w:color w:val="auto"/>
                      <w:kern w:val="0"/>
                      <w:szCs w:val="21"/>
                    </w:rPr>
                    <w:t>02:00~03:00</w:t>
                  </w:r>
                </w:p>
              </w:tc>
              <w:tc>
                <w:tcPr>
                  <w:tcW w:w="1681" w:type="dxa"/>
                  <w:vAlign w:val="center"/>
                </w:tcPr>
                <w:p w14:paraId="189C56D4">
                  <w:pPr>
                    <w:widowControl/>
                    <w:jc w:val="center"/>
                    <w:rPr>
                      <w:color w:val="auto"/>
                      <w:kern w:val="0"/>
                      <w:szCs w:val="21"/>
                    </w:rPr>
                  </w:pPr>
                  <w:r>
                    <w:rPr>
                      <w:rFonts w:hint="eastAsia"/>
                      <w:color w:val="auto"/>
                      <w:kern w:val="0"/>
                      <w:szCs w:val="21"/>
                    </w:rPr>
                    <w:t>12</w:t>
                  </w:r>
                </w:p>
              </w:tc>
              <w:tc>
                <w:tcPr>
                  <w:tcW w:w="1681" w:type="dxa"/>
                  <w:vAlign w:val="center"/>
                </w:tcPr>
                <w:p w14:paraId="40BBB8D0">
                  <w:pPr>
                    <w:widowControl/>
                    <w:jc w:val="center"/>
                    <w:rPr>
                      <w:color w:val="auto"/>
                      <w:kern w:val="0"/>
                      <w:szCs w:val="21"/>
                    </w:rPr>
                  </w:pPr>
                  <w:r>
                    <w:rPr>
                      <w:rFonts w:hint="eastAsia"/>
                      <w:color w:val="auto"/>
                      <w:kern w:val="0"/>
                      <w:szCs w:val="21"/>
                    </w:rPr>
                    <w:t>1.20</w:t>
                  </w:r>
                </w:p>
              </w:tc>
            </w:tr>
            <w:tr w14:paraId="7719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377AAE6A">
                  <w:pPr>
                    <w:widowControl/>
                    <w:jc w:val="center"/>
                    <w:rPr>
                      <w:color w:val="auto"/>
                      <w:kern w:val="0"/>
                      <w:szCs w:val="21"/>
                    </w:rPr>
                  </w:pPr>
                </w:p>
              </w:tc>
              <w:tc>
                <w:tcPr>
                  <w:tcW w:w="1680" w:type="dxa"/>
                  <w:vMerge w:val="continue"/>
                  <w:vAlign w:val="center"/>
                </w:tcPr>
                <w:p w14:paraId="7881F258">
                  <w:pPr>
                    <w:widowControl/>
                    <w:jc w:val="center"/>
                    <w:rPr>
                      <w:color w:val="auto"/>
                      <w:kern w:val="0"/>
                      <w:szCs w:val="21"/>
                    </w:rPr>
                  </w:pPr>
                </w:p>
              </w:tc>
              <w:tc>
                <w:tcPr>
                  <w:tcW w:w="1681" w:type="dxa"/>
                  <w:vAlign w:val="center"/>
                </w:tcPr>
                <w:p w14:paraId="2C3B1201">
                  <w:pPr>
                    <w:widowControl/>
                    <w:jc w:val="center"/>
                    <w:rPr>
                      <w:color w:val="auto"/>
                      <w:kern w:val="0"/>
                      <w:szCs w:val="21"/>
                    </w:rPr>
                  </w:pPr>
                  <w:r>
                    <w:rPr>
                      <w:rFonts w:hint="eastAsia"/>
                      <w:color w:val="auto"/>
                      <w:kern w:val="0"/>
                      <w:szCs w:val="21"/>
                    </w:rPr>
                    <w:t>08:00~09:00</w:t>
                  </w:r>
                </w:p>
              </w:tc>
              <w:tc>
                <w:tcPr>
                  <w:tcW w:w="1681" w:type="dxa"/>
                  <w:vAlign w:val="center"/>
                </w:tcPr>
                <w:p w14:paraId="712E89E6">
                  <w:pPr>
                    <w:widowControl/>
                    <w:jc w:val="center"/>
                    <w:rPr>
                      <w:color w:val="auto"/>
                      <w:kern w:val="0"/>
                      <w:szCs w:val="21"/>
                    </w:rPr>
                  </w:pPr>
                  <w:r>
                    <w:rPr>
                      <w:rFonts w:hint="eastAsia"/>
                      <w:color w:val="auto"/>
                      <w:kern w:val="0"/>
                      <w:szCs w:val="21"/>
                    </w:rPr>
                    <w:t>11</w:t>
                  </w:r>
                </w:p>
              </w:tc>
              <w:tc>
                <w:tcPr>
                  <w:tcW w:w="1681" w:type="dxa"/>
                  <w:vAlign w:val="center"/>
                </w:tcPr>
                <w:p w14:paraId="216D3F15">
                  <w:pPr>
                    <w:widowControl/>
                    <w:jc w:val="center"/>
                    <w:rPr>
                      <w:color w:val="auto"/>
                      <w:kern w:val="0"/>
                      <w:szCs w:val="21"/>
                    </w:rPr>
                  </w:pPr>
                  <w:r>
                    <w:rPr>
                      <w:rFonts w:hint="eastAsia"/>
                      <w:color w:val="auto"/>
                      <w:kern w:val="0"/>
                      <w:szCs w:val="21"/>
                    </w:rPr>
                    <w:t>1.37</w:t>
                  </w:r>
                </w:p>
              </w:tc>
            </w:tr>
            <w:tr w14:paraId="5AF7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33BF0D8C">
                  <w:pPr>
                    <w:widowControl/>
                    <w:jc w:val="center"/>
                    <w:rPr>
                      <w:color w:val="auto"/>
                      <w:kern w:val="0"/>
                      <w:szCs w:val="21"/>
                    </w:rPr>
                  </w:pPr>
                </w:p>
              </w:tc>
              <w:tc>
                <w:tcPr>
                  <w:tcW w:w="1680" w:type="dxa"/>
                  <w:vMerge w:val="continue"/>
                  <w:vAlign w:val="center"/>
                </w:tcPr>
                <w:p w14:paraId="4377859B">
                  <w:pPr>
                    <w:widowControl/>
                    <w:jc w:val="center"/>
                    <w:rPr>
                      <w:color w:val="auto"/>
                      <w:kern w:val="0"/>
                      <w:szCs w:val="21"/>
                    </w:rPr>
                  </w:pPr>
                </w:p>
              </w:tc>
              <w:tc>
                <w:tcPr>
                  <w:tcW w:w="1681" w:type="dxa"/>
                  <w:vAlign w:val="center"/>
                </w:tcPr>
                <w:p w14:paraId="5B4D6BAA">
                  <w:pPr>
                    <w:widowControl/>
                    <w:jc w:val="center"/>
                    <w:rPr>
                      <w:color w:val="auto"/>
                      <w:kern w:val="0"/>
                      <w:szCs w:val="21"/>
                    </w:rPr>
                  </w:pPr>
                  <w:r>
                    <w:rPr>
                      <w:rFonts w:hint="eastAsia"/>
                      <w:color w:val="auto"/>
                      <w:kern w:val="0"/>
                      <w:szCs w:val="21"/>
                    </w:rPr>
                    <w:t>14:00~15:00</w:t>
                  </w:r>
                </w:p>
              </w:tc>
              <w:tc>
                <w:tcPr>
                  <w:tcW w:w="1681" w:type="dxa"/>
                  <w:vAlign w:val="center"/>
                </w:tcPr>
                <w:p w14:paraId="4428493A">
                  <w:pPr>
                    <w:widowControl/>
                    <w:jc w:val="center"/>
                    <w:rPr>
                      <w:color w:val="auto"/>
                      <w:kern w:val="0"/>
                      <w:szCs w:val="21"/>
                    </w:rPr>
                  </w:pPr>
                  <w:r>
                    <w:rPr>
                      <w:rFonts w:hint="eastAsia"/>
                      <w:color w:val="auto"/>
                      <w:kern w:val="0"/>
                      <w:szCs w:val="21"/>
                    </w:rPr>
                    <w:t>14</w:t>
                  </w:r>
                </w:p>
              </w:tc>
              <w:tc>
                <w:tcPr>
                  <w:tcW w:w="1681" w:type="dxa"/>
                  <w:vAlign w:val="center"/>
                </w:tcPr>
                <w:p w14:paraId="588E0232">
                  <w:pPr>
                    <w:widowControl/>
                    <w:jc w:val="center"/>
                    <w:rPr>
                      <w:color w:val="auto"/>
                      <w:kern w:val="0"/>
                      <w:szCs w:val="21"/>
                    </w:rPr>
                  </w:pPr>
                  <w:r>
                    <w:rPr>
                      <w:rFonts w:hint="eastAsia"/>
                      <w:color w:val="auto"/>
                      <w:kern w:val="0"/>
                      <w:szCs w:val="21"/>
                    </w:rPr>
                    <w:t>1.32</w:t>
                  </w:r>
                </w:p>
              </w:tc>
            </w:tr>
            <w:tr w14:paraId="11CB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569F5DD3">
                  <w:pPr>
                    <w:widowControl/>
                    <w:jc w:val="center"/>
                    <w:rPr>
                      <w:color w:val="auto"/>
                      <w:kern w:val="0"/>
                      <w:szCs w:val="21"/>
                    </w:rPr>
                  </w:pPr>
                </w:p>
              </w:tc>
              <w:tc>
                <w:tcPr>
                  <w:tcW w:w="1680" w:type="dxa"/>
                  <w:vMerge w:val="continue"/>
                  <w:vAlign w:val="center"/>
                </w:tcPr>
                <w:p w14:paraId="3ADF3E0C">
                  <w:pPr>
                    <w:widowControl/>
                    <w:jc w:val="center"/>
                    <w:rPr>
                      <w:color w:val="auto"/>
                      <w:kern w:val="0"/>
                      <w:szCs w:val="21"/>
                    </w:rPr>
                  </w:pPr>
                </w:p>
              </w:tc>
              <w:tc>
                <w:tcPr>
                  <w:tcW w:w="1681" w:type="dxa"/>
                  <w:vAlign w:val="center"/>
                </w:tcPr>
                <w:p w14:paraId="215C1665">
                  <w:pPr>
                    <w:widowControl/>
                    <w:jc w:val="center"/>
                    <w:rPr>
                      <w:color w:val="auto"/>
                      <w:kern w:val="0"/>
                      <w:szCs w:val="21"/>
                    </w:rPr>
                  </w:pPr>
                  <w:r>
                    <w:rPr>
                      <w:rFonts w:hint="eastAsia"/>
                      <w:color w:val="auto"/>
                      <w:kern w:val="0"/>
                      <w:szCs w:val="21"/>
                    </w:rPr>
                    <w:t>20:00~21:00</w:t>
                  </w:r>
                </w:p>
              </w:tc>
              <w:tc>
                <w:tcPr>
                  <w:tcW w:w="1681" w:type="dxa"/>
                  <w:vAlign w:val="center"/>
                </w:tcPr>
                <w:p w14:paraId="64D3F7D5">
                  <w:pPr>
                    <w:widowControl/>
                    <w:jc w:val="center"/>
                    <w:rPr>
                      <w:color w:val="auto"/>
                      <w:kern w:val="0"/>
                      <w:szCs w:val="21"/>
                    </w:rPr>
                  </w:pPr>
                  <w:r>
                    <w:rPr>
                      <w:rFonts w:hint="eastAsia"/>
                      <w:color w:val="auto"/>
                      <w:kern w:val="0"/>
                      <w:szCs w:val="21"/>
                    </w:rPr>
                    <w:t>13</w:t>
                  </w:r>
                </w:p>
              </w:tc>
              <w:tc>
                <w:tcPr>
                  <w:tcW w:w="1681" w:type="dxa"/>
                  <w:vAlign w:val="center"/>
                </w:tcPr>
                <w:p w14:paraId="32D789BC">
                  <w:pPr>
                    <w:widowControl/>
                    <w:jc w:val="center"/>
                    <w:rPr>
                      <w:color w:val="auto"/>
                      <w:kern w:val="0"/>
                      <w:szCs w:val="21"/>
                    </w:rPr>
                  </w:pPr>
                  <w:r>
                    <w:rPr>
                      <w:rFonts w:hint="eastAsia"/>
                      <w:color w:val="auto"/>
                      <w:kern w:val="0"/>
                      <w:szCs w:val="21"/>
                    </w:rPr>
                    <w:t>1.04</w:t>
                  </w:r>
                </w:p>
              </w:tc>
            </w:tr>
            <w:tr w14:paraId="56F5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516818F5">
                  <w:pPr>
                    <w:widowControl/>
                    <w:jc w:val="center"/>
                    <w:rPr>
                      <w:color w:val="auto"/>
                      <w:kern w:val="0"/>
                      <w:szCs w:val="21"/>
                    </w:rPr>
                  </w:pPr>
                  <w:r>
                    <w:rPr>
                      <w:rFonts w:hint="eastAsia"/>
                      <w:color w:val="auto"/>
                      <w:kern w:val="0"/>
                      <w:szCs w:val="21"/>
                    </w:rPr>
                    <w:t>2023.12.08</w:t>
                  </w:r>
                </w:p>
              </w:tc>
              <w:tc>
                <w:tcPr>
                  <w:tcW w:w="1680" w:type="dxa"/>
                  <w:vMerge w:val="continue"/>
                  <w:vAlign w:val="center"/>
                </w:tcPr>
                <w:p w14:paraId="21924673">
                  <w:pPr>
                    <w:widowControl/>
                    <w:jc w:val="center"/>
                    <w:rPr>
                      <w:color w:val="auto"/>
                      <w:kern w:val="0"/>
                      <w:szCs w:val="21"/>
                    </w:rPr>
                  </w:pPr>
                </w:p>
              </w:tc>
              <w:tc>
                <w:tcPr>
                  <w:tcW w:w="1681" w:type="dxa"/>
                  <w:vAlign w:val="center"/>
                </w:tcPr>
                <w:p w14:paraId="03A55C48">
                  <w:pPr>
                    <w:widowControl/>
                    <w:jc w:val="center"/>
                    <w:rPr>
                      <w:color w:val="auto"/>
                      <w:kern w:val="0"/>
                      <w:szCs w:val="21"/>
                    </w:rPr>
                  </w:pPr>
                  <w:r>
                    <w:rPr>
                      <w:rFonts w:hint="eastAsia"/>
                      <w:color w:val="auto"/>
                      <w:kern w:val="0"/>
                      <w:szCs w:val="21"/>
                    </w:rPr>
                    <w:t>02:00~03:00</w:t>
                  </w:r>
                </w:p>
              </w:tc>
              <w:tc>
                <w:tcPr>
                  <w:tcW w:w="1681" w:type="dxa"/>
                  <w:vAlign w:val="center"/>
                </w:tcPr>
                <w:p w14:paraId="79D1F9F7">
                  <w:pPr>
                    <w:widowControl/>
                    <w:jc w:val="center"/>
                    <w:rPr>
                      <w:color w:val="auto"/>
                      <w:kern w:val="0"/>
                      <w:szCs w:val="21"/>
                    </w:rPr>
                  </w:pPr>
                  <w:r>
                    <w:rPr>
                      <w:rFonts w:hint="eastAsia"/>
                      <w:color w:val="auto"/>
                      <w:kern w:val="0"/>
                      <w:szCs w:val="21"/>
                    </w:rPr>
                    <w:t>13</w:t>
                  </w:r>
                </w:p>
              </w:tc>
              <w:tc>
                <w:tcPr>
                  <w:tcW w:w="1681" w:type="dxa"/>
                  <w:vAlign w:val="center"/>
                </w:tcPr>
                <w:p w14:paraId="076F6156">
                  <w:pPr>
                    <w:widowControl/>
                    <w:jc w:val="center"/>
                    <w:rPr>
                      <w:color w:val="auto"/>
                      <w:kern w:val="0"/>
                      <w:szCs w:val="21"/>
                    </w:rPr>
                  </w:pPr>
                  <w:r>
                    <w:rPr>
                      <w:rFonts w:hint="eastAsia"/>
                      <w:color w:val="auto"/>
                      <w:kern w:val="0"/>
                      <w:szCs w:val="21"/>
                    </w:rPr>
                    <w:t>1.21</w:t>
                  </w:r>
                </w:p>
              </w:tc>
            </w:tr>
            <w:tr w14:paraId="3E9D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2D4FA7F8">
                  <w:pPr>
                    <w:widowControl/>
                    <w:jc w:val="center"/>
                    <w:rPr>
                      <w:color w:val="auto"/>
                      <w:kern w:val="0"/>
                      <w:szCs w:val="21"/>
                    </w:rPr>
                  </w:pPr>
                </w:p>
              </w:tc>
              <w:tc>
                <w:tcPr>
                  <w:tcW w:w="1680" w:type="dxa"/>
                  <w:vMerge w:val="continue"/>
                  <w:vAlign w:val="center"/>
                </w:tcPr>
                <w:p w14:paraId="63EBA065">
                  <w:pPr>
                    <w:widowControl/>
                    <w:jc w:val="center"/>
                    <w:rPr>
                      <w:color w:val="auto"/>
                      <w:kern w:val="0"/>
                      <w:szCs w:val="21"/>
                    </w:rPr>
                  </w:pPr>
                </w:p>
              </w:tc>
              <w:tc>
                <w:tcPr>
                  <w:tcW w:w="1681" w:type="dxa"/>
                  <w:vAlign w:val="center"/>
                </w:tcPr>
                <w:p w14:paraId="61753195">
                  <w:pPr>
                    <w:widowControl/>
                    <w:jc w:val="center"/>
                    <w:rPr>
                      <w:color w:val="auto"/>
                      <w:kern w:val="0"/>
                      <w:szCs w:val="21"/>
                    </w:rPr>
                  </w:pPr>
                  <w:r>
                    <w:rPr>
                      <w:rFonts w:hint="eastAsia"/>
                      <w:color w:val="auto"/>
                      <w:kern w:val="0"/>
                      <w:szCs w:val="21"/>
                    </w:rPr>
                    <w:t>08:00~09:00</w:t>
                  </w:r>
                </w:p>
              </w:tc>
              <w:tc>
                <w:tcPr>
                  <w:tcW w:w="1681" w:type="dxa"/>
                  <w:vAlign w:val="center"/>
                </w:tcPr>
                <w:p w14:paraId="67FC1ABC">
                  <w:pPr>
                    <w:widowControl/>
                    <w:jc w:val="center"/>
                    <w:rPr>
                      <w:color w:val="auto"/>
                      <w:kern w:val="0"/>
                      <w:szCs w:val="21"/>
                    </w:rPr>
                  </w:pPr>
                  <w:r>
                    <w:rPr>
                      <w:rFonts w:hint="eastAsia"/>
                      <w:color w:val="auto"/>
                      <w:kern w:val="0"/>
                      <w:szCs w:val="21"/>
                    </w:rPr>
                    <w:t>12</w:t>
                  </w:r>
                </w:p>
              </w:tc>
              <w:tc>
                <w:tcPr>
                  <w:tcW w:w="1681" w:type="dxa"/>
                  <w:vAlign w:val="center"/>
                </w:tcPr>
                <w:p w14:paraId="4D9A96EE">
                  <w:pPr>
                    <w:widowControl/>
                    <w:jc w:val="center"/>
                    <w:rPr>
                      <w:color w:val="auto"/>
                      <w:kern w:val="0"/>
                      <w:szCs w:val="21"/>
                    </w:rPr>
                  </w:pPr>
                  <w:r>
                    <w:rPr>
                      <w:rFonts w:hint="eastAsia"/>
                      <w:color w:val="auto"/>
                      <w:kern w:val="0"/>
                      <w:szCs w:val="21"/>
                    </w:rPr>
                    <w:t>1.45</w:t>
                  </w:r>
                </w:p>
              </w:tc>
            </w:tr>
            <w:tr w14:paraId="6DE6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2AF7B86B">
                  <w:pPr>
                    <w:widowControl/>
                    <w:jc w:val="center"/>
                    <w:rPr>
                      <w:color w:val="auto"/>
                      <w:kern w:val="0"/>
                      <w:szCs w:val="21"/>
                    </w:rPr>
                  </w:pPr>
                </w:p>
              </w:tc>
              <w:tc>
                <w:tcPr>
                  <w:tcW w:w="1680" w:type="dxa"/>
                  <w:vMerge w:val="continue"/>
                  <w:vAlign w:val="center"/>
                </w:tcPr>
                <w:p w14:paraId="7C6AAF9E">
                  <w:pPr>
                    <w:widowControl/>
                    <w:jc w:val="center"/>
                    <w:rPr>
                      <w:color w:val="auto"/>
                      <w:kern w:val="0"/>
                      <w:szCs w:val="21"/>
                    </w:rPr>
                  </w:pPr>
                </w:p>
              </w:tc>
              <w:tc>
                <w:tcPr>
                  <w:tcW w:w="1681" w:type="dxa"/>
                  <w:vAlign w:val="center"/>
                </w:tcPr>
                <w:p w14:paraId="23E03CEE">
                  <w:pPr>
                    <w:widowControl/>
                    <w:jc w:val="center"/>
                    <w:rPr>
                      <w:color w:val="auto"/>
                      <w:kern w:val="0"/>
                      <w:szCs w:val="21"/>
                    </w:rPr>
                  </w:pPr>
                  <w:r>
                    <w:rPr>
                      <w:rFonts w:hint="eastAsia"/>
                      <w:color w:val="auto"/>
                      <w:kern w:val="0"/>
                      <w:szCs w:val="21"/>
                    </w:rPr>
                    <w:t>14:00~15:00</w:t>
                  </w:r>
                </w:p>
              </w:tc>
              <w:tc>
                <w:tcPr>
                  <w:tcW w:w="1681" w:type="dxa"/>
                  <w:vAlign w:val="center"/>
                </w:tcPr>
                <w:p w14:paraId="6C8E4C1A">
                  <w:pPr>
                    <w:widowControl/>
                    <w:jc w:val="center"/>
                    <w:rPr>
                      <w:color w:val="auto"/>
                      <w:kern w:val="0"/>
                      <w:szCs w:val="21"/>
                    </w:rPr>
                  </w:pPr>
                  <w:r>
                    <w:rPr>
                      <w:rFonts w:hint="eastAsia"/>
                      <w:color w:val="auto"/>
                      <w:kern w:val="0"/>
                      <w:szCs w:val="21"/>
                    </w:rPr>
                    <w:t>14</w:t>
                  </w:r>
                </w:p>
              </w:tc>
              <w:tc>
                <w:tcPr>
                  <w:tcW w:w="1681" w:type="dxa"/>
                  <w:vAlign w:val="center"/>
                </w:tcPr>
                <w:p w14:paraId="2A0A72E3">
                  <w:pPr>
                    <w:widowControl/>
                    <w:jc w:val="center"/>
                    <w:rPr>
                      <w:color w:val="auto"/>
                      <w:kern w:val="0"/>
                      <w:szCs w:val="21"/>
                    </w:rPr>
                  </w:pPr>
                  <w:r>
                    <w:rPr>
                      <w:rFonts w:hint="eastAsia"/>
                      <w:color w:val="auto"/>
                      <w:kern w:val="0"/>
                      <w:szCs w:val="21"/>
                    </w:rPr>
                    <w:t>1.34</w:t>
                  </w:r>
                </w:p>
              </w:tc>
            </w:tr>
            <w:tr w14:paraId="342A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367C297E">
                  <w:pPr>
                    <w:widowControl/>
                    <w:jc w:val="center"/>
                    <w:rPr>
                      <w:color w:val="auto"/>
                      <w:kern w:val="0"/>
                      <w:szCs w:val="21"/>
                    </w:rPr>
                  </w:pPr>
                </w:p>
              </w:tc>
              <w:tc>
                <w:tcPr>
                  <w:tcW w:w="1680" w:type="dxa"/>
                  <w:vMerge w:val="continue"/>
                  <w:vAlign w:val="center"/>
                </w:tcPr>
                <w:p w14:paraId="54508FD4">
                  <w:pPr>
                    <w:widowControl/>
                    <w:jc w:val="center"/>
                    <w:rPr>
                      <w:color w:val="auto"/>
                      <w:kern w:val="0"/>
                      <w:szCs w:val="21"/>
                    </w:rPr>
                  </w:pPr>
                </w:p>
              </w:tc>
              <w:tc>
                <w:tcPr>
                  <w:tcW w:w="1681" w:type="dxa"/>
                  <w:vAlign w:val="center"/>
                </w:tcPr>
                <w:p w14:paraId="31AA95AD">
                  <w:pPr>
                    <w:widowControl/>
                    <w:jc w:val="center"/>
                    <w:rPr>
                      <w:color w:val="auto"/>
                      <w:kern w:val="0"/>
                      <w:szCs w:val="21"/>
                    </w:rPr>
                  </w:pPr>
                  <w:r>
                    <w:rPr>
                      <w:rFonts w:hint="eastAsia"/>
                      <w:color w:val="auto"/>
                      <w:kern w:val="0"/>
                      <w:szCs w:val="21"/>
                    </w:rPr>
                    <w:t>20:00~21:00</w:t>
                  </w:r>
                </w:p>
              </w:tc>
              <w:tc>
                <w:tcPr>
                  <w:tcW w:w="1681" w:type="dxa"/>
                  <w:vAlign w:val="center"/>
                </w:tcPr>
                <w:p w14:paraId="783CE9A2">
                  <w:pPr>
                    <w:widowControl/>
                    <w:jc w:val="center"/>
                    <w:rPr>
                      <w:color w:val="auto"/>
                      <w:kern w:val="0"/>
                      <w:szCs w:val="21"/>
                    </w:rPr>
                  </w:pPr>
                  <w:r>
                    <w:rPr>
                      <w:rFonts w:hint="eastAsia"/>
                      <w:color w:val="auto"/>
                      <w:kern w:val="0"/>
                      <w:szCs w:val="21"/>
                    </w:rPr>
                    <w:t>10</w:t>
                  </w:r>
                </w:p>
              </w:tc>
              <w:tc>
                <w:tcPr>
                  <w:tcW w:w="1681" w:type="dxa"/>
                  <w:vAlign w:val="center"/>
                </w:tcPr>
                <w:p w14:paraId="53DBD93F">
                  <w:pPr>
                    <w:widowControl/>
                    <w:jc w:val="center"/>
                    <w:rPr>
                      <w:color w:val="auto"/>
                      <w:kern w:val="0"/>
                      <w:szCs w:val="21"/>
                    </w:rPr>
                  </w:pPr>
                  <w:r>
                    <w:rPr>
                      <w:rFonts w:hint="eastAsia"/>
                      <w:color w:val="auto"/>
                      <w:kern w:val="0"/>
                      <w:szCs w:val="21"/>
                    </w:rPr>
                    <w:t>1.02</w:t>
                  </w:r>
                </w:p>
              </w:tc>
            </w:tr>
            <w:tr w14:paraId="4577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502F674F">
                  <w:pPr>
                    <w:widowControl/>
                    <w:jc w:val="center"/>
                    <w:rPr>
                      <w:color w:val="auto"/>
                      <w:kern w:val="0"/>
                      <w:szCs w:val="21"/>
                    </w:rPr>
                  </w:pPr>
                  <w:r>
                    <w:rPr>
                      <w:rFonts w:hint="eastAsia"/>
                      <w:color w:val="auto"/>
                      <w:kern w:val="0"/>
                      <w:szCs w:val="21"/>
                    </w:rPr>
                    <w:t>2023.12.09</w:t>
                  </w:r>
                </w:p>
              </w:tc>
              <w:tc>
                <w:tcPr>
                  <w:tcW w:w="1680" w:type="dxa"/>
                  <w:vMerge w:val="continue"/>
                  <w:vAlign w:val="center"/>
                </w:tcPr>
                <w:p w14:paraId="459B24FB">
                  <w:pPr>
                    <w:widowControl/>
                    <w:jc w:val="center"/>
                    <w:rPr>
                      <w:color w:val="auto"/>
                      <w:kern w:val="0"/>
                      <w:szCs w:val="21"/>
                    </w:rPr>
                  </w:pPr>
                </w:p>
              </w:tc>
              <w:tc>
                <w:tcPr>
                  <w:tcW w:w="1681" w:type="dxa"/>
                  <w:vAlign w:val="center"/>
                </w:tcPr>
                <w:p w14:paraId="6BE67E82">
                  <w:pPr>
                    <w:widowControl/>
                    <w:jc w:val="center"/>
                    <w:rPr>
                      <w:color w:val="auto"/>
                      <w:kern w:val="0"/>
                      <w:szCs w:val="21"/>
                    </w:rPr>
                  </w:pPr>
                  <w:r>
                    <w:rPr>
                      <w:rFonts w:hint="eastAsia"/>
                      <w:color w:val="auto"/>
                      <w:kern w:val="0"/>
                      <w:szCs w:val="21"/>
                    </w:rPr>
                    <w:t>02:00~03:00</w:t>
                  </w:r>
                </w:p>
              </w:tc>
              <w:tc>
                <w:tcPr>
                  <w:tcW w:w="1681" w:type="dxa"/>
                  <w:vAlign w:val="center"/>
                </w:tcPr>
                <w:p w14:paraId="04902C74">
                  <w:pPr>
                    <w:widowControl/>
                    <w:jc w:val="center"/>
                    <w:rPr>
                      <w:color w:val="auto"/>
                      <w:kern w:val="0"/>
                      <w:szCs w:val="21"/>
                    </w:rPr>
                  </w:pPr>
                  <w:r>
                    <w:rPr>
                      <w:rFonts w:hint="eastAsia"/>
                      <w:color w:val="auto"/>
                      <w:kern w:val="0"/>
                      <w:szCs w:val="21"/>
                    </w:rPr>
                    <w:t>12</w:t>
                  </w:r>
                </w:p>
              </w:tc>
              <w:tc>
                <w:tcPr>
                  <w:tcW w:w="1681" w:type="dxa"/>
                  <w:vAlign w:val="center"/>
                </w:tcPr>
                <w:p w14:paraId="2A060EEC">
                  <w:pPr>
                    <w:widowControl/>
                    <w:jc w:val="center"/>
                    <w:rPr>
                      <w:color w:val="auto"/>
                      <w:kern w:val="0"/>
                      <w:szCs w:val="21"/>
                    </w:rPr>
                  </w:pPr>
                  <w:r>
                    <w:rPr>
                      <w:rFonts w:hint="eastAsia"/>
                      <w:color w:val="auto"/>
                      <w:kern w:val="0"/>
                      <w:szCs w:val="21"/>
                    </w:rPr>
                    <w:t>1.14</w:t>
                  </w:r>
                </w:p>
              </w:tc>
            </w:tr>
            <w:tr w14:paraId="3AAB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089523DE">
                  <w:pPr>
                    <w:widowControl/>
                    <w:jc w:val="center"/>
                    <w:rPr>
                      <w:color w:val="auto"/>
                      <w:kern w:val="0"/>
                      <w:szCs w:val="21"/>
                    </w:rPr>
                  </w:pPr>
                </w:p>
              </w:tc>
              <w:tc>
                <w:tcPr>
                  <w:tcW w:w="1680" w:type="dxa"/>
                  <w:vMerge w:val="continue"/>
                  <w:vAlign w:val="center"/>
                </w:tcPr>
                <w:p w14:paraId="5C8DBC63">
                  <w:pPr>
                    <w:widowControl/>
                    <w:jc w:val="center"/>
                    <w:rPr>
                      <w:color w:val="auto"/>
                      <w:kern w:val="0"/>
                      <w:szCs w:val="21"/>
                    </w:rPr>
                  </w:pPr>
                </w:p>
              </w:tc>
              <w:tc>
                <w:tcPr>
                  <w:tcW w:w="1681" w:type="dxa"/>
                  <w:vAlign w:val="center"/>
                </w:tcPr>
                <w:p w14:paraId="4480F968">
                  <w:pPr>
                    <w:widowControl/>
                    <w:jc w:val="center"/>
                    <w:rPr>
                      <w:color w:val="auto"/>
                      <w:kern w:val="0"/>
                      <w:szCs w:val="21"/>
                    </w:rPr>
                  </w:pPr>
                  <w:r>
                    <w:rPr>
                      <w:rFonts w:hint="eastAsia"/>
                      <w:color w:val="auto"/>
                      <w:kern w:val="0"/>
                      <w:szCs w:val="21"/>
                    </w:rPr>
                    <w:t>08:00~09:00</w:t>
                  </w:r>
                </w:p>
              </w:tc>
              <w:tc>
                <w:tcPr>
                  <w:tcW w:w="1681" w:type="dxa"/>
                  <w:vAlign w:val="center"/>
                </w:tcPr>
                <w:p w14:paraId="22ECE3A6">
                  <w:pPr>
                    <w:widowControl/>
                    <w:jc w:val="center"/>
                    <w:rPr>
                      <w:color w:val="auto"/>
                      <w:kern w:val="0"/>
                      <w:szCs w:val="21"/>
                    </w:rPr>
                  </w:pPr>
                  <w:r>
                    <w:rPr>
                      <w:rFonts w:hint="eastAsia"/>
                      <w:color w:val="auto"/>
                      <w:kern w:val="0"/>
                      <w:szCs w:val="21"/>
                    </w:rPr>
                    <w:t>13</w:t>
                  </w:r>
                </w:p>
              </w:tc>
              <w:tc>
                <w:tcPr>
                  <w:tcW w:w="1681" w:type="dxa"/>
                  <w:vAlign w:val="center"/>
                </w:tcPr>
                <w:p w14:paraId="74E61B1D">
                  <w:pPr>
                    <w:widowControl/>
                    <w:jc w:val="center"/>
                    <w:rPr>
                      <w:color w:val="auto"/>
                      <w:kern w:val="0"/>
                      <w:szCs w:val="21"/>
                    </w:rPr>
                  </w:pPr>
                  <w:r>
                    <w:rPr>
                      <w:rFonts w:hint="eastAsia"/>
                      <w:color w:val="auto"/>
                      <w:kern w:val="0"/>
                      <w:szCs w:val="21"/>
                    </w:rPr>
                    <w:t>1.47</w:t>
                  </w:r>
                </w:p>
              </w:tc>
            </w:tr>
            <w:tr w14:paraId="457C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4F96D812">
                  <w:pPr>
                    <w:widowControl/>
                    <w:jc w:val="center"/>
                    <w:rPr>
                      <w:color w:val="auto"/>
                      <w:kern w:val="0"/>
                      <w:szCs w:val="21"/>
                    </w:rPr>
                  </w:pPr>
                </w:p>
              </w:tc>
              <w:tc>
                <w:tcPr>
                  <w:tcW w:w="1680" w:type="dxa"/>
                  <w:vMerge w:val="continue"/>
                  <w:vAlign w:val="center"/>
                </w:tcPr>
                <w:p w14:paraId="68EBFDB5">
                  <w:pPr>
                    <w:widowControl/>
                    <w:jc w:val="center"/>
                    <w:rPr>
                      <w:color w:val="auto"/>
                      <w:kern w:val="0"/>
                      <w:szCs w:val="21"/>
                    </w:rPr>
                  </w:pPr>
                </w:p>
              </w:tc>
              <w:tc>
                <w:tcPr>
                  <w:tcW w:w="1681" w:type="dxa"/>
                  <w:vAlign w:val="center"/>
                </w:tcPr>
                <w:p w14:paraId="4070FA6C">
                  <w:pPr>
                    <w:widowControl/>
                    <w:jc w:val="center"/>
                    <w:rPr>
                      <w:color w:val="auto"/>
                      <w:kern w:val="0"/>
                      <w:szCs w:val="21"/>
                    </w:rPr>
                  </w:pPr>
                  <w:r>
                    <w:rPr>
                      <w:rFonts w:hint="eastAsia"/>
                      <w:color w:val="auto"/>
                      <w:kern w:val="0"/>
                      <w:szCs w:val="21"/>
                    </w:rPr>
                    <w:t>14:00~15:00</w:t>
                  </w:r>
                </w:p>
              </w:tc>
              <w:tc>
                <w:tcPr>
                  <w:tcW w:w="1681" w:type="dxa"/>
                  <w:vAlign w:val="center"/>
                </w:tcPr>
                <w:p w14:paraId="4943C9C4">
                  <w:pPr>
                    <w:widowControl/>
                    <w:jc w:val="center"/>
                    <w:rPr>
                      <w:color w:val="auto"/>
                      <w:kern w:val="0"/>
                      <w:szCs w:val="21"/>
                    </w:rPr>
                  </w:pPr>
                  <w:r>
                    <w:rPr>
                      <w:rFonts w:hint="eastAsia"/>
                      <w:color w:val="auto"/>
                      <w:kern w:val="0"/>
                      <w:szCs w:val="21"/>
                    </w:rPr>
                    <w:t>14</w:t>
                  </w:r>
                </w:p>
              </w:tc>
              <w:tc>
                <w:tcPr>
                  <w:tcW w:w="1681" w:type="dxa"/>
                  <w:vAlign w:val="center"/>
                </w:tcPr>
                <w:p w14:paraId="48A03773">
                  <w:pPr>
                    <w:widowControl/>
                    <w:jc w:val="center"/>
                    <w:rPr>
                      <w:color w:val="auto"/>
                      <w:kern w:val="0"/>
                      <w:szCs w:val="21"/>
                    </w:rPr>
                  </w:pPr>
                  <w:r>
                    <w:rPr>
                      <w:rFonts w:hint="eastAsia"/>
                      <w:color w:val="auto"/>
                      <w:kern w:val="0"/>
                      <w:szCs w:val="21"/>
                    </w:rPr>
                    <w:t>1.22</w:t>
                  </w:r>
                </w:p>
              </w:tc>
            </w:tr>
            <w:tr w14:paraId="2BA0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4273FC22">
                  <w:pPr>
                    <w:widowControl/>
                    <w:jc w:val="center"/>
                    <w:rPr>
                      <w:color w:val="auto"/>
                      <w:kern w:val="0"/>
                      <w:szCs w:val="21"/>
                    </w:rPr>
                  </w:pPr>
                </w:p>
              </w:tc>
              <w:tc>
                <w:tcPr>
                  <w:tcW w:w="1680" w:type="dxa"/>
                  <w:vMerge w:val="continue"/>
                  <w:vAlign w:val="center"/>
                </w:tcPr>
                <w:p w14:paraId="769C77F8">
                  <w:pPr>
                    <w:widowControl/>
                    <w:jc w:val="center"/>
                    <w:rPr>
                      <w:color w:val="auto"/>
                      <w:kern w:val="0"/>
                      <w:szCs w:val="21"/>
                    </w:rPr>
                  </w:pPr>
                </w:p>
              </w:tc>
              <w:tc>
                <w:tcPr>
                  <w:tcW w:w="1681" w:type="dxa"/>
                  <w:vAlign w:val="center"/>
                </w:tcPr>
                <w:p w14:paraId="6BB35A34">
                  <w:pPr>
                    <w:widowControl/>
                    <w:jc w:val="center"/>
                    <w:rPr>
                      <w:color w:val="auto"/>
                      <w:kern w:val="0"/>
                      <w:szCs w:val="21"/>
                    </w:rPr>
                  </w:pPr>
                  <w:r>
                    <w:rPr>
                      <w:rFonts w:hint="eastAsia"/>
                      <w:color w:val="auto"/>
                      <w:kern w:val="0"/>
                      <w:szCs w:val="21"/>
                    </w:rPr>
                    <w:t>20:00~21:00</w:t>
                  </w:r>
                </w:p>
              </w:tc>
              <w:tc>
                <w:tcPr>
                  <w:tcW w:w="1681" w:type="dxa"/>
                  <w:vAlign w:val="center"/>
                </w:tcPr>
                <w:p w14:paraId="5A98797F">
                  <w:pPr>
                    <w:widowControl/>
                    <w:jc w:val="center"/>
                    <w:rPr>
                      <w:color w:val="auto"/>
                      <w:kern w:val="0"/>
                      <w:szCs w:val="21"/>
                    </w:rPr>
                  </w:pPr>
                  <w:r>
                    <w:rPr>
                      <w:rFonts w:hint="eastAsia"/>
                      <w:color w:val="auto"/>
                      <w:kern w:val="0"/>
                      <w:szCs w:val="21"/>
                    </w:rPr>
                    <w:t>10</w:t>
                  </w:r>
                </w:p>
              </w:tc>
              <w:tc>
                <w:tcPr>
                  <w:tcW w:w="1681" w:type="dxa"/>
                  <w:vAlign w:val="center"/>
                </w:tcPr>
                <w:p w14:paraId="2679D9AD">
                  <w:pPr>
                    <w:widowControl/>
                    <w:jc w:val="center"/>
                    <w:rPr>
                      <w:color w:val="auto"/>
                      <w:kern w:val="0"/>
                      <w:szCs w:val="21"/>
                    </w:rPr>
                  </w:pPr>
                  <w:r>
                    <w:rPr>
                      <w:rFonts w:hint="eastAsia"/>
                      <w:color w:val="auto"/>
                      <w:kern w:val="0"/>
                      <w:szCs w:val="21"/>
                    </w:rPr>
                    <w:t>1.03</w:t>
                  </w:r>
                </w:p>
              </w:tc>
            </w:tr>
            <w:tr w14:paraId="307A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47A1CD3A">
                  <w:pPr>
                    <w:widowControl/>
                    <w:jc w:val="center"/>
                    <w:rPr>
                      <w:color w:val="auto"/>
                      <w:kern w:val="0"/>
                      <w:szCs w:val="21"/>
                    </w:rPr>
                  </w:pPr>
                  <w:r>
                    <w:rPr>
                      <w:rFonts w:hint="eastAsia"/>
                      <w:color w:val="auto"/>
                      <w:kern w:val="0"/>
                      <w:szCs w:val="21"/>
                    </w:rPr>
                    <w:t>2023.12.10</w:t>
                  </w:r>
                </w:p>
              </w:tc>
              <w:tc>
                <w:tcPr>
                  <w:tcW w:w="1680" w:type="dxa"/>
                  <w:vMerge w:val="continue"/>
                  <w:vAlign w:val="center"/>
                </w:tcPr>
                <w:p w14:paraId="254B05C9">
                  <w:pPr>
                    <w:widowControl/>
                    <w:jc w:val="center"/>
                    <w:rPr>
                      <w:color w:val="auto"/>
                      <w:kern w:val="0"/>
                      <w:szCs w:val="21"/>
                    </w:rPr>
                  </w:pPr>
                </w:p>
              </w:tc>
              <w:tc>
                <w:tcPr>
                  <w:tcW w:w="1681" w:type="dxa"/>
                  <w:vAlign w:val="center"/>
                </w:tcPr>
                <w:p w14:paraId="4A29B015">
                  <w:pPr>
                    <w:widowControl/>
                    <w:jc w:val="center"/>
                    <w:rPr>
                      <w:color w:val="auto"/>
                      <w:kern w:val="0"/>
                      <w:szCs w:val="21"/>
                    </w:rPr>
                  </w:pPr>
                  <w:r>
                    <w:rPr>
                      <w:rFonts w:hint="eastAsia"/>
                      <w:color w:val="auto"/>
                      <w:kern w:val="0"/>
                      <w:szCs w:val="21"/>
                    </w:rPr>
                    <w:t>02:00~03:00</w:t>
                  </w:r>
                </w:p>
              </w:tc>
              <w:tc>
                <w:tcPr>
                  <w:tcW w:w="1681" w:type="dxa"/>
                  <w:vAlign w:val="center"/>
                </w:tcPr>
                <w:p w14:paraId="3C54FB15">
                  <w:pPr>
                    <w:widowControl/>
                    <w:jc w:val="center"/>
                    <w:rPr>
                      <w:color w:val="auto"/>
                      <w:kern w:val="0"/>
                      <w:szCs w:val="21"/>
                    </w:rPr>
                  </w:pPr>
                  <w:r>
                    <w:rPr>
                      <w:rFonts w:hint="eastAsia"/>
                      <w:color w:val="auto"/>
                      <w:kern w:val="0"/>
                      <w:szCs w:val="21"/>
                    </w:rPr>
                    <w:t>13</w:t>
                  </w:r>
                </w:p>
              </w:tc>
              <w:tc>
                <w:tcPr>
                  <w:tcW w:w="1681" w:type="dxa"/>
                  <w:vAlign w:val="center"/>
                </w:tcPr>
                <w:p w14:paraId="23312C39">
                  <w:pPr>
                    <w:widowControl/>
                    <w:jc w:val="center"/>
                    <w:rPr>
                      <w:color w:val="auto"/>
                      <w:kern w:val="0"/>
                      <w:szCs w:val="21"/>
                    </w:rPr>
                  </w:pPr>
                  <w:r>
                    <w:rPr>
                      <w:rFonts w:hint="eastAsia"/>
                      <w:color w:val="auto"/>
                      <w:kern w:val="0"/>
                      <w:szCs w:val="21"/>
                    </w:rPr>
                    <w:t>1.12</w:t>
                  </w:r>
                </w:p>
              </w:tc>
            </w:tr>
            <w:tr w14:paraId="00C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5E08385F">
                  <w:pPr>
                    <w:widowControl/>
                    <w:jc w:val="center"/>
                    <w:rPr>
                      <w:color w:val="auto"/>
                      <w:kern w:val="0"/>
                      <w:szCs w:val="21"/>
                    </w:rPr>
                  </w:pPr>
                </w:p>
              </w:tc>
              <w:tc>
                <w:tcPr>
                  <w:tcW w:w="1680" w:type="dxa"/>
                  <w:vMerge w:val="continue"/>
                  <w:vAlign w:val="center"/>
                </w:tcPr>
                <w:p w14:paraId="7C677DDC">
                  <w:pPr>
                    <w:widowControl/>
                    <w:jc w:val="center"/>
                    <w:rPr>
                      <w:color w:val="auto"/>
                      <w:kern w:val="0"/>
                      <w:szCs w:val="21"/>
                    </w:rPr>
                  </w:pPr>
                </w:p>
              </w:tc>
              <w:tc>
                <w:tcPr>
                  <w:tcW w:w="1681" w:type="dxa"/>
                  <w:vAlign w:val="center"/>
                </w:tcPr>
                <w:p w14:paraId="29544999">
                  <w:pPr>
                    <w:widowControl/>
                    <w:jc w:val="center"/>
                    <w:rPr>
                      <w:color w:val="auto"/>
                      <w:kern w:val="0"/>
                      <w:szCs w:val="21"/>
                    </w:rPr>
                  </w:pPr>
                  <w:r>
                    <w:rPr>
                      <w:rFonts w:hint="eastAsia"/>
                      <w:color w:val="auto"/>
                      <w:kern w:val="0"/>
                      <w:szCs w:val="21"/>
                    </w:rPr>
                    <w:t>08:00~09:00</w:t>
                  </w:r>
                </w:p>
              </w:tc>
              <w:tc>
                <w:tcPr>
                  <w:tcW w:w="1681" w:type="dxa"/>
                  <w:vAlign w:val="center"/>
                </w:tcPr>
                <w:p w14:paraId="219842FB">
                  <w:pPr>
                    <w:widowControl/>
                    <w:jc w:val="center"/>
                    <w:rPr>
                      <w:color w:val="auto"/>
                      <w:kern w:val="0"/>
                      <w:szCs w:val="21"/>
                    </w:rPr>
                  </w:pPr>
                  <w:r>
                    <w:rPr>
                      <w:rFonts w:hint="eastAsia"/>
                      <w:color w:val="auto"/>
                      <w:kern w:val="0"/>
                      <w:szCs w:val="21"/>
                    </w:rPr>
                    <w:t>14</w:t>
                  </w:r>
                </w:p>
              </w:tc>
              <w:tc>
                <w:tcPr>
                  <w:tcW w:w="1681" w:type="dxa"/>
                  <w:vAlign w:val="center"/>
                </w:tcPr>
                <w:p w14:paraId="694E6D33">
                  <w:pPr>
                    <w:widowControl/>
                    <w:jc w:val="center"/>
                    <w:rPr>
                      <w:color w:val="auto"/>
                      <w:kern w:val="0"/>
                      <w:szCs w:val="21"/>
                    </w:rPr>
                  </w:pPr>
                  <w:r>
                    <w:rPr>
                      <w:rFonts w:hint="eastAsia"/>
                      <w:color w:val="auto"/>
                      <w:kern w:val="0"/>
                      <w:szCs w:val="21"/>
                    </w:rPr>
                    <w:t>1.32</w:t>
                  </w:r>
                </w:p>
              </w:tc>
            </w:tr>
            <w:tr w14:paraId="1E03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674FA029">
                  <w:pPr>
                    <w:widowControl/>
                    <w:jc w:val="center"/>
                    <w:rPr>
                      <w:color w:val="auto"/>
                      <w:kern w:val="0"/>
                      <w:szCs w:val="21"/>
                    </w:rPr>
                  </w:pPr>
                </w:p>
              </w:tc>
              <w:tc>
                <w:tcPr>
                  <w:tcW w:w="1680" w:type="dxa"/>
                  <w:vMerge w:val="continue"/>
                  <w:vAlign w:val="center"/>
                </w:tcPr>
                <w:p w14:paraId="74C02660">
                  <w:pPr>
                    <w:widowControl/>
                    <w:jc w:val="center"/>
                    <w:rPr>
                      <w:color w:val="auto"/>
                      <w:kern w:val="0"/>
                      <w:szCs w:val="21"/>
                    </w:rPr>
                  </w:pPr>
                </w:p>
              </w:tc>
              <w:tc>
                <w:tcPr>
                  <w:tcW w:w="1681" w:type="dxa"/>
                  <w:vAlign w:val="center"/>
                </w:tcPr>
                <w:p w14:paraId="0A8D223F">
                  <w:pPr>
                    <w:widowControl/>
                    <w:jc w:val="center"/>
                    <w:rPr>
                      <w:color w:val="auto"/>
                      <w:kern w:val="0"/>
                      <w:szCs w:val="21"/>
                    </w:rPr>
                  </w:pPr>
                  <w:r>
                    <w:rPr>
                      <w:rFonts w:hint="eastAsia"/>
                      <w:color w:val="auto"/>
                      <w:kern w:val="0"/>
                      <w:szCs w:val="21"/>
                    </w:rPr>
                    <w:t>14:00~15:00</w:t>
                  </w:r>
                </w:p>
              </w:tc>
              <w:tc>
                <w:tcPr>
                  <w:tcW w:w="1681" w:type="dxa"/>
                  <w:vAlign w:val="center"/>
                </w:tcPr>
                <w:p w14:paraId="6367779E">
                  <w:pPr>
                    <w:widowControl/>
                    <w:jc w:val="center"/>
                    <w:rPr>
                      <w:color w:val="auto"/>
                      <w:kern w:val="0"/>
                      <w:szCs w:val="21"/>
                    </w:rPr>
                  </w:pPr>
                  <w:r>
                    <w:rPr>
                      <w:rFonts w:hint="eastAsia"/>
                      <w:color w:val="auto"/>
                      <w:kern w:val="0"/>
                      <w:szCs w:val="21"/>
                    </w:rPr>
                    <w:t>15</w:t>
                  </w:r>
                </w:p>
              </w:tc>
              <w:tc>
                <w:tcPr>
                  <w:tcW w:w="1681" w:type="dxa"/>
                  <w:vAlign w:val="center"/>
                </w:tcPr>
                <w:p w14:paraId="1364D319">
                  <w:pPr>
                    <w:widowControl/>
                    <w:jc w:val="center"/>
                    <w:rPr>
                      <w:color w:val="auto"/>
                      <w:kern w:val="0"/>
                      <w:szCs w:val="21"/>
                    </w:rPr>
                  </w:pPr>
                  <w:r>
                    <w:rPr>
                      <w:rFonts w:hint="eastAsia"/>
                      <w:color w:val="auto"/>
                      <w:kern w:val="0"/>
                      <w:szCs w:val="21"/>
                    </w:rPr>
                    <w:t>1.26</w:t>
                  </w:r>
                </w:p>
              </w:tc>
            </w:tr>
            <w:tr w14:paraId="68B8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7BBE292A">
                  <w:pPr>
                    <w:widowControl/>
                    <w:jc w:val="center"/>
                    <w:rPr>
                      <w:color w:val="auto"/>
                      <w:kern w:val="0"/>
                      <w:szCs w:val="21"/>
                    </w:rPr>
                  </w:pPr>
                </w:p>
              </w:tc>
              <w:tc>
                <w:tcPr>
                  <w:tcW w:w="1680" w:type="dxa"/>
                  <w:vMerge w:val="continue"/>
                  <w:vAlign w:val="center"/>
                </w:tcPr>
                <w:p w14:paraId="493E2C6A">
                  <w:pPr>
                    <w:widowControl/>
                    <w:jc w:val="center"/>
                    <w:rPr>
                      <w:color w:val="auto"/>
                      <w:kern w:val="0"/>
                      <w:szCs w:val="21"/>
                    </w:rPr>
                  </w:pPr>
                </w:p>
              </w:tc>
              <w:tc>
                <w:tcPr>
                  <w:tcW w:w="1681" w:type="dxa"/>
                  <w:vAlign w:val="center"/>
                </w:tcPr>
                <w:p w14:paraId="713AB798">
                  <w:pPr>
                    <w:widowControl/>
                    <w:jc w:val="center"/>
                    <w:rPr>
                      <w:color w:val="auto"/>
                      <w:kern w:val="0"/>
                      <w:szCs w:val="21"/>
                    </w:rPr>
                  </w:pPr>
                  <w:r>
                    <w:rPr>
                      <w:rFonts w:hint="eastAsia"/>
                      <w:color w:val="auto"/>
                      <w:kern w:val="0"/>
                      <w:szCs w:val="21"/>
                    </w:rPr>
                    <w:t>20:00~21:00</w:t>
                  </w:r>
                </w:p>
              </w:tc>
              <w:tc>
                <w:tcPr>
                  <w:tcW w:w="1681" w:type="dxa"/>
                  <w:vAlign w:val="center"/>
                </w:tcPr>
                <w:p w14:paraId="74A2414B">
                  <w:pPr>
                    <w:widowControl/>
                    <w:jc w:val="center"/>
                    <w:rPr>
                      <w:color w:val="auto"/>
                      <w:kern w:val="0"/>
                      <w:szCs w:val="21"/>
                    </w:rPr>
                  </w:pPr>
                  <w:r>
                    <w:rPr>
                      <w:rFonts w:hint="eastAsia"/>
                      <w:color w:val="auto"/>
                      <w:kern w:val="0"/>
                      <w:szCs w:val="21"/>
                    </w:rPr>
                    <w:t>12</w:t>
                  </w:r>
                </w:p>
              </w:tc>
              <w:tc>
                <w:tcPr>
                  <w:tcW w:w="1681" w:type="dxa"/>
                  <w:vAlign w:val="center"/>
                </w:tcPr>
                <w:p w14:paraId="0FAFDCD9">
                  <w:pPr>
                    <w:widowControl/>
                    <w:jc w:val="center"/>
                    <w:rPr>
                      <w:color w:val="auto"/>
                      <w:kern w:val="0"/>
                      <w:szCs w:val="21"/>
                    </w:rPr>
                  </w:pPr>
                  <w:r>
                    <w:rPr>
                      <w:rFonts w:hint="eastAsia"/>
                      <w:color w:val="auto"/>
                      <w:kern w:val="0"/>
                      <w:szCs w:val="21"/>
                    </w:rPr>
                    <w:t>0.94</w:t>
                  </w:r>
                </w:p>
              </w:tc>
            </w:tr>
            <w:tr w14:paraId="6C9D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restart"/>
                  <w:vAlign w:val="center"/>
                </w:tcPr>
                <w:p w14:paraId="7ECB1489">
                  <w:pPr>
                    <w:widowControl/>
                    <w:jc w:val="center"/>
                    <w:rPr>
                      <w:color w:val="auto"/>
                      <w:kern w:val="0"/>
                      <w:szCs w:val="21"/>
                    </w:rPr>
                  </w:pPr>
                  <w:r>
                    <w:rPr>
                      <w:rFonts w:hint="eastAsia"/>
                      <w:color w:val="auto"/>
                      <w:kern w:val="0"/>
                      <w:szCs w:val="21"/>
                    </w:rPr>
                    <w:t>2023.12.11</w:t>
                  </w:r>
                </w:p>
              </w:tc>
              <w:tc>
                <w:tcPr>
                  <w:tcW w:w="1680" w:type="dxa"/>
                  <w:vMerge w:val="continue"/>
                  <w:vAlign w:val="center"/>
                </w:tcPr>
                <w:p w14:paraId="4FDFC83A">
                  <w:pPr>
                    <w:widowControl/>
                    <w:jc w:val="center"/>
                    <w:rPr>
                      <w:color w:val="auto"/>
                      <w:kern w:val="0"/>
                      <w:szCs w:val="21"/>
                    </w:rPr>
                  </w:pPr>
                </w:p>
              </w:tc>
              <w:tc>
                <w:tcPr>
                  <w:tcW w:w="1681" w:type="dxa"/>
                  <w:vAlign w:val="center"/>
                </w:tcPr>
                <w:p w14:paraId="571127AB">
                  <w:pPr>
                    <w:widowControl/>
                    <w:jc w:val="center"/>
                    <w:rPr>
                      <w:color w:val="auto"/>
                      <w:kern w:val="0"/>
                      <w:szCs w:val="21"/>
                    </w:rPr>
                  </w:pPr>
                  <w:r>
                    <w:rPr>
                      <w:rFonts w:hint="eastAsia"/>
                      <w:color w:val="auto"/>
                      <w:kern w:val="0"/>
                      <w:szCs w:val="21"/>
                    </w:rPr>
                    <w:t>02:00~03:00</w:t>
                  </w:r>
                </w:p>
              </w:tc>
              <w:tc>
                <w:tcPr>
                  <w:tcW w:w="1681" w:type="dxa"/>
                  <w:vAlign w:val="center"/>
                </w:tcPr>
                <w:p w14:paraId="482BB9B7">
                  <w:pPr>
                    <w:widowControl/>
                    <w:jc w:val="center"/>
                    <w:rPr>
                      <w:color w:val="auto"/>
                      <w:kern w:val="0"/>
                      <w:szCs w:val="21"/>
                    </w:rPr>
                  </w:pPr>
                  <w:r>
                    <w:rPr>
                      <w:rFonts w:hint="eastAsia"/>
                      <w:color w:val="auto"/>
                      <w:kern w:val="0"/>
                      <w:szCs w:val="21"/>
                    </w:rPr>
                    <w:t>12</w:t>
                  </w:r>
                </w:p>
              </w:tc>
              <w:tc>
                <w:tcPr>
                  <w:tcW w:w="1681" w:type="dxa"/>
                  <w:vAlign w:val="center"/>
                </w:tcPr>
                <w:p w14:paraId="50807F37">
                  <w:pPr>
                    <w:widowControl/>
                    <w:jc w:val="center"/>
                    <w:rPr>
                      <w:color w:val="auto"/>
                      <w:kern w:val="0"/>
                      <w:szCs w:val="21"/>
                    </w:rPr>
                  </w:pPr>
                  <w:r>
                    <w:rPr>
                      <w:rFonts w:hint="eastAsia"/>
                      <w:color w:val="auto"/>
                      <w:kern w:val="0"/>
                      <w:szCs w:val="21"/>
                    </w:rPr>
                    <w:t>1.26</w:t>
                  </w:r>
                </w:p>
              </w:tc>
            </w:tr>
            <w:tr w14:paraId="2B58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683C6C92">
                  <w:pPr>
                    <w:widowControl/>
                    <w:jc w:val="center"/>
                    <w:rPr>
                      <w:color w:val="auto"/>
                      <w:kern w:val="0"/>
                      <w:szCs w:val="21"/>
                    </w:rPr>
                  </w:pPr>
                </w:p>
              </w:tc>
              <w:tc>
                <w:tcPr>
                  <w:tcW w:w="1680" w:type="dxa"/>
                  <w:vMerge w:val="continue"/>
                  <w:vAlign w:val="center"/>
                </w:tcPr>
                <w:p w14:paraId="711DFED1">
                  <w:pPr>
                    <w:widowControl/>
                    <w:jc w:val="center"/>
                    <w:rPr>
                      <w:color w:val="auto"/>
                      <w:kern w:val="0"/>
                      <w:szCs w:val="21"/>
                    </w:rPr>
                  </w:pPr>
                </w:p>
              </w:tc>
              <w:tc>
                <w:tcPr>
                  <w:tcW w:w="1681" w:type="dxa"/>
                  <w:vAlign w:val="center"/>
                </w:tcPr>
                <w:p w14:paraId="26C599B4">
                  <w:pPr>
                    <w:widowControl/>
                    <w:jc w:val="center"/>
                    <w:rPr>
                      <w:color w:val="auto"/>
                      <w:kern w:val="0"/>
                      <w:szCs w:val="21"/>
                    </w:rPr>
                  </w:pPr>
                  <w:r>
                    <w:rPr>
                      <w:rFonts w:hint="eastAsia"/>
                      <w:color w:val="auto"/>
                      <w:kern w:val="0"/>
                      <w:szCs w:val="21"/>
                    </w:rPr>
                    <w:t>08:00~09:00</w:t>
                  </w:r>
                </w:p>
              </w:tc>
              <w:tc>
                <w:tcPr>
                  <w:tcW w:w="1681" w:type="dxa"/>
                  <w:vAlign w:val="center"/>
                </w:tcPr>
                <w:p w14:paraId="05A658F3">
                  <w:pPr>
                    <w:widowControl/>
                    <w:jc w:val="center"/>
                    <w:rPr>
                      <w:color w:val="auto"/>
                      <w:kern w:val="0"/>
                      <w:szCs w:val="21"/>
                    </w:rPr>
                  </w:pPr>
                  <w:r>
                    <w:rPr>
                      <w:rFonts w:hint="eastAsia"/>
                      <w:color w:val="auto"/>
                      <w:kern w:val="0"/>
                      <w:szCs w:val="21"/>
                    </w:rPr>
                    <w:t>14</w:t>
                  </w:r>
                </w:p>
              </w:tc>
              <w:tc>
                <w:tcPr>
                  <w:tcW w:w="1681" w:type="dxa"/>
                  <w:vAlign w:val="center"/>
                </w:tcPr>
                <w:p w14:paraId="59AF0B7D">
                  <w:pPr>
                    <w:widowControl/>
                    <w:jc w:val="center"/>
                    <w:rPr>
                      <w:color w:val="auto"/>
                      <w:kern w:val="0"/>
                      <w:szCs w:val="21"/>
                    </w:rPr>
                  </w:pPr>
                  <w:r>
                    <w:rPr>
                      <w:rFonts w:hint="eastAsia"/>
                      <w:color w:val="auto"/>
                      <w:kern w:val="0"/>
                      <w:szCs w:val="21"/>
                    </w:rPr>
                    <w:t>1.55</w:t>
                  </w:r>
                </w:p>
              </w:tc>
            </w:tr>
            <w:tr w14:paraId="5E72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7FAC7362">
                  <w:pPr>
                    <w:widowControl/>
                    <w:jc w:val="center"/>
                    <w:rPr>
                      <w:color w:val="auto"/>
                      <w:kern w:val="0"/>
                      <w:szCs w:val="21"/>
                    </w:rPr>
                  </w:pPr>
                </w:p>
              </w:tc>
              <w:tc>
                <w:tcPr>
                  <w:tcW w:w="1680" w:type="dxa"/>
                  <w:vMerge w:val="continue"/>
                  <w:vAlign w:val="center"/>
                </w:tcPr>
                <w:p w14:paraId="15D38498">
                  <w:pPr>
                    <w:widowControl/>
                    <w:jc w:val="center"/>
                    <w:rPr>
                      <w:color w:val="auto"/>
                      <w:kern w:val="0"/>
                      <w:szCs w:val="21"/>
                    </w:rPr>
                  </w:pPr>
                </w:p>
              </w:tc>
              <w:tc>
                <w:tcPr>
                  <w:tcW w:w="1681" w:type="dxa"/>
                  <w:vAlign w:val="center"/>
                </w:tcPr>
                <w:p w14:paraId="6E9276C9">
                  <w:pPr>
                    <w:widowControl/>
                    <w:jc w:val="center"/>
                    <w:rPr>
                      <w:color w:val="auto"/>
                      <w:kern w:val="0"/>
                      <w:szCs w:val="21"/>
                    </w:rPr>
                  </w:pPr>
                  <w:r>
                    <w:rPr>
                      <w:rFonts w:hint="eastAsia"/>
                      <w:color w:val="auto"/>
                      <w:kern w:val="0"/>
                      <w:szCs w:val="21"/>
                    </w:rPr>
                    <w:t>14:00~15:00</w:t>
                  </w:r>
                </w:p>
              </w:tc>
              <w:tc>
                <w:tcPr>
                  <w:tcW w:w="1681" w:type="dxa"/>
                  <w:vAlign w:val="center"/>
                </w:tcPr>
                <w:p w14:paraId="03E3E65F">
                  <w:pPr>
                    <w:widowControl/>
                    <w:jc w:val="center"/>
                    <w:rPr>
                      <w:color w:val="auto"/>
                      <w:kern w:val="0"/>
                      <w:szCs w:val="21"/>
                    </w:rPr>
                  </w:pPr>
                  <w:r>
                    <w:rPr>
                      <w:rFonts w:hint="eastAsia"/>
                      <w:color w:val="auto"/>
                      <w:kern w:val="0"/>
                      <w:szCs w:val="21"/>
                    </w:rPr>
                    <w:t>13</w:t>
                  </w:r>
                </w:p>
              </w:tc>
              <w:tc>
                <w:tcPr>
                  <w:tcW w:w="1681" w:type="dxa"/>
                  <w:vAlign w:val="center"/>
                </w:tcPr>
                <w:p w14:paraId="59098CF9">
                  <w:pPr>
                    <w:widowControl/>
                    <w:jc w:val="center"/>
                    <w:rPr>
                      <w:color w:val="auto"/>
                      <w:kern w:val="0"/>
                      <w:szCs w:val="21"/>
                    </w:rPr>
                  </w:pPr>
                  <w:r>
                    <w:rPr>
                      <w:rFonts w:hint="eastAsia"/>
                      <w:color w:val="auto"/>
                      <w:kern w:val="0"/>
                      <w:szCs w:val="21"/>
                    </w:rPr>
                    <w:t>1.45</w:t>
                  </w:r>
                </w:p>
              </w:tc>
            </w:tr>
            <w:tr w14:paraId="3D57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Merge w:val="continue"/>
                  <w:vAlign w:val="center"/>
                </w:tcPr>
                <w:p w14:paraId="5811FBA6">
                  <w:pPr>
                    <w:widowControl/>
                    <w:jc w:val="center"/>
                    <w:rPr>
                      <w:color w:val="auto"/>
                      <w:kern w:val="0"/>
                      <w:szCs w:val="21"/>
                    </w:rPr>
                  </w:pPr>
                </w:p>
              </w:tc>
              <w:tc>
                <w:tcPr>
                  <w:tcW w:w="1680" w:type="dxa"/>
                  <w:vMerge w:val="continue"/>
                  <w:vAlign w:val="center"/>
                </w:tcPr>
                <w:p w14:paraId="44F00218">
                  <w:pPr>
                    <w:widowControl/>
                    <w:jc w:val="center"/>
                    <w:rPr>
                      <w:color w:val="auto"/>
                      <w:kern w:val="0"/>
                      <w:szCs w:val="21"/>
                    </w:rPr>
                  </w:pPr>
                </w:p>
              </w:tc>
              <w:tc>
                <w:tcPr>
                  <w:tcW w:w="1681" w:type="dxa"/>
                  <w:vAlign w:val="center"/>
                </w:tcPr>
                <w:p w14:paraId="468D370C">
                  <w:pPr>
                    <w:widowControl/>
                    <w:jc w:val="center"/>
                    <w:rPr>
                      <w:color w:val="auto"/>
                      <w:kern w:val="0"/>
                      <w:szCs w:val="21"/>
                    </w:rPr>
                  </w:pPr>
                  <w:r>
                    <w:rPr>
                      <w:rFonts w:hint="eastAsia"/>
                      <w:color w:val="auto"/>
                      <w:kern w:val="0"/>
                      <w:szCs w:val="21"/>
                    </w:rPr>
                    <w:t>20:00~21:00</w:t>
                  </w:r>
                </w:p>
              </w:tc>
              <w:tc>
                <w:tcPr>
                  <w:tcW w:w="1681" w:type="dxa"/>
                  <w:vAlign w:val="center"/>
                </w:tcPr>
                <w:p w14:paraId="3285A984">
                  <w:pPr>
                    <w:widowControl/>
                    <w:jc w:val="center"/>
                    <w:rPr>
                      <w:color w:val="auto"/>
                      <w:kern w:val="0"/>
                      <w:szCs w:val="21"/>
                    </w:rPr>
                  </w:pPr>
                  <w:r>
                    <w:rPr>
                      <w:rFonts w:hint="eastAsia"/>
                      <w:color w:val="auto"/>
                      <w:kern w:val="0"/>
                      <w:szCs w:val="21"/>
                    </w:rPr>
                    <w:t>11</w:t>
                  </w:r>
                </w:p>
              </w:tc>
              <w:tc>
                <w:tcPr>
                  <w:tcW w:w="1681" w:type="dxa"/>
                  <w:vAlign w:val="center"/>
                </w:tcPr>
                <w:p w14:paraId="4CC504D8">
                  <w:pPr>
                    <w:widowControl/>
                    <w:jc w:val="center"/>
                    <w:rPr>
                      <w:color w:val="auto"/>
                      <w:kern w:val="0"/>
                      <w:szCs w:val="21"/>
                    </w:rPr>
                  </w:pPr>
                  <w:r>
                    <w:rPr>
                      <w:rFonts w:hint="eastAsia"/>
                      <w:color w:val="auto"/>
                      <w:kern w:val="0"/>
                      <w:szCs w:val="21"/>
                    </w:rPr>
                    <w:t>1.00</w:t>
                  </w:r>
                </w:p>
              </w:tc>
            </w:tr>
          </w:tbl>
          <w:p w14:paraId="63195011">
            <w:pPr>
              <w:numPr>
                <w:ilvl w:val="0"/>
                <w:numId w:val="23"/>
              </w:numPr>
              <w:adjustRightInd w:val="0"/>
              <w:snapToGrid w:val="0"/>
              <w:spacing w:before="48" w:beforeLines="20" w:after="48" w:afterLines="20" w:line="0" w:lineRule="atLeast"/>
              <w:jc w:val="center"/>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其他污染因子监测结果表</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80"/>
              <w:gridCol w:w="912"/>
              <w:gridCol w:w="1128"/>
              <w:gridCol w:w="1368"/>
              <w:gridCol w:w="1320"/>
              <w:gridCol w:w="900"/>
              <w:gridCol w:w="681"/>
            </w:tblGrid>
            <w:tr w14:paraId="5C56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dxa"/>
                  <w:vAlign w:val="center"/>
                </w:tcPr>
                <w:p w14:paraId="0AE5D04C">
                  <w:pPr>
                    <w:widowControl/>
                    <w:jc w:val="center"/>
                    <w:rPr>
                      <w:b w:val="0"/>
                      <w:bCs w:val="0"/>
                      <w:color w:val="auto"/>
                      <w:kern w:val="0"/>
                      <w:szCs w:val="21"/>
                    </w:rPr>
                  </w:pPr>
                  <w:r>
                    <w:rPr>
                      <w:rFonts w:hint="eastAsia"/>
                      <w:b w:val="0"/>
                      <w:bCs w:val="0"/>
                      <w:color w:val="auto"/>
                      <w:kern w:val="0"/>
                      <w:szCs w:val="21"/>
                    </w:rPr>
                    <w:t>监测点位</w:t>
                  </w:r>
                </w:p>
              </w:tc>
              <w:tc>
                <w:tcPr>
                  <w:tcW w:w="1380" w:type="dxa"/>
                  <w:vAlign w:val="center"/>
                </w:tcPr>
                <w:p w14:paraId="2D74A7D6">
                  <w:pPr>
                    <w:widowControl/>
                    <w:jc w:val="center"/>
                    <w:rPr>
                      <w:b w:val="0"/>
                      <w:bCs w:val="0"/>
                      <w:color w:val="auto"/>
                      <w:kern w:val="0"/>
                      <w:szCs w:val="21"/>
                    </w:rPr>
                  </w:pPr>
                  <w:r>
                    <w:rPr>
                      <w:rFonts w:hint="eastAsia"/>
                      <w:b w:val="0"/>
                      <w:bCs w:val="0"/>
                      <w:color w:val="auto"/>
                      <w:kern w:val="0"/>
                      <w:szCs w:val="21"/>
                    </w:rPr>
                    <w:t>污染物</w:t>
                  </w:r>
                </w:p>
              </w:tc>
              <w:tc>
                <w:tcPr>
                  <w:tcW w:w="912" w:type="dxa"/>
                  <w:vAlign w:val="center"/>
                </w:tcPr>
                <w:p w14:paraId="6F57875E">
                  <w:pPr>
                    <w:widowControl/>
                    <w:jc w:val="center"/>
                    <w:rPr>
                      <w:b w:val="0"/>
                      <w:bCs w:val="0"/>
                      <w:color w:val="auto"/>
                      <w:kern w:val="0"/>
                      <w:szCs w:val="21"/>
                    </w:rPr>
                  </w:pPr>
                  <w:r>
                    <w:rPr>
                      <w:rFonts w:hint="eastAsia"/>
                      <w:b w:val="0"/>
                      <w:bCs w:val="0"/>
                      <w:color w:val="auto"/>
                      <w:kern w:val="0"/>
                      <w:szCs w:val="21"/>
                    </w:rPr>
                    <w:t>平均</w:t>
                  </w:r>
                </w:p>
                <w:p w14:paraId="0BF11E0F">
                  <w:pPr>
                    <w:widowControl/>
                    <w:jc w:val="center"/>
                    <w:rPr>
                      <w:b w:val="0"/>
                      <w:bCs w:val="0"/>
                      <w:color w:val="auto"/>
                      <w:kern w:val="0"/>
                      <w:szCs w:val="21"/>
                    </w:rPr>
                  </w:pPr>
                  <w:r>
                    <w:rPr>
                      <w:rFonts w:hint="eastAsia"/>
                      <w:b w:val="0"/>
                      <w:bCs w:val="0"/>
                      <w:color w:val="auto"/>
                      <w:kern w:val="0"/>
                      <w:szCs w:val="21"/>
                    </w:rPr>
                    <w:t>时间</w:t>
                  </w:r>
                </w:p>
              </w:tc>
              <w:tc>
                <w:tcPr>
                  <w:tcW w:w="1128" w:type="dxa"/>
                  <w:vAlign w:val="center"/>
                </w:tcPr>
                <w:p w14:paraId="3C1AD122">
                  <w:pPr>
                    <w:widowControl/>
                    <w:jc w:val="center"/>
                    <w:rPr>
                      <w:b w:val="0"/>
                      <w:bCs w:val="0"/>
                      <w:color w:val="auto"/>
                      <w:kern w:val="0"/>
                      <w:szCs w:val="21"/>
                    </w:rPr>
                  </w:pPr>
                  <w:r>
                    <w:rPr>
                      <w:rFonts w:hint="eastAsia"/>
                      <w:b w:val="0"/>
                      <w:bCs w:val="0"/>
                      <w:color w:val="auto"/>
                      <w:kern w:val="0"/>
                      <w:szCs w:val="21"/>
                    </w:rPr>
                    <w:t>评价标准（mg/m</w:t>
                  </w:r>
                  <w:r>
                    <w:rPr>
                      <w:rFonts w:hint="eastAsia"/>
                      <w:b w:val="0"/>
                      <w:bCs w:val="0"/>
                      <w:color w:val="auto"/>
                      <w:kern w:val="0"/>
                      <w:szCs w:val="21"/>
                      <w:vertAlign w:val="superscript"/>
                    </w:rPr>
                    <w:t>3</w:t>
                  </w:r>
                  <w:r>
                    <w:rPr>
                      <w:rFonts w:hint="eastAsia"/>
                      <w:b w:val="0"/>
                      <w:bCs w:val="0"/>
                      <w:color w:val="auto"/>
                      <w:kern w:val="0"/>
                      <w:szCs w:val="21"/>
                    </w:rPr>
                    <w:t>）</w:t>
                  </w:r>
                </w:p>
              </w:tc>
              <w:tc>
                <w:tcPr>
                  <w:tcW w:w="1368" w:type="dxa"/>
                  <w:vAlign w:val="center"/>
                </w:tcPr>
                <w:p w14:paraId="6BD5DB38">
                  <w:pPr>
                    <w:widowControl/>
                    <w:jc w:val="center"/>
                    <w:rPr>
                      <w:b w:val="0"/>
                      <w:bCs w:val="0"/>
                      <w:color w:val="auto"/>
                      <w:kern w:val="0"/>
                      <w:szCs w:val="21"/>
                    </w:rPr>
                  </w:pPr>
                  <w:r>
                    <w:rPr>
                      <w:rFonts w:hint="eastAsia"/>
                      <w:b w:val="0"/>
                      <w:bCs w:val="0"/>
                      <w:color w:val="auto"/>
                      <w:kern w:val="0"/>
                      <w:szCs w:val="21"/>
                    </w:rPr>
                    <w:t>监测浓度范围（mg/m</w:t>
                  </w:r>
                  <w:r>
                    <w:rPr>
                      <w:rFonts w:hint="eastAsia"/>
                      <w:b w:val="0"/>
                      <w:bCs w:val="0"/>
                      <w:color w:val="auto"/>
                      <w:kern w:val="0"/>
                      <w:szCs w:val="21"/>
                      <w:vertAlign w:val="superscript"/>
                    </w:rPr>
                    <w:t>3</w:t>
                  </w:r>
                  <w:r>
                    <w:rPr>
                      <w:rFonts w:hint="eastAsia"/>
                      <w:b w:val="0"/>
                      <w:bCs w:val="0"/>
                      <w:color w:val="auto"/>
                      <w:kern w:val="0"/>
                      <w:szCs w:val="21"/>
                    </w:rPr>
                    <w:t>）</w:t>
                  </w:r>
                </w:p>
              </w:tc>
              <w:tc>
                <w:tcPr>
                  <w:tcW w:w="1320" w:type="dxa"/>
                  <w:vAlign w:val="center"/>
                </w:tcPr>
                <w:p w14:paraId="0647D355">
                  <w:pPr>
                    <w:widowControl/>
                    <w:jc w:val="center"/>
                    <w:rPr>
                      <w:b w:val="0"/>
                      <w:bCs w:val="0"/>
                      <w:color w:val="auto"/>
                      <w:kern w:val="0"/>
                      <w:szCs w:val="21"/>
                    </w:rPr>
                  </w:pPr>
                  <w:r>
                    <w:rPr>
                      <w:rFonts w:hint="eastAsia"/>
                      <w:b w:val="0"/>
                      <w:bCs w:val="0"/>
                      <w:color w:val="auto"/>
                      <w:kern w:val="0"/>
                      <w:szCs w:val="21"/>
                    </w:rPr>
                    <w:t>最大浓度占标率（%）</w:t>
                  </w:r>
                </w:p>
              </w:tc>
              <w:tc>
                <w:tcPr>
                  <w:tcW w:w="900" w:type="dxa"/>
                  <w:vAlign w:val="center"/>
                </w:tcPr>
                <w:p w14:paraId="0C830B38">
                  <w:pPr>
                    <w:widowControl/>
                    <w:jc w:val="center"/>
                    <w:rPr>
                      <w:b w:val="0"/>
                      <w:bCs w:val="0"/>
                      <w:color w:val="auto"/>
                      <w:kern w:val="0"/>
                      <w:szCs w:val="21"/>
                    </w:rPr>
                  </w:pPr>
                  <w:r>
                    <w:rPr>
                      <w:rFonts w:hint="eastAsia"/>
                      <w:b w:val="0"/>
                      <w:bCs w:val="0"/>
                      <w:color w:val="auto"/>
                      <w:kern w:val="0"/>
                      <w:szCs w:val="21"/>
                    </w:rPr>
                    <w:t>超标率（%）</w:t>
                  </w:r>
                </w:p>
              </w:tc>
              <w:tc>
                <w:tcPr>
                  <w:tcW w:w="681" w:type="dxa"/>
                  <w:vAlign w:val="center"/>
                </w:tcPr>
                <w:p w14:paraId="1A5224AF">
                  <w:pPr>
                    <w:widowControl/>
                    <w:jc w:val="center"/>
                    <w:rPr>
                      <w:b w:val="0"/>
                      <w:bCs w:val="0"/>
                      <w:color w:val="auto"/>
                      <w:kern w:val="0"/>
                      <w:szCs w:val="21"/>
                    </w:rPr>
                  </w:pPr>
                  <w:r>
                    <w:rPr>
                      <w:rFonts w:hint="eastAsia"/>
                      <w:b w:val="0"/>
                      <w:bCs w:val="0"/>
                      <w:color w:val="auto"/>
                      <w:kern w:val="0"/>
                      <w:szCs w:val="21"/>
                    </w:rPr>
                    <w:t>达标情况</w:t>
                  </w:r>
                </w:p>
              </w:tc>
            </w:tr>
            <w:tr w14:paraId="0DD8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dxa"/>
                  <w:vMerge w:val="restart"/>
                  <w:vAlign w:val="center"/>
                </w:tcPr>
                <w:p w14:paraId="6CB20787">
                  <w:pPr>
                    <w:widowControl/>
                    <w:jc w:val="center"/>
                    <w:rPr>
                      <w:color w:val="auto"/>
                      <w:kern w:val="0"/>
                      <w:szCs w:val="21"/>
                    </w:rPr>
                  </w:pPr>
                  <w:r>
                    <w:rPr>
                      <w:rFonts w:hint="eastAsia"/>
                      <w:color w:val="auto"/>
                      <w:kern w:val="0"/>
                      <w:szCs w:val="21"/>
                    </w:rPr>
                    <w:t>湖州强俊新材有限公司</w:t>
                  </w:r>
                </w:p>
              </w:tc>
              <w:tc>
                <w:tcPr>
                  <w:tcW w:w="1380" w:type="dxa"/>
                  <w:vAlign w:val="center"/>
                </w:tcPr>
                <w:p w14:paraId="04D7B338">
                  <w:pPr>
                    <w:widowControl/>
                    <w:jc w:val="center"/>
                    <w:rPr>
                      <w:color w:val="auto"/>
                      <w:kern w:val="0"/>
                      <w:szCs w:val="21"/>
                    </w:rPr>
                  </w:pPr>
                  <w:r>
                    <w:rPr>
                      <w:rFonts w:hint="eastAsia"/>
                      <w:color w:val="auto"/>
                      <w:kern w:val="0"/>
                      <w:szCs w:val="21"/>
                    </w:rPr>
                    <w:t>TSP</w:t>
                  </w:r>
                </w:p>
              </w:tc>
              <w:tc>
                <w:tcPr>
                  <w:tcW w:w="912" w:type="dxa"/>
                  <w:vAlign w:val="center"/>
                </w:tcPr>
                <w:p w14:paraId="6203117B">
                  <w:pPr>
                    <w:widowControl/>
                    <w:jc w:val="center"/>
                    <w:rPr>
                      <w:color w:val="auto"/>
                      <w:kern w:val="0"/>
                      <w:szCs w:val="21"/>
                    </w:rPr>
                  </w:pPr>
                  <w:r>
                    <w:rPr>
                      <w:rFonts w:hint="eastAsia"/>
                      <w:color w:val="auto"/>
                      <w:kern w:val="0"/>
                      <w:szCs w:val="21"/>
                    </w:rPr>
                    <w:t>日均值</w:t>
                  </w:r>
                </w:p>
              </w:tc>
              <w:tc>
                <w:tcPr>
                  <w:tcW w:w="1128" w:type="dxa"/>
                  <w:vAlign w:val="center"/>
                </w:tcPr>
                <w:p w14:paraId="2AC286FC">
                  <w:pPr>
                    <w:widowControl/>
                    <w:jc w:val="center"/>
                    <w:rPr>
                      <w:color w:val="auto"/>
                      <w:kern w:val="0"/>
                      <w:szCs w:val="21"/>
                    </w:rPr>
                  </w:pPr>
                  <w:r>
                    <w:rPr>
                      <w:rFonts w:hint="eastAsia"/>
                      <w:color w:val="auto"/>
                      <w:kern w:val="0"/>
                      <w:szCs w:val="21"/>
                    </w:rPr>
                    <w:t>0.3</w:t>
                  </w:r>
                </w:p>
              </w:tc>
              <w:tc>
                <w:tcPr>
                  <w:tcW w:w="1368" w:type="dxa"/>
                  <w:vAlign w:val="center"/>
                </w:tcPr>
                <w:p w14:paraId="03C12939">
                  <w:pPr>
                    <w:widowControl/>
                    <w:jc w:val="center"/>
                    <w:rPr>
                      <w:color w:val="auto"/>
                      <w:kern w:val="0"/>
                      <w:szCs w:val="21"/>
                    </w:rPr>
                  </w:pPr>
                  <w:r>
                    <w:rPr>
                      <w:rFonts w:hint="eastAsia"/>
                      <w:color w:val="auto"/>
                      <w:kern w:val="0"/>
                      <w:szCs w:val="21"/>
                    </w:rPr>
                    <w:t>0.180~0.261</w:t>
                  </w:r>
                </w:p>
              </w:tc>
              <w:tc>
                <w:tcPr>
                  <w:tcW w:w="1320" w:type="dxa"/>
                  <w:vAlign w:val="center"/>
                </w:tcPr>
                <w:p w14:paraId="2457219C">
                  <w:pPr>
                    <w:widowControl/>
                    <w:jc w:val="center"/>
                    <w:rPr>
                      <w:color w:val="auto"/>
                      <w:kern w:val="0"/>
                      <w:szCs w:val="21"/>
                    </w:rPr>
                  </w:pPr>
                  <w:r>
                    <w:rPr>
                      <w:rFonts w:hint="eastAsia"/>
                      <w:color w:val="auto"/>
                      <w:kern w:val="0"/>
                      <w:szCs w:val="21"/>
                    </w:rPr>
                    <w:t>87</w:t>
                  </w:r>
                </w:p>
              </w:tc>
              <w:tc>
                <w:tcPr>
                  <w:tcW w:w="900" w:type="dxa"/>
                  <w:vAlign w:val="center"/>
                </w:tcPr>
                <w:p w14:paraId="3DB13676">
                  <w:pPr>
                    <w:widowControl/>
                    <w:jc w:val="center"/>
                    <w:rPr>
                      <w:color w:val="auto"/>
                      <w:kern w:val="0"/>
                      <w:szCs w:val="21"/>
                    </w:rPr>
                  </w:pPr>
                  <w:r>
                    <w:rPr>
                      <w:rFonts w:hint="eastAsia"/>
                      <w:color w:val="auto"/>
                      <w:kern w:val="0"/>
                      <w:szCs w:val="21"/>
                    </w:rPr>
                    <w:t>0</w:t>
                  </w:r>
                </w:p>
              </w:tc>
              <w:tc>
                <w:tcPr>
                  <w:tcW w:w="681" w:type="dxa"/>
                  <w:vAlign w:val="center"/>
                </w:tcPr>
                <w:p w14:paraId="52833012">
                  <w:pPr>
                    <w:widowControl/>
                    <w:jc w:val="center"/>
                    <w:rPr>
                      <w:color w:val="auto"/>
                      <w:kern w:val="0"/>
                      <w:szCs w:val="21"/>
                    </w:rPr>
                  </w:pPr>
                  <w:r>
                    <w:rPr>
                      <w:rFonts w:hint="eastAsia"/>
                      <w:color w:val="auto"/>
                      <w:kern w:val="0"/>
                      <w:szCs w:val="21"/>
                    </w:rPr>
                    <w:t>达标</w:t>
                  </w:r>
                </w:p>
              </w:tc>
            </w:tr>
            <w:tr w14:paraId="34B6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dxa"/>
                  <w:vMerge w:val="continue"/>
                  <w:vAlign w:val="center"/>
                </w:tcPr>
                <w:p w14:paraId="34CE4652">
                  <w:pPr>
                    <w:widowControl/>
                    <w:jc w:val="center"/>
                    <w:rPr>
                      <w:color w:val="auto"/>
                      <w:kern w:val="0"/>
                      <w:szCs w:val="21"/>
                    </w:rPr>
                  </w:pPr>
                </w:p>
              </w:tc>
              <w:tc>
                <w:tcPr>
                  <w:tcW w:w="1380" w:type="dxa"/>
                  <w:vAlign w:val="center"/>
                </w:tcPr>
                <w:p w14:paraId="686C8E7B">
                  <w:pPr>
                    <w:widowControl/>
                    <w:jc w:val="center"/>
                    <w:rPr>
                      <w:color w:val="auto"/>
                      <w:kern w:val="0"/>
                      <w:szCs w:val="21"/>
                    </w:rPr>
                  </w:pPr>
                  <w:r>
                    <w:rPr>
                      <w:rFonts w:hint="eastAsia"/>
                      <w:color w:val="auto"/>
                      <w:kern w:val="0"/>
                      <w:szCs w:val="21"/>
                    </w:rPr>
                    <w:t>非甲烷总烃</w:t>
                  </w:r>
                </w:p>
              </w:tc>
              <w:tc>
                <w:tcPr>
                  <w:tcW w:w="912" w:type="dxa"/>
                  <w:vAlign w:val="center"/>
                </w:tcPr>
                <w:p w14:paraId="27A2E498">
                  <w:pPr>
                    <w:widowControl/>
                    <w:jc w:val="center"/>
                    <w:rPr>
                      <w:color w:val="auto"/>
                      <w:kern w:val="0"/>
                      <w:szCs w:val="21"/>
                    </w:rPr>
                  </w:pPr>
                  <w:r>
                    <w:rPr>
                      <w:rFonts w:hint="eastAsia"/>
                      <w:color w:val="auto"/>
                      <w:kern w:val="0"/>
                      <w:szCs w:val="21"/>
                    </w:rPr>
                    <w:t>小时值</w:t>
                  </w:r>
                </w:p>
              </w:tc>
              <w:tc>
                <w:tcPr>
                  <w:tcW w:w="1128" w:type="dxa"/>
                  <w:vAlign w:val="center"/>
                </w:tcPr>
                <w:p w14:paraId="2F2861E1">
                  <w:pPr>
                    <w:widowControl/>
                    <w:jc w:val="center"/>
                    <w:rPr>
                      <w:color w:val="auto"/>
                      <w:kern w:val="0"/>
                      <w:szCs w:val="21"/>
                    </w:rPr>
                  </w:pPr>
                  <w:r>
                    <w:rPr>
                      <w:rFonts w:hint="eastAsia"/>
                      <w:color w:val="auto"/>
                      <w:kern w:val="0"/>
                      <w:szCs w:val="21"/>
                    </w:rPr>
                    <w:t>2.0</w:t>
                  </w:r>
                </w:p>
              </w:tc>
              <w:tc>
                <w:tcPr>
                  <w:tcW w:w="1368" w:type="dxa"/>
                  <w:vAlign w:val="center"/>
                </w:tcPr>
                <w:p w14:paraId="3B3FB33B">
                  <w:pPr>
                    <w:widowControl/>
                    <w:jc w:val="center"/>
                    <w:rPr>
                      <w:color w:val="auto"/>
                      <w:kern w:val="0"/>
                      <w:szCs w:val="21"/>
                    </w:rPr>
                  </w:pPr>
                  <w:r>
                    <w:rPr>
                      <w:rFonts w:hint="eastAsia"/>
                      <w:color w:val="auto"/>
                      <w:kern w:val="0"/>
                      <w:szCs w:val="21"/>
                    </w:rPr>
                    <w:t>0.84~1.55</w:t>
                  </w:r>
                </w:p>
              </w:tc>
              <w:tc>
                <w:tcPr>
                  <w:tcW w:w="1320" w:type="dxa"/>
                  <w:vAlign w:val="center"/>
                </w:tcPr>
                <w:p w14:paraId="15CBA4A5">
                  <w:pPr>
                    <w:widowControl/>
                    <w:jc w:val="center"/>
                    <w:rPr>
                      <w:color w:val="auto"/>
                      <w:kern w:val="0"/>
                      <w:szCs w:val="21"/>
                    </w:rPr>
                  </w:pPr>
                  <w:r>
                    <w:rPr>
                      <w:rFonts w:hint="eastAsia"/>
                      <w:color w:val="auto"/>
                      <w:kern w:val="0"/>
                      <w:szCs w:val="21"/>
                    </w:rPr>
                    <w:t>77.5</w:t>
                  </w:r>
                </w:p>
              </w:tc>
              <w:tc>
                <w:tcPr>
                  <w:tcW w:w="900" w:type="dxa"/>
                  <w:vAlign w:val="center"/>
                </w:tcPr>
                <w:p w14:paraId="407808FC">
                  <w:pPr>
                    <w:widowControl/>
                    <w:jc w:val="center"/>
                    <w:rPr>
                      <w:color w:val="auto"/>
                      <w:kern w:val="0"/>
                      <w:szCs w:val="21"/>
                    </w:rPr>
                  </w:pPr>
                  <w:r>
                    <w:rPr>
                      <w:rFonts w:hint="eastAsia"/>
                      <w:color w:val="auto"/>
                      <w:kern w:val="0"/>
                      <w:szCs w:val="21"/>
                    </w:rPr>
                    <w:t>0</w:t>
                  </w:r>
                </w:p>
              </w:tc>
              <w:tc>
                <w:tcPr>
                  <w:tcW w:w="681" w:type="dxa"/>
                  <w:vAlign w:val="center"/>
                </w:tcPr>
                <w:p w14:paraId="57FD8A7B">
                  <w:pPr>
                    <w:widowControl/>
                    <w:jc w:val="center"/>
                    <w:rPr>
                      <w:color w:val="auto"/>
                      <w:kern w:val="0"/>
                      <w:szCs w:val="21"/>
                    </w:rPr>
                  </w:pPr>
                  <w:r>
                    <w:rPr>
                      <w:rFonts w:hint="eastAsia"/>
                      <w:color w:val="auto"/>
                      <w:kern w:val="0"/>
                      <w:szCs w:val="21"/>
                    </w:rPr>
                    <w:t>达标</w:t>
                  </w:r>
                </w:p>
              </w:tc>
            </w:tr>
            <w:tr w14:paraId="0B5F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dxa"/>
                  <w:vMerge w:val="continue"/>
                  <w:vAlign w:val="center"/>
                </w:tcPr>
                <w:p w14:paraId="55ED7F2B">
                  <w:pPr>
                    <w:widowControl/>
                    <w:jc w:val="center"/>
                    <w:rPr>
                      <w:color w:val="auto"/>
                      <w:kern w:val="0"/>
                      <w:szCs w:val="21"/>
                    </w:rPr>
                  </w:pPr>
                </w:p>
              </w:tc>
              <w:tc>
                <w:tcPr>
                  <w:tcW w:w="1380" w:type="dxa"/>
                  <w:vAlign w:val="center"/>
                </w:tcPr>
                <w:p w14:paraId="13347C53">
                  <w:pPr>
                    <w:widowControl/>
                    <w:jc w:val="center"/>
                    <w:rPr>
                      <w:color w:val="auto"/>
                      <w:kern w:val="0"/>
                      <w:szCs w:val="21"/>
                    </w:rPr>
                  </w:pPr>
                  <w:r>
                    <w:rPr>
                      <w:rFonts w:hint="eastAsia"/>
                      <w:color w:val="auto"/>
                      <w:kern w:val="0"/>
                      <w:szCs w:val="21"/>
                    </w:rPr>
                    <w:t>臭气浓度</w:t>
                  </w:r>
                </w:p>
                <w:p w14:paraId="5F923E9D">
                  <w:pPr>
                    <w:widowControl/>
                    <w:jc w:val="center"/>
                    <w:rPr>
                      <w:color w:val="auto"/>
                      <w:kern w:val="0"/>
                      <w:szCs w:val="21"/>
                    </w:rPr>
                  </w:pPr>
                  <w:r>
                    <w:rPr>
                      <w:rFonts w:hint="eastAsia"/>
                      <w:color w:val="auto"/>
                      <w:kern w:val="0"/>
                      <w:szCs w:val="21"/>
                    </w:rPr>
                    <w:t>（无量纲）</w:t>
                  </w:r>
                </w:p>
              </w:tc>
              <w:tc>
                <w:tcPr>
                  <w:tcW w:w="912" w:type="dxa"/>
                  <w:vAlign w:val="center"/>
                </w:tcPr>
                <w:p w14:paraId="0878EB4C">
                  <w:pPr>
                    <w:widowControl/>
                    <w:jc w:val="center"/>
                    <w:rPr>
                      <w:color w:val="auto"/>
                      <w:kern w:val="0"/>
                      <w:szCs w:val="21"/>
                    </w:rPr>
                  </w:pPr>
                  <w:r>
                    <w:rPr>
                      <w:rFonts w:hint="eastAsia"/>
                      <w:color w:val="auto"/>
                      <w:kern w:val="0"/>
                      <w:szCs w:val="21"/>
                    </w:rPr>
                    <w:t>一次值</w:t>
                  </w:r>
                </w:p>
              </w:tc>
              <w:tc>
                <w:tcPr>
                  <w:tcW w:w="1128" w:type="dxa"/>
                  <w:vAlign w:val="center"/>
                </w:tcPr>
                <w:p w14:paraId="21E7896B">
                  <w:pPr>
                    <w:widowControl/>
                    <w:jc w:val="center"/>
                    <w:rPr>
                      <w:color w:val="auto"/>
                      <w:kern w:val="0"/>
                      <w:szCs w:val="21"/>
                    </w:rPr>
                  </w:pPr>
                  <w:r>
                    <w:rPr>
                      <w:rFonts w:hint="eastAsia"/>
                      <w:color w:val="auto"/>
                      <w:kern w:val="0"/>
                      <w:szCs w:val="21"/>
                    </w:rPr>
                    <w:t>/</w:t>
                  </w:r>
                </w:p>
              </w:tc>
              <w:tc>
                <w:tcPr>
                  <w:tcW w:w="1368" w:type="dxa"/>
                  <w:vAlign w:val="center"/>
                </w:tcPr>
                <w:p w14:paraId="4A8F9A4C">
                  <w:pPr>
                    <w:widowControl/>
                    <w:jc w:val="center"/>
                    <w:rPr>
                      <w:color w:val="auto"/>
                      <w:kern w:val="0"/>
                      <w:szCs w:val="21"/>
                    </w:rPr>
                  </w:pPr>
                  <w:r>
                    <w:rPr>
                      <w:rFonts w:hint="eastAsia"/>
                      <w:color w:val="auto"/>
                      <w:kern w:val="0"/>
                      <w:szCs w:val="21"/>
                    </w:rPr>
                    <w:t>10~15</w:t>
                  </w:r>
                </w:p>
              </w:tc>
              <w:tc>
                <w:tcPr>
                  <w:tcW w:w="1320" w:type="dxa"/>
                  <w:vAlign w:val="center"/>
                </w:tcPr>
                <w:p w14:paraId="021F39F1">
                  <w:pPr>
                    <w:widowControl/>
                    <w:jc w:val="center"/>
                    <w:rPr>
                      <w:color w:val="auto"/>
                      <w:kern w:val="0"/>
                      <w:szCs w:val="21"/>
                    </w:rPr>
                  </w:pPr>
                  <w:r>
                    <w:rPr>
                      <w:rFonts w:hint="eastAsia"/>
                      <w:color w:val="auto"/>
                      <w:kern w:val="0"/>
                      <w:szCs w:val="21"/>
                    </w:rPr>
                    <w:t>/</w:t>
                  </w:r>
                </w:p>
              </w:tc>
              <w:tc>
                <w:tcPr>
                  <w:tcW w:w="900" w:type="dxa"/>
                  <w:vAlign w:val="center"/>
                </w:tcPr>
                <w:p w14:paraId="02FE8E59">
                  <w:pPr>
                    <w:widowControl/>
                    <w:jc w:val="center"/>
                    <w:rPr>
                      <w:color w:val="auto"/>
                      <w:kern w:val="0"/>
                      <w:szCs w:val="21"/>
                    </w:rPr>
                  </w:pPr>
                  <w:r>
                    <w:rPr>
                      <w:rFonts w:hint="eastAsia"/>
                      <w:color w:val="auto"/>
                      <w:kern w:val="0"/>
                      <w:szCs w:val="21"/>
                    </w:rPr>
                    <w:t>/</w:t>
                  </w:r>
                </w:p>
              </w:tc>
              <w:tc>
                <w:tcPr>
                  <w:tcW w:w="681" w:type="dxa"/>
                  <w:vAlign w:val="center"/>
                </w:tcPr>
                <w:p w14:paraId="7AA79DDC">
                  <w:pPr>
                    <w:widowControl/>
                    <w:jc w:val="center"/>
                    <w:rPr>
                      <w:color w:val="auto"/>
                      <w:kern w:val="0"/>
                      <w:szCs w:val="21"/>
                    </w:rPr>
                  </w:pPr>
                  <w:r>
                    <w:rPr>
                      <w:rFonts w:hint="eastAsia"/>
                      <w:color w:val="auto"/>
                      <w:kern w:val="0"/>
                      <w:szCs w:val="21"/>
                    </w:rPr>
                    <w:t>/</w:t>
                  </w:r>
                </w:p>
              </w:tc>
            </w:tr>
          </w:tbl>
          <w:p w14:paraId="7B29629B">
            <w:pPr>
              <w:widowControl/>
              <w:spacing w:line="360" w:lineRule="auto"/>
              <w:ind w:firstLine="425"/>
              <w:rPr>
                <w:snapToGrid w:val="0"/>
                <w:color w:val="auto"/>
                <w:kern w:val="0"/>
                <w:sz w:val="24"/>
              </w:rPr>
            </w:pPr>
            <w:r>
              <w:rPr>
                <w:rFonts w:hint="eastAsia"/>
                <w:snapToGrid w:val="0"/>
                <w:color w:val="auto"/>
                <w:kern w:val="0"/>
                <w:sz w:val="24"/>
              </w:rPr>
              <w:t>由监测数据及评价结果分析可知：区域环境空气中非甲烷总烃符合《大气污染物综合排放标准详解》要求，TSP日均值符合《环境空气质量标准》（GB3095-2012）及其修改单的公告（生态环境部公告公告2018年第29号）二级标准要求；臭气浓度由于没有环境质量标准，因此仅作为环境本底留存。</w:t>
            </w:r>
          </w:p>
          <w:p w14:paraId="7DB8D914">
            <w:pPr>
              <w:numPr>
                <w:ilvl w:val="0"/>
                <w:numId w:val="22"/>
              </w:numPr>
              <w:tabs>
                <w:tab w:val="left" w:pos="993"/>
              </w:tabs>
              <w:adjustRightInd w:val="0"/>
              <w:spacing w:line="360" w:lineRule="auto"/>
              <w:rPr>
                <w:b/>
                <w:bCs/>
                <w:color w:val="auto"/>
                <w:sz w:val="24"/>
                <w:lang w:val="zh-CN"/>
              </w:rPr>
            </w:pPr>
            <w:r>
              <w:rPr>
                <w:b/>
                <w:bCs/>
                <w:color w:val="auto"/>
                <w:sz w:val="24"/>
              </w:rPr>
              <w:t>地表水环境质量现状</w:t>
            </w:r>
          </w:p>
          <w:p w14:paraId="376CCF60">
            <w:pPr>
              <w:adjustRightInd w:val="0"/>
              <w:snapToGrid w:val="0"/>
              <w:spacing w:line="360" w:lineRule="auto"/>
              <w:ind w:firstLine="425"/>
              <w:rPr>
                <w:color w:val="auto"/>
                <w:sz w:val="24"/>
              </w:rPr>
            </w:pPr>
            <w:r>
              <w:rPr>
                <w:color w:val="auto"/>
                <w:sz w:val="24"/>
                <w:lang w:val="zh-CN"/>
              </w:rPr>
              <w:t>根据《202</w:t>
            </w:r>
            <w:r>
              <w:rPr>
                <w:rFonts w:hint="eastAsia"/>
                <w:color w:val="auto"/>
                <w:sz w:val="24"/>
              </w:rPr>
              <w:t>4</w:t>
            </w:r>
            <w:r>
              <w:rPr>
                <w:color w:val="auto"/>
                <w:sz w:val="24"/>
                <w:lang w:val="zh-CN"/>
              </w:rPr>
              <w:t>年湖州市生态环境状况公报》，2024年全市地表水水质总体为优。县控以上地表水监测断面水质类别符合Ⅰ类、Ⅱ类、Ⅲ类标准的比例分别为2.5%、64.6%、32.9%；满足功能要求监测断面比例为100%，全市地表水水质总体评价为优，与上年相比，水质状况稳中有升，Ⅱ类以上水质断面比例上升3.8个百分点。</w:t>
            </w:r>
            <w:r>
              <w:rPr>
                <w:rFonts w:hint="eastAsia"/>
                <w:color w:val="auto"/>
                <w:sz w:val="24"/>
              </w:rPr>
              <w:t>详见下图。</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9"/>
            </w:tblGrid>
            <w:tr w14:paraId="45FA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9" w:type="dxa"/>
                </w:tcPr>
                <w:p w14:paraId="645C5A22">
                  <w:pPr>
                    <w:widowControl/>
                    <w:jc w:val="center"/>
                    <w:rPr>
                      <w:rFonts w:hint="eastAsia"/>
                      <w:color w:val="auto"/>
                      <w:kern w:val="0"/>
                      <w:szCs w:val="21"/>
                      <w:lang w:val="zh-CN"/>
                    </w:rPr>
                  </w:pPr>
                  <w:r>
                    <w:rPr>
                      <w:rFonts w:hint="eastAsia"/>
                      <w:color w:val="auto"/>
                      <w:kern w:val="0"/>
                      <w:szCs w:val="21"/>
                    </w:rPr>
                    <w:drawing>
                      <wp:inline distT="0" distB="0" distL="114300" distR="114300">
                        <wp:extent cx="2766060" cy="1973580"/>
                        <wp:effectExtent l="0" t="0" r="7620" b="762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a:stretch>
                                  <a:fillRect/>
                                </a:stretch>
                              </pic:blipFill>
                              <pic:spPr>
                                <a:xfrm>
                                  <a:off x="0" y="0"/>
                                  <a:ext cx="2766060" cy="1973580"/>
                                </a:xfrm>
                                <a:prstGeom prst="rect">
                                  <a:avLst/>
                                </a:prstGeom>
                                <a:noFill/>
                                <a:ln>
                                  <a:noFill/>
                                </a:ln>
                              </pic:spPr>
                            </pic:pic>
                          </a:graphicData>
                        </a:graphic>
                      </wp:inline>
                    </w:drawing>
                  </w:r>
                </w:p>
              </w:tc>
            </w:tr>
          </w:tbl>
          <w:p w14:paraId="3E343E0C">
            <w:pPr>
              <w:adjustRightInd w:val="0"/>
              <w:snapToGrid w:val="0"/>
              <w:spacing w:line="360" w:lineRule="auto"/>
              <w:ind w:firstLine="425"/>
              <w:jc w:val="center"/>
              <w:rPr>
                <w:b/>
                <w:bCs/>
                <w:color w:val="auto"/>
                <w:sz w:val="24"/>
              </w:rPr>
            </w:pPr>
            <w:r>
              <w:rPr>
                <w:rFonts w:hint="eastAsia"/>
                <w:b/>
                <w:bCs/>
                <w:color w:val="auto"/>
                <w:sz w:val="24"/>
              </w:rPr>
              <w:t>图3-1 地表水</w:t>
            </w:r>
            <w:r>
              <w:rPr>
                <w:rFonts w:hint="eastAsia"/>
                <w:b/>
                <w:bCs/>
                <w:color w:val="auto"/>
                <w:sz w:val="24"/>
                <w:lang w:val="en-US" w:eastAsia="zh-CN"/>
              </w:rPr>
              <w:t>监测断面</w:t>
            </w:r>
            <w:r>
              <w:rPr>
                <w:rFonts w:hint="eastAsia"/>
                <w:b/>
                <w:bCs/>
                <w:color w:val="auto"/>
                <w:sz w:val="24"/>
              </w:rPr>
              <w:t>水质情况</w:t>
            </w:r>
          </w:p>
          <w:p w14:paraId="753D27C6">
            <w:pPr>
              <w:adjustRightInd w:val="0"/>
              <w:snapToGrid w:val="0"/>
              <w:spacing w:line="360" w:lineRule="auto"/>
              <w:ind w:firstLine="425"/>
              <w:rPr>
                <w:color w:val="auto"/>
                <w:sz w:val="24"/>
                <w:lang w:val="zh-CN"/>
              </w:rPr>
            </w:pPr>
            <w:r>
              <w:rPr>
                <w:color w:val="auto"/>
                <w:sz w:val="24"/>
                <w:lang w:val="zh-CN"/>
              </w:rPr>
              <w:t>本项目废水经化粪池预处理后纳管至湖州光正水质净化有限公司处理后达标排放，其最终纳污水体为京杭运河。根据《浙江省水功能区、水环境功能区划分方案（2015）》，京杭运河属于太湖流域杭嘉湖平原河网水系（杭嘉湖25），水功能区为运河湖州农业用水区，水环境功能区为农业用水区。起始断面位于“茹家甸”，终止断面位于“乌镇（南浔桐乡交界）”，目标水质为《地表水环境质量标准》</w:t>
            </w:r>
            <w:r>
              <w:rPr>
                <w:rFonts w:hint="eastAsia"/>
                <w:color w:val="auto"/>
                <w:sz w:val="24"/>
                <w:lang w:val="zh-CN"/>
              </w:rPr>
              <w:t>（</w:t>
            </w:r>
            <w:r>
              <w:rPr>
                <w:color w:val="auto"/>
                <w:sz w:val="24"/>
                <w:lang w:val="zh-CN"/>
              </w:rPr>
              <w:t>GB3838-2002</w:t>
            </w:r>
            <w:r>
              <w:rPr>
                <w:rFonts w:hint="eastAsia"/>
                <w:color w:val="auto"/>
                <w:sz w:val="24"/>
                <w:lang w:val="zh-CN"/>
              </w:rPr>
              <w:t>）</w:t>
            </w:r>
            <w:r>
              <w:rPr>
                <w:color w:val="auto"/>
                <w:sz w:val="24"/>
                <w:lang w:val="zh-CN"/>
              </w:rPr>
              <w:t>的Ⅲ类标准。</w:t>
            </w:r>
          </w:p>
          <w:p w14:paraId="462BD9D4">
            <w:pPr>
              <w:adjustRightInd w:val="0"/>
              <w:snapToGrid w:val="0"/>
              <w:spacing w:line="360" w:lineRule="auto"/>
              <w:ind w:firstLine="425"/>
              <w:rPr>
                <w:color w:val="auto"/>
                <w:sz w:val="24"/>
              </w:rPr>
            </w:pPr>
            <w:r>
              <w:rPr>
                <w:color w:val="auto"/>
                <w:sz w:val="24"/>
                <w:lang w:val="zh-CN"/>
              </w:rPr>
              <w:t>为了解京杭大运河水环境质量现状，本项目引用《旭昌达（湖州）智能科技有限公司智能科技集成物流装备研发和生产基地项目环境影响报告表》中对湖州光正水质净化有限公司排污口上下游的监测数据，监测时间为2024年4月20日到4月22日（</w:t>
            </w:r>
            <w:r>
              <w:rPr>
                <w:rFonts w:hint="eastAsia"/>
                <w:snapToGrid w:val="0"/>
                <w:color w:val="auto"/>
                <w:kern w:val="0"/>
                <w:sz w:val="24"/>
              </w:rPr>
              <w:t>3年有效期内</w:t>
            </w:r>
            <w:r>
              <w:rPr>
                <w:color w:val="auto"/>
                <w:sz w:val="24"/>
                <w:lang w:val="zh-CN"/>
              </w:rPr>
              <w:t>），结果见下表</w:t>
            </w:r>
            <w:r>
              <w:rPr>
                <w:rFonts w:hint="eastAsia"/>
                <w:color w:val="auto"/>
                <w:sz w:val="24"/>
                <w:lang w:val="zh-CN"/>
              </w:rPr>
              <w:t>。</w:t>
            </w:r>
          </w:p>
          <w:p w14:paraId="1B508072">
            <w:pPr>
              <w:numPr>
                <w:ilvl w:val="0"/>
                <w:numId w:val="23"/>
              </w:numPr>
              <w:adjustRightInd w:val="0"/>
              <w:snapToGrid w:val="0"/>
              <w:spacing w:before="48" w:beforeLines="20" w:after="48" w:afterLines="20" w:line="0" w:lineRule="atLeast"/>
              <w:jc w:val="center"/>
              <w:rPr>
                <w:b/>
                <w:bCs/>
                <w:color w:val="auto"/>
                <w:sz w:val="24"/>
              </w:rPr>
            </w:pPr>
            <w:r>
              <w:rPr>
                <w:b/>
                <w:bCs/>
                <w:color w:val="auto"/>
                <w:sz w:val="24"/>
              </w:rPr>
              <w:t>地表水水质现状监测数据及评价结果</w:t>
            </w:r>
          </w:p>
          <w:p w14:paraId="7A5C5480">
            <w:pPr>
              <w:adjustRightInd w:val="0"/>
              <w:snapToGrid w:val="0"/>
              <w:spacing w:line="360" w:lineRule="auto"/>
              <w:ind w:firstLine="425"/>
              <w:jc w:val="right"/>
              <w:rPr>
                <w:color w:val="auto"/>
                <w:sz w:val="24"/>
                <w:lang w:val="zh-CN"/>
              </w:rPr>
            </w:pPr>
            <w:r>
              <w:rPr>
                <w:rFonts w:hint="eastAsia"/>
                <w:color w:val="auto"/>
                <w:sz w:val="24"/>
              </w:rPr>
              <w:t>单位：mg/L（除pH外）</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068"/>
              <w:gridCol w:w="1068"/>
              <w:gridCol w:w="1140"/>
              <w:gridCol w:w="1067"/>
              <w:gridCol w:w="1067"/>
              <w:gridCol w:w="1069"/>
              <w:gridCol w:w="821"/>
            </w:tblGrid>
            <w:tr w14:paraId="3281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4322B074">
                  <w:pPr>
                    <w:widowControl/>
                    <w:jc w:val="center"/>
                    <w:rPr>
                      <w:color w:val="auto"/>
                      <w:kern w:val="0"/>
                      <w:szCs w:val="21"/>
                    </w:rPr>
                  </w:pPr>
                  <w:r>
                    <w:rPr>
                      <w:rFonts w:hint="eastAsia"/>
                      <w:color w:val="auto"/>
                      <w:kern w:val="0"/>
                      <w:szCs w:val="21"/>
                    </w:rPr>
                    <w:t>监测点位</w:t>
                  </w:r>
                </w:p>
              </w:tc>
              <w:tc>
                <w:tcPr>
                  <w:tcW w:w="3276" w:type="dxa"/>
                  <w:gridSpan w:val="3"/>
                  <w:vAlign w:val="center"/>
                </w:tcPr>
                <w:p w14:paraId="394DF481">
                  <w:pPr>
                    <w:widowControl/>
                    <w:jc w:val="center"/>
                    <w:rPr>
                      <w:rFonts w:hint="eastAsia"/>
                      <w:color w:val="auto"/>
                      <w:kern w:val="0"/>
                      <w:szCs w:val="21"/>
                    </w:rPr>
                  </w:pPr>
                  <w:r>
                    <w:rPr>
                      <w:rFonts w:hint="eastAsia"/>
                      <w:color w:val="auto"/>
                      <w:kern w:val="0"/>
                      <w:szCs w:val="21"/>
                    </w:rPr>
                    <w:t>光正水质污水厂排污口上游</w:t>
                  </w:r>
                </w:p>
                <w:p w14:paraId="24D83905">
                  <w:pPr>
                    <w:widowControl/>
                    <w:jc w:val="center"/>
                    <w:rPr>
                      <w:color w:val="auto"/>
                      <w:kern w:val="0"/>
                      <w:szCs w:val="21"/>
                    </w:rPr>
                  </w:pPr>
                  <w:r>
                    <w:rPr>
                      <w:rFonts w:hint="eastAsia"/>
                      <w:color w:val="auto"/>
                      <w:kern w:val="0"/>
                      <w:szCs w:val="21"/>
                    </w:rPr>
                    <w:t>500m</w:t>
                  </w:r>
                </w:p>
              </w:tc>
              <w:tc>
                <w:tcPr>
                  <w:tcW w:w="3203" w:type="dxa"/>
                  <w:gridSpan w:val="3"/>
                  <w:vAlign w:val="center"/>
                </w:tcPr>
                <w:p w14:paraId="1610375B">
                  <w:pPr>
                    <w:widowControl/>
                    <w:jc w:val="center"/>
                    <w:rPr>
                      <w:color w:val="auto"/>
                      <w:kern w:val="0"/>
                      <w:szCs w:val="21"/>
                    </w:rPr>
                  </w:pPr>
                  <w:r>
                    <w:rPr>
                      <w:rFonts w:hint="eastAsia"/>
                      <w:color w:val="auto"/>
                      <w:kern w:val="0"/>
                      <w:szCs w:val="21"/>
                    </w:rPr>
                    <w:t>光正水质污水厂排污口下游500m</w:t>
                  </w:r>
                </w:p>
              </w:tc>
              <w:tc>
                <w:tcPr>
                  <w:tcW w:w="821" w:type="dxa"/>
                  <w:vAlign w:val="center"/>
                </w:tcPr>
                <w:p w14:paraId="07285CED">
                  <w:pPr>
                    <w:widowControl/>
                    <w:jc w:val="center"/>
                    <w:rPr>
                      <w:color w:val="auto"/>
                      <w:kern w:val="0"/>
                      <w:szCs w:val="21"/>
                    </w:rPr>
                  </w:pPr>
                  <w:r>
                    <w:rPr>
                      <w:rFonts w:hint="eastAsia"/>
                      <w:color w:val="auto"/>
                      <w:kern w:val="0"/>
                      <w:szCs w:val="21"/>
                    </w:rPr>
                    <w:t>标准值</w:t>
                  </w:r>
                </w:p>
              </w:tc>
            </w:tr>
            <w:tr w14:paraId="3D81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34B495D2">
                  <w:pPr>
                    <w:widowControl/>
                    <w:jc w:val="center"/>
                    <w:rPr>
                      <w:color w:val="auto"/>
                      <w:kern w:val="0"/>
                      <w:szCs w:val="21"/>
                    </w:rPr>
                  </w:pPr>
                  <w:r>
                    <w:rPr>
                      <w:rFonts w:hint="eastAsia"/>
                      <w:color w:val="auto"/>
                      <w:kern w:val="0"/>
                      <w:szCs w:val="21"/>
                    </w:rPr>
                    <w:t>样品性状</w:t>
                  </w:r>
                </w:p>
              </w:tc>
              <w:tc>
                <w:tcPr>
                  <w:tcW w:w="3276" w:type="dxa"/>
                  <w:gridSpan w:val="3"/>
                  <w:vAlign w:val="center"/>
                </w:tcPr>
                <w:p w14:paraId="0EE47A1A">
                  <w:pPr>
                    <w:widowControl/>
                    <w:jc w:val="center"/>
                    <w:rPr>
                      <w:color w:val="auto"/>
                      <w:kern w:val="0"/>
                      <w:szCs w:val="21"/>
                    </w:rPr>
                  </w:pPr>
                  <w:r>
                    <w:rPr>
                      <w:rFonts w:hint="eastAsia"/>
                      <w:color w:val="auto"/>
                      <w:kern w:val="0"/>
                      <w:szCs w:val="21"/>
                    </w:rPr>
                    <w:t>水样无沉淀，浅黄色</w:t>
                  </w:r>
                </w:p>
              </w:tc>
              <w:tc>
                <w:tcPr>
                  <w:tcW w:w="3203" w:type="dxa"/>
                  <w:gridSpan w:val="3"/>
                  <w:vAlign w:val="center"/>
                </w:tcPr>
                <w:p w14:paraId="6E2CDEA1">
                  <w:pPr>
                    <w:widowControl/>
                    <w:jc w:val="center"/>
                    <w:rPr>
                      <w:color w:val="auto"/>
                      <w:kern w:val="0"/>
                      <w:szCs w:val="21"/>
                    </w:rPr>
                  </w:pPr>
                  <w:r>
                    <w:rPr>
                      <w:rFonts w:hint="eastAsia"/>
                      <w:color w:val="auto"/>
                      <w:kern w:val="0"/>
                      <w:szCs w:val="21"/>
                    </w:rPr>
                    <w:t>水样无沉淀，浅黄色</w:t>
                  </w:r>
                </w:p>
              </w:tc>
              <w:tc>
                <w:tcPr>
                  <w:tcW w:w="821" w:type="dxa"/>
                  <w:vAlign w:val="center"/>
                </w:tcPr>
                <w:p w14:paraId="4A65C69E">
                  <w:pPr>
                    <w:widowControl/>
                    <w:jc w:val="center"/>
                    <w:rPr>
                      <w:color w:val="auto"/>
                      <w:kern w:val="0"/>
                      <w:szCs w:val="21"/>
                    </w:rPr>
                  </w:pPr>
                  <w:r>
                    <w:rPr>
                      <w:rFonts w:hint="eastAsia"/>
                      <w:color w:val="auto"/>
                      <w:kern w:val="0"/>
                      <w:szCs w:val="21"/>
                    </w:rPr>
                    <w:t>/</w:t>
                  </w:r>
                </w:p>
              </w:tc>
            </w:tr>
            <w:tr w14:paraId="0ADE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283C90B3">
                  <w:pPr>
                    <w:widowControl/>
                    <w:jc w:val="center"/>
                    <w:rPr>
                      <w:color w:val="auto"/>
                      <w:kern w:val="0"/>
                      <w:szCs w:val="21"/>
                    </w:rPr>
                  </w:pPr>
                  <w:r>
                    <w:rPr>
                      <w:rFonts w:hint="eastAsia"/>
                      <w:color w:val="auto"/>
                      <w:kern w:val="0"/>
                      <w:szCs w:val="21"/>
                    </w:rPr>
                    <w:t>采样时间</w:t>
                  </w:r>
                </w:p>
              </w:tc>
              <w:tc>
                <w:tcPr>
                  <w:tcW w:w="1068" w:type="dxa"/>
                  <w:vAlign w:val="center"/>
                </w:tcPr>
                <w:p w14:paraId="3687E8A3">
                  <w:pPr>
                    <w:widowControl/>
                    <w:jc w:val="center"/>
                    <w:rPr>
                      <w:color w:val="auto"/>
                      <w:kern w:val="0"/>
                      <w:szCs w:val="21"/>
                    </w:rPr>
                  </w:pPr>
                  <w:r>
                    <w:rPr>
                      <w:rFonts w:hint="eastAsia"/>
                      <w:color w:val="auto"/>
                      <w:kern w:val="0"/>
                      <w:szCs w:val="21"/>
                    </w:rPr>
                    <w:t>2024.4.20</w:t>
                  </w:r>
                </w:p>
              </w:tc>
              <w:tc>
                <w:tcPr>
                  <w:tcW w:w="1068" w:type="dxa"/>
                  <w:vAlign w:val="center"/>
                </w:tcPr>
                <w:p w14:paraId="16F4853E">
                  <w:pPr>
                    <w:widowControl/>
                    <w:jc w:val="center"/>
                    <w:rPr>
                      <w:color w:val="auto"/>
                      <w:kern w:val="0"/>
                      <w:szCs w:val="21"/>
                    </w:rPr>
                  </w:pPr>
                  <w:r>
                    <w:rPr>
                      <w:rFonts w:hint="eastAsia"/>
                      <w:color w:val="auto"/>
                      <w:kern w:val="0"/>
                      <w:szCs w:val="21"/>
                    </w:rPr>
                    <w:t>2024.4.21</w:t>
                  </w:r>
                </w:p>
              </w:tc>
              <w:tc>
                <w:tcPr>
                  <w:tcW w:w="1140" w:type="dxa"/>
                  <w:vAlign w:val="center"/>
                </w:tcPr>
                <w:p w14:paraId="3DA84EB3">
                  <w:pPr>
                    <w:widowControl/>
                    <w:jc w:val="center"/>
                    <w:rPr>
                      <w:color w:val="auto"/>
                      <w:kern w:val="0"/>
                      <w:szCs w:val="21"/>
                    </w:rPr>
                  </w:pPr>
                  <w:r>
                    <w:rPr>
                      <w:rFonts w:hint="eastAsia"/>
                      <w:color w:val="auto"/>
                      <w:kern w:val="0"/>
                      <w:szCs w:val="21"/>
                    </w:rPr>
                    <w:t>2024.4.22</w:t>
                  </w:r>
                </w:p>
              </w:tc>
              <w:tc>
                <w:tcPr>
                  <w:tcW w:w="1067" w:type="dxa"/>
                  <w:vAlign w:val="center"/>
                </w:tcPr>
                <w:p w14:paraId="7CE00530">
                  <w:pPr>
                    <w:widowControl/>
                    <w:jc w:val="center"/>
                    <w:rPr>
                      <w:color w:val="auto"/>
                      <w:kern w:val="0"/>
                      <w:szCs w:val="21"/>
                    </w:rPr>
                  </w:pPr>
                  <w:r>
                    <w:rPr>
                      <w:rFonts w:hint="eastAsia"/>
                      <w:color w:val="auto"/>
                      <w:kern w:val="0"/>
                      <w:szCs w:val="21"/>
                    </w:rPr>
                    <w:t>2024.4.20</w:t>
                  </w:r>
                </w:p>
              </w:tc>
              <w:tc>
                <w:tcPr>
                  <w:tcW w:w="1067" w:type="dxa"/>
                  <w:vAlign w:val="center"/>
                </w:tcPr>
                <w:p w14:paraId="3933EC50">
                  <w:pPr>
                    <w:widowControl/>
                    <w:jc w:val="center"/>
                    <w:rPr>
                      <w:color w:val="auto"/>
                      <w:kern w:val="0"/>
                      <w:szCs w:val="21"/>
                    </w:rPr>
                  </w:pPr>
                  <w:r>
                    <w:rPr>
                      <w:rFonts w:hint="eastAsia"/>
                      <w:color w:val="auto"/>
                      <w:kern w:val="0"/>
                      <w:szCs w:val="21"/>
                    </w:rPr>
                    <w:t>2024.4.21</w:t>
                  </w:r>
                </w:p>
              </w:tc>
              <w:tc>
                <w:tcPr>
                  <w:tcW w:w="1069" w:type="dxa"/>
                  <w:vAlign w:val="center"/>
                </w:tcPr>
                <w:p w14:paraId="17FD85DE">
                  <w:pPr>
                    <w:widowControl/>
                    <w:jc w:val="center"/>
                    <w:rPr>
                      <w:color w:val="auto"/>
                      <w:kern w:val="0"/>
                      <w:szCs w:val="21"/>
                    </w:rPr>
                  </w:pPr>
                  <w:r>
                    <w:rPr>
                      <w:rFonts w:hint="eastAsia"/>
                      <w:color w:val="auto"/>
                      <w:kern w:val="0"/>
                      <w:szCs w:val="21"/>
                    </w:rPr>
                    <w:t>2024.4.22</w:t>
                  </w:r>
                </w:p>
              </w:tc>
              <w:tc>
                <w:tcPr>
                  <w:tcW w:w="821" w:type="dxa"/>
                  <w:vAlign w:val="center"/>
                </w:tcPr>
                <w:p w14:paraId="74055017">
                  <w:pPr>
                    <w:widowControl/>
                    <w:jc w:val="center"/>
                    <w:rPr>
                      <w:color w:val="auto"/>
                      <w:kern w:val="0"/>
                      <w:szCs w:val="21"/>
                    </w:rPr>
                  </w:pPr>
                  <w:r>
                    <w:rPr>
                      <w:rFonts w:hint="eastAsia"/>
                      <w:color w:val="auto"/>
                      <w:kern w:val="0"/>
                      <w:szCs w:val="21"/>
                    </w:rPr>
                    <w:t>/</w:t>
                  </w:r>
                </w:p>
              </w:tc>
            </w:tr>
            <w:tr w14:paraId="183B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136C0EE9">
                  <w:pPr>
                    <w:widowControl/>
                    <w:jc w:val="center"/>
                    <w:rPr>
                      <w:color w:val="auto"/>
                      <w:kern w:val="0"/>
                      <w:szCs w:val="21"/>
                    </w:rPr>
                  </w:pPr>
                  <w:r>
                    <w:rPr>
                      <w:rFonts w:hint="eastAsia"/>
                      <w:color w:val="auto"/>
                      <w:kern w:val="0"/>
                      <w:szCs w:val="21"/>
                    </w:rPr>
                    <w:t>pH</w:t>
                  </w:r>
                </w:p>
              </w:tc>
              <w:tc>
                <w:tcPr>
                  <w:tcW w:w="1068" w:type="dxa"/>
                  <w:vAlign w:val="center"/>
                </w:tcPr>
                <w:p w14:paraId="3384ABF4">
                  <w:pPr>
                    <w:widowControl/>
                    <w:jc w:val="center"/>
                    <w:rPr>
                      <w:color w:val="auto"/>
                      <w:kern w:val="0"/>
                      <w:szCs w:val="21"/>
                    </w:rPr>
                  </w:pPr>
                  <w:r>
                    <w:rPr>
                      <w:rFonts w:hint="eastAsia"/>
                      <w:color w:val="auto"/>
                      <w:kern w:val="0"/>
                      <w:szCs w:val="21"/>
                    </w:rPr>
                    <w:t>7.2</w:t>
                  </w:r>
                </w:p>
              </w:tc>
              <w:tc>
                <w:tcPr>
                  <w:tcW w:w="1068" w:type="dxa"/>
                  <w:vAlign w:val="center"/>
                </w:tcPr>
                <w:p w14:paraId="03C58909">
                  <w:pPr>
                    <w:widowControl/>
                    <w:jc w:val="center"/>
                    <w:rPr>
                      <w:color w:val="auto"/>
                      <w:kern w:val="0"/>
                      <w:szCs w:val="21"/>
                    </w:rPr>
                  </w:pPr>
                  <w:r>
                    <w:rPr>
                      <w:rFonts w:hint="eastAsia"/>
                      <w:color w:val="auto"/>
                      <w:kern w:val="0"/>
                      <w:szCs w:val="21"/>
                    </w:rPr>
                    <w:t>7.2</w:t>
                  </w:r>
                </w:p>
              </w:tc>
              <w:tc>
                <w:tcPr>
                  <w:tcW w:w="1140" w:type="dxa"/>
                  <w:vAlign w:val="center"/>
                </w:tcPr>
                <w:p w14:paraId="4C26C622">
                  <w:pPr>
                    <w:widowControl/>
                    <w:jc w:val="center"/>
                    <w:rPr>
                      <w:color w:val="auto"/>
                      <w:kern w:val="0"/>
                      <w:szCs w:val="21"/>
                    </w:rPr>
                  </w:pPr>
                  <w:r>
                    <w:rPr>
                      <w:rFonts w:hint="eastAsia"/>
                      <w:color w:val="auto"/>
                      <w:kern w:val="0"/>
                      <w:szCs w:val="21"/>
                    </w:rPr>
                    <w:t>7.2</w:t>
                  </w:r>
                </w:p>
              </w:tc>
              <w:tc>
                <w:tcPr>
                  <w:tcW w:w="1067" w:type="dxa"/>
                  <w:vAlign w:val="center"/>
                </w:tcPr>
                <w:p w14:paraId="068BD21C">
                  <w:pPr>
                    <w:widowControl/>
                    <w:jc w:val="center"/>
                    <w:rPr>
                      <w:color w:val="auto"/>
                      <w:kern w:val="0"/>
                      <w:szCs w:val="21"/>
                    </w:rPr>
                  </w:pPr>
                  <w:r>
                    <w:rPr>
                      <w:rFonts w:hint="eastAsia"/>
                      <w:color w:val="auto"/>
                      <w:kern w:val="0"/>
                      <w:szCs w:val="21"/>
                    </w:rPr>
                    <w:t>7.3</w:t>
                  </w:r>
                </w:p>
              </w:tc>
              <w:tc>
                <w:tcPr>
                  <w:tcW w:w="1067" w:type="dxa"/>
                  <w:vAlign w:val="center"/>
                </w:tcPr>
                <w:p w14:paraId="3D0821C9">
                  <w:pPr>
                    <w:widowControl/>
                    <w:jc w:val="center"/>
                    <w:rPr>
                      <w:color w:val="auto"/>
                      <w:kern w:val="0"/>
                      <w:szCs w:val="21"/>
                    </w:rPr>
                  </w:pPr>
                  <w:r>
                    <w:rPr>
                      <w:rFonts w:hint="eastAsia"/>
                      <w:color w:val="auto"/>
                      <w:kern w:val="0"/>
                      <w:szCs w:val="21"/>
                    </w:rPr>
                    <w:t>7.3</w:t>
                  </w:r>
                </w:p>
              </w:tc>
              <w:tc>
                <w:tcPr>
                  <w:tcW w:w="1069" w:type="dxa"/>
                  <w:vAlign w:val="center"/>
                </w:tcPr>
                <w:p w14:paraId="7C04FCE6">
                  <w:pPr>
                    <w:widowControl/>
                    <w:jc w:val="center"/>
                    <w:rPr>
                      <w:color w:val="auto"/>
                      <w:kern w:val="0"/>
                      <w:szCs w:val="21"/>
                    </w:rPr>
                  </w:pPr>
                  <w:r>
                    <w:rPr>
                      <w:rFonts w:hint="eastAsia"/>
                      <w:color w:val="auto"/>
                      <w:kern w:val="0"/>
                      <w:szCs w:val="21"/>
                    </w:rPr>
                    <w:t>7.3</w:t>
                  </w:r>
                </w:p>
              </w:tc>
              <w:tc>
                <w:tcPr>
                  <w:tcW w:w="821" w:type="dxa"/>
                  <w:vAlign w:val="center"/>
                </w:tcPr>
                <w:p w14:paraId="6666FE6F">
                  <w:pPr>
                    <w:widowControl/>
                    <w:jc w:val="center"/>
                    <w:rPr>
                      <w:color w:val="auto"/>
                      <w:kern w:val="0"/>
                      <w:szCs w:val="21"/>
                    </w:rPr>
                  </w:pPr>
                  <w:r>
                    <w:rPr>
                      <w:rFonts w:hint="eastAsia"/>
                      <w:color w:val="auto"/>
                      <w:kern w:val="0"/>
                      <w:szCs w:val="21"/>
                    </w:rPr>
                    <w:t>6~9</w:t>
                  </w:r>
                </w:p>
              </w:tc>
            </w:tr>
            <w:tr w14:paraId="2F67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4CB35BF5">
                  <w:pPr>
                    <w:widowControl/>
                    <w:jc w:val="center"/>
                    <w:rPr>
                      <w:color w:val="auto"/>
                      <w:kern w:val="0"/>
                      <w:szCs w:val="21"/>
                    </w:rPr>
                  </w:pPr>
                  <w:r>
                    <w:rPr>
                      <w:rFonts w:hint="eastAsia"/>
                      <w:color w:val="auto"/>
                      <w:kern w:val="0"/>
                      <w:szCs w:val="21"/>
                    </w:rPr>
                    <w:t>溶解氧</w:t>
                  </w:r>
                </w:p>
              </w:tc>
              <w:tc>
                <w:tcPr>
                  <w:tcW w:w="1068" w:type="dxa"/>
                  <w:vAlign w:val="center"/>
                </w:tcPr>
                <w:p w14:paraId="17DB9FFF">
                  <w:pPr>
                    <w:widowControl/>
                    <w:jc w:val="center"/>
                    <w:rPr>
                      <w:color w:val="auto"/>
                      <w:kern w:val="0"/>
                      <w:szCs w:val="21"/>
                    </w:rPr>
                  </w:pPr>
                  <w:r>
                    <w:rPr>
                      <w:rFonts w:hint="eastAsia"/>
                      <w:color w:val="auto"/>
                      <w:kern w:val="0"/>
                      <w:szCs w:val="21"/>
                    </w:rPr>
                    <w:t>10.2</w:t>
                  </w:r>
                </w:p>
              </w:tc>
              <w:tc>
                <w:tcPr>
                  <w:tcW w:w="1068" w:type="dxa"/>
                  <w:vAlign w:val="center"/>
                </w:tcPr>
                <w:p w14:paraId="5F95B2E1">
                  <w:pPr>
                    <w:widowControl/>
                    <w:jc w:val="center"/>
                    <w:rPr>
                      <w:color w:val="auto"/>
                      <w:kern w:val="0"/>
                      <w:szCs w:val="21"/>
                    </w:rPr>
                  </w:pPr>
                  <w:r>
                    <w:rPr>
                      <w:rFonts w:hint="eastAsia"/>
                      <w:color w:val="auto"/>
                      <w:kern w:val="0"/>
                      <w:szCs w:val="21"/>
                    </w:rPr>
                    <w:t>10.2</w:t>
                  </w:r>
                </w:p>
              </w:tc>
              <w:tc>
                <w:tcPr>
                  <w:tcW w:w="1140" w:type="dxa"/>
                  <w:vAlign w:val="center"/>
                </w:tcPr>
                <w:p w14:paraId="0CFC5941">
                  <w:pPr>
                    <w:widowControl/>
                    <w:jc w:val="center"/>
                    <w:rPr>
                      <w:color w:val="auto"/>
                      <w:kern w:val="0"/>
                      <w:szCs w:val="21"/>
                    </w:rPr>
                  </w:pPr>
                  <w:r>
                    <w:rPr>
                      <w:rFonts w:hint="eastAsia"/>
                      <w:color w:val="auto"/>
                      <w:kern w:val="0"/>
                      <w:szCs w:val="21"/>
                    </w:rPr>
                    <w:t>10.2</w:t>
                  </w:r>
                </w:p>
              </w:tc>
              <w:tc>
                <w:tcPr>
                  <w:tcW w:w="1067" w:type="dxa"/>
                  <w:vAlign w:val="center"/>
                </w:tcPr>
                <w:p w14:paraId="47F8BB39">
                  <w:pPr>
                    <w:widowControl/>
                    <w:jc w:val="center"/>
                    <w:rPr>
                      <w:color w:val="auto"/>
                      <w:kern w:val="0"/>
                      <w:szCs w:val="21"/>
                    </w:rPr>
                  </w:pPr>
                  <w:r>
                    <w:rPr>
                      <w:rFonts w:hint="eastAsia"/>
                      <w:color w:val="auto"/>
                      <w:kern w:val="0"/>
                      <w:szCs w:val="21"/>
                    </w:rPr>
                    <w:t>10.0</w:t>
                  </w:r>
                </w:p>
              </w:tc>
              <w:tc>
                <w:tcPr>
                  <w:tcW w:w="1067" w:type="dxa"/>
                  <w:vAlign w:val="center"/>
                </w:tcPr>
                <w:p w14:paraId="2C3364C8">
                  <w:pPr>
                    <w:widowControl/>
                    <w:jc w:val="center"/>
                    <w:rPr>
                      <w:color w:val="auto"/>
                      <w:kern w:val="0"/>
                      <w:szCs w:val="21"/>
                    </w:rPr>
                  </w:pPr>
                  <w:r>
                    <w:rPr>
                      <w:rFonts w:hint="eastAsia"/>
                      <w:color w:val="auto"/>
                      <w:kern w:val="0"/>
                      <w:szCs w:val="21"/>
                    </w:rPr>
                    <w:t>9.95</w:t>
                  </w:r>
                </w:p>
              </w:tc>
              <w:tc>
                <w:tcPr>
                  <w:tcW w:w="1069" w:type="dxa"/>
                  <w:vAlign w:val="center"/>
                </w:tcPr>
                <w:p w14:paraId="4AAE15C9">
                  <w:pPr>
                    <w:widowControl/>
                    <w:jc w:val="center"/>
                    <w:rPr>
                      <w:color w:val="auto"/>
                      <w:kern w:val="0"/>
                      <w:szCs w:val="21"/>
                    </w:rPr>
                  </w:pPr>
                  <w:r>
                    <w:rPr>
                      <w:rFonts w:hint="eastAsia"/>
                      <w:color w:val="auto"/>
                      <w:kern w:val="0"/>
                      <w:szCs w:val="21"/>
                    </w:rPr>
                    <w:t>9.97</w:t>
                  </w:r>
                </w:p>
              </w:tc>
              <w:tc>
                <w:tcPr>
                  <w:tcW w:w="821" w:type="dxa"/>
                  <w:vAlign w:val="center"/>
                </w:tcPr>
                <w:p w14:paraId="1386A4A7">
                  <w:pPr>
                    <w:widowControl/>
                    <w:jc w:val="center"/>
                    <w:rPr>
                      <w:color w:val="auto"/>
                      <w:kern w:val="0"/>
                      <w:szCs w:val="21"/>
                    </w:rPr>
                  </w:pPr>
                  <w:r>
                    <w:rPr>
                      <w:rFonts w:hint="eastAsia"/>
                      <w:color w:val="auto"/>
                      <w:kern w:val="0"/>
                      <w:szCs w:val="21"/>
                    </w:rPr>
                    <w:t>≥5</w:t>
                  </w:r>
                </w:p>
              </w:tc>
            </w:tr>
            <w:tr w14:paraId="3FF9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28DA56DE">
                  <w:pPr>
                    <w:widowControl/>
                    <w:jc w:val="center"/>
                    <w:rPr>
                      <w:color w:val="auto"/>
                      <w:kern w:val="0"/>
                      <w:szCs w:val="21"/>
                    </w:rPr>
                  </w:pPr>
                  <w:r>
                    <w:rPr>
                      <w:rFonts w:hint="eastAsia"/>
                      <w:color w:val="auto"/>
                      <w:kern w:val="0"/>
                      <w:szCs w:val="21"/>
                    </w:rPr>
                    <w:t>高锰酸盐指数</w:t>
                  </w:r>
                </w:p>
              </w:tc>
              <w:tc>
                <w:tcPr>
                  <w:tcW w:w="1068" w:type="dxa"/>
                  <w:vAlign w:val="center"/>
                </w:tcPr>
                <w:p w14:paraId="5B433A18">
                  <w:pPr>
                    <w:widowControl/>
                    <w:jc w:val="center"/>
                    <w:rPr>
                      <w:color w:val="auto"/>
                      <w:kern w:val="0"/>
                      <w:szCs w:val="21"/>
                    </w:rPr>
                  </w:pPr>
                  <w:r>
                    <w:rPr>
                      <w:rFonts w:hint="eastAsia"/>
                      <w:color w:val="auto"/>
                      <w:kern w:val="0"/>
                      <w:szCs w:val="21"/>
                    </w:rPr>
                    <w:t>4.2</w:t>
                  </w:r>
                </w:p>
              </w:tc>
              <w:tc>
                <w:tcPr>
                  <w:tcW w:w="1068" w:type="dxa"/>
                  <w:vAlign w:val="center"/>
                </w:tcPr>
                <w:p w14:paraId="3D189471">
                  <w:pPr>
                    <w:widowControl/>
                    <w:jc w:val="center"/>
                    <w:rPr>
                      <w:color w:val="auto"/>
                      <w:kern w:val="0"/>
                      <w:szCs w:val="21"/>
                    </w:rPr>
                  </w:pPr>
                  <w:r>
                    <w:rPr>
                      <w:rFonts w:hint="eastAsia"/>
                      <w:color w:val="auto"/>
                      <w:kern w:val="0"/>
                      <w:szCs w:val="21"/>
                    </w:rPr>
                    <w:t>4.1</w:t>
                  </w:r>
                </w:p>
              </w:tc>
              <w:tc>
                <w:tcPr>
                  <w:tcW w:w="1140" w:type="dxa"/>
                  <w:vAlign w:val="center"/>
                </w:tcPr>
                <w:p w14:paraId="73039834">
                  <w:pPr>
                    <w:widowControl/>
                    <w:jc w:val="center"/>
                    <w:rPr>
                      <w:color w:val="auto"/>
                      <w:kern w:val="0"/>
                      <w:szCs w:val="21"/>
                    </w:rPr>
                  </w:pPr>
                  <w:r>
                    <w:rPr>
                      <w:rFonts w:hint="eastAsia"/>
                      <w:color w:val="auto"/>
                      <w:kern w:val="0"/>
                      <w:szCs w:val="21"/>
                    </w:rPr>
                    <w:t>4.2</w:t>
                  </w:r>
                </w:p>
              </w:tc>
              <w:tc>
                <w:tcPr>
                  <w:tcW w:w="1067" w:type="dxa"/>
                  <w:vAlign w:val="center"/>
                </w:tcPr>
                <w:p w14:paraId="6BF2E4F8">
                  <w:pPr>
                    <w:widowControl/>
                    <w:jc w:val="center"/>
                    <w:rPr>
                      <w:color w:val="auto"/>
                      <w:kern w:val="0"/>
                      <w:szCs w:val="21"/>
                    </w:rPr>
                  </w:pPr>
                  <w:r>
                    <w:rPr>
                      <w:rFonts w:hint="eastAsia"/>
                      <w:color w:val="auto"/>
                      <w:kern w:val="0"/>
                      <w:szCs w:val="21"/>
                    </w:rPr>
                    <w:t>4.4</w:t>
                  </w:r>
                </w:p>
              </w:tc>
              <w:tc>
                <w:tcPr>
                  <w:tcW w:w="1067" w:type="dxa"/>
                  <w:vAlign w:val="center"/>
                </w:tcPr>
                <w:p w14:paraId="6046F574">
                  <w:pPr>
                    <w:widowControl/>
                    <w:jc w:val="center"/>
                    <w:rPr>
                      <w:color w:val="auto"/>
                      <w:kern w:val="0"/>
                      <w:szCs w:val="21"/>
                    </w:rPr>
                  </w:pPr>
                  <w:r>
                    <w:rPr>
                      <w:rFonts w:hint="eastAsia"/>
                      <w:color w:val="auto"/>
                      <w:kern w:val="0"/>
                      <w:szCs w:val="21"/>
                    </w:rPr>
                    <w:t>4.3</w:t>
                  </w:r>
                </w:p>
              </w:tc>
              <w:tc>
                <w:tcPr>
                  <w:tcW w:w="1069" w:type="dxa"/>
                  <w:vAlign w:val="center"/>
                </w:tcPr>
                <w:p w14:paraId="1D434A9E">
                  <w:pPr>
                    <w:widowControl/>
                    <w:jc w:val="center"/>
                    <w:rPr>
                      <w:color w:val="auto"/>
                      <w:kern w:val="0"/>
                      <w:szCs w:val="21"/>
                    </w:rPr>
                  </w:pPr>
                  <w:r>
                    <w:rPr>
                      <w:rFonts w:hint="eastAsia"/>
                      <w:color w:val="auto"/>
                      <w:kern w:val="0"/>
                      <w:szCs w:val="21"/>
                    </w:rPr>
                    <w:t>4.5</w:t>
                  </w:r>
                </w:p>
              </w:tc>
              <w:tc>
                <w:tcPr>
                  <w:tcW w:w="821" w:type="dxa"/>
                  <w:vAlign w:val="center"/>
                </w:tcPr>
                <w:p w14:paraId="39926352">
                  <w:pPr>
                    <w:widowControl/>
                    <w:jc w:val="center"/>
                    <w:rPr>
                      <w:color w:val="auto"/>
                      <w:kern w:val="0"/>
                      <w:szCs w:val="21"/>
                    </w:rPr>
                  </w:pPr>
                  <w:r>
                    <w:rPr>
                      <w:rFonts w:hint="eastAsia"/>
                      <w:color w:val="auto"/>
                      <w:kern w:val="0"/>
                      <w:szCs w:val="21"/>
                    </w:rPr>
                    <w:t>≤6</w:t>
                  </w:r>
                </w:p>
              </w:tc>
            </w:tr>
            <w:tr w14:paraId="7898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4F438968">
                  <w:pPr>
                    <w:widowControl/>
                    <w:jc w:val="center"/>
                    <w:rPr>
                      <w:color w:val="auto"/>
                      <w:kern w:val="0"/>
                      <w:szCs w:val="21"/>
                    </w:rPr>
                  </w:pPr>
                  <w:r>
                    <w:rPr>
                      <w:rFonts w:hint="eastAsia"/>
                      <w:color w:val="auto"/>
                      <w:kern w:val="0"/>
                      <w:szCs w:val="21"/>
                    </w:rPr>
                    <w:t>氨氮</w:t>
                  </w:r>
                </w:p>
              </w:tc>
              <w:tc>
                <w:tcPr>
                  <w:tcW w:w="1068" w:type="dxa"/>
                  <w:vAlign w:val="center"/>
                </w:tcPr>
                <w:p w14:paraId="6CFB31C5">
                  <w:pPr>
                    <w:widowControl/>
                    <w:jc w:val="center"/>
                    <w:rPr>
                      <w:color w:val="auto"/>
                      <w:kern w:val="0"/>
                      <w:szCs w:val="21"/>
                    </w:rPr>
                  </w:pPr>
                  <w:r>
                    <w:rPr>
                      <w:rFonts w:hint="eastAsia"/>
                      <w:color w:val="auto"/>
                      <w:kern w:val="0"/>
                      <w:szCs w:val="21"/>
                    </w:rPr>
                    <w:t>0.818</w:t>
                  </w:r>
                </w:p>
              </w:tc>
              <w:tc>
                <w:tcPr>
                  <w:tcW w:w="1068" w:type="dxa"/>
                  <w:vAlign w:val="center"/>
                </w:tcPr>
                <w:p w14:paraId="7BB14E58">
                  <w:pPr>
                    <w:widowControl/>
                    <w:jc w:val="center"/>
                    <w:rPr>
                      <w:color w:val="auto"/>
                      <w:kern w:val="0"/>
                      <w:szCs w:val="21"/>
                    </w:rPr>
                  </w:pPr>
                  <w:r>
                    <w:rPr>
                      <w:rFonts w:hint="eastAsia"/>
                      <w:color w:val="auto"/>
                      <w:kern w:val="0"/>
                      <w:szCs w:val="21"/>
                    </w:rPr>
                    <w:t>0.812</w:t>
                  </w:r>
                </w:p>
              </w:tc>
              <w:tc>
                <w:tcPr>
                  <w:tcW w:w="1140" w:type="dxa"/>
                  <w:vAlign w:val="center"/>
                </w:tcPr>
                <w:p w14:paraId="5C1788DE">
                  <w:pPr>
                    <w:widowControl/>
                    <w:jc w:val="center"/>
                    <w:rPr>
                      <w:color w:val="auto"/>
                      <w:kern w:val="0"/>
                      <w:szCs w:val="21"/>
                    </w:rPr>
                  </w:pPr>
                  <w:r>
                    <w:rPr>
                      <w:rFonts w:hint="eastAsia"/>
                      <w:color w:val="auto"/>
                      <w:kern w:val="0"/>
                      <w:szCs w:val="21"/>
                    </w:rPr>
                    <w:t>0.756</w:t>
                  </w:r>
                </w:p>
              </w:tc>
              <w:tc>
                <w:tcPr>
                  <w:tcW w:w="1067" w:type="dxa"/>
                  <w:vAlign w:val="center"/>
                </w:tcPr>
                <w:p w14:paraId="0DEA9314">
                  <w:pPr>
                    <w:widowControl/>
                    <w:jc w:val="center"/>
                    <w:rPr>
                      <w:color w:val="auto"/>
                      <w:kern w:val="0"/>
                      <w:szCs w:val="21"/>
                    </w:rPr>
                  </w:pPr>
                  <w:r>
                    <w:rPr>
                      <w:rFonts w:hint="eastAsia"/>
                      <w:color w:val="auto"/>
                      <w:kern w:val="0"/>
                      <w:szCs w:val="21"/>
                    </w:rPr>
                    <w:t>0.930</w:t>
                  </w:r>
                </w:p>
              </w:tc>
              <w:tc>
                <w:tcPr>
                  <w:tcW w:w="1067" w:type="dxa"/>
                  <w:vAlign w:val="center"/>
                </w:tcPr>
                <w:p w14:paraId="7B19255A">
                  <w:pPr>
                    <w:widowControl/>
                    <w:jc w:val="center"/>
                    <w:rPr>
                      <w:color w:val="auto"/>
                      <w:kern w:val="0"/>
                      <w:szCs w:val="21"/>
                    </w:rPr>
                  </w:pPr>
                  <w:r>
                    <w:rPr>
                      <w:rFonts w:hint="eastAsia"/>
                      <w:color w:val="auto"/>
                      <w:kern w:val="0"/>
                      <w:szCs w:val="21"/>
                    </w:rPr>
                    <w:t>0.911</w:t>
                  </w:r>
                </w:p>
              </w:tc>
              <w:tc>
                <w:tcPr>
                  <w:tcW w:w="1069" w:type="dxa"/>
                  <w:vAlign w:val="center"/>
                </w:tcPr>
                <w:p w14:paraId="0EBAEBA7">
                  <w:pPr>
                    <w:widowControl/>
                    <w:jc w:val="center"/>
                    <w:rPr>
                      <w:color w:val="auto"/>
                      <w:kern w:val="0"/>
                      <w:szCs w:val="21"/>
                    </w:rPr>
                  </w:pPr>
                  <w:r>
                    <w:rPr>
                      <w:rFonts w:hint="eastAsia"/>
                      <w:color w:val="auto"/>
                      <w:kern w:val="0"/>
                      <w:szCs w:val="21"/>
                    </w:rPr>
                    <w:t>0.972</w:t>
                  </w:r>
                </w:p>
              </w:tc>
              <w:tc>
                <w:tcPr>
                  <w:tcW w:w="821" w:type="dxa"/>
                  <w:vAlign w:val="center"/>
                </w:tcPr>
                <w:p w14:paraId="33EF262F">
                  <w:pPr>
                    <w:widowControl/>
                    <w:jc w:val="center"/>
                    <w:rPr>
                      <w:color w:val="auto"/>
                      <w:kern w:val="0"/>
                      <w:szCs w:val="21"/>
                    </w:rPr>
                  </w:pPr>
                  <w:r>
                    <w:rPr>
                      <w:rFonts w:hint="eastAsia"/>
                      <w:color w:val="auto"/>
                      <w:kern w:val="0"/>
                      <w:szCs w:val="21"/>
                    </w:rPr>
                    <w:t>≤1</w:t>
                  </w:r>
                </w:p>
              </w:tc>
            </w:tr>
            <w:tr w14:paraId="6F86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119694E7">
                  <w:pPr>
                    <w:widowControl/>
                    <w:jc w:val="center"/>
                    <w:rPr>
                      <w:color w:val="auto"/>
                      <w:kern w:val="0"/>
                      <w:szCs w:val="21"/>
                    </w:rPr>
                  </w:pPr>
                  <w:r>
                    <w:rPr>
                      <w:rFonts w:hint="eastAsia"/>
                      <w:color w:val="auto"/>
                      <w:kern w:val="0"/>
                      <w:szCs w:val="21"/>
                    </w:rPr>
                    <w:t>总磷</w:t>
                  </w:r>
                </w:p>
              </w:tc>
              <w:tc>
                <w:tcPr>
                  <w:tcW w:w="1068" w:type="dxa"/>
                  <w:vAlign w:val="center"/>
                </w:tcPr>
                <w:p w14:paraId="58DB24AE">
                  <w:pPr>
                    <w:widowControl/>
                    <w:jc w:val="center"/>
                    <w:rPr>
                      <w:color w:val="auto"/>
                      <w:kern w:val="0"/>
                      <w:szCs w:val="21"/>
                    </w:rPr>
                  </w:pPr>
                  <w:r>
                    <w:rPr>
                      <w:rFonts w:hint="eastAsia"/>
                      <w:color w:val="auto"/>
                      <w:kern w:val="0"/>
                      <w:szCs w:val="21"/>
                    </w:rPr>
                    <w:t>0.14</w:t>
                  </w:r>
                </w:p>
              </w:tc>
              <w:tc>
                <w:tcPr>
                  <w:tcW w:w="1068" w:type="dxa"/>
                  <w:vAlign w:val="center"/>
                </w:tcPr>
                <w:p w14:paraId="6A1AFAFB">
                  <w:pPr>
                    <w:widowControl/>
                    <w:jc w:val="center"/>
                    <w:rPr>
                      <w:color w:val="auto"/>
                      <w:kern w:val="0"/>
                      <w:szCs w:val="21"/>
                    </w:rPr>
                  </w:pPr>
                  <w:r>
                    <w:rPr>
                      <w:rFonts w:hint="eastAsia"/>
                      <w:color w:val="auto"/>
                      <w:kern w:val="0"/>
                      <w:szCs w:val="21"/>
                    </w:rPr>
                    <w:t>0.13</w:t>
                  </w:r>
                </w:p>
              </w:tc>
              <w:tc>
                <w:tcPr>
                  <w:tcW w:w="1140" w:type="dxa"/>
                  <w:vAlign w:val="center"/>
                </w:tcPr>
                <w:p w14:paraId="281B4BDF">
                  <w:pPr>
                    <w:widowControl/>
                    <w:jc w:val="center"/>
                    <w:rPr>
                      <w:color w:val="auto"/>
                      <w:kern w:val="0"/>
                      <w:szCs w:val="21"/>
                    </w:rPr>
                  </w:pPr>
                  <w:r>
                    <w:rPr>
                      <w:rFonts w:hint="eastAsia"/>
                      <w:color w:val="auto"/>
                      <w:kern w:val="0"/>
                      <w:szCs w:val="21"/>
                    </w:rPr>
                    <w:t>0.13</w:t>
                  </w:r>
                </w:p>
              </w:tc>
              <w:tc>
                <w:tcPr>
                  <w:tcW w:w="1067" w:type="dxa"/>
                  <w:vAlign w:val="center"/>
                </w:tcPr>
                <w:p w14:paraId="3A3A77F0">
                  <w:pPr>
                    <w:widowControl/>
                    <w:jc w:val="center"/>
                    <w:rPr>
                      <w:color w:val="auto"/>
                      <w:kern w:val="0"/>
                      <w:szCs w:val="21"/>
                    </w:rPr>
                  </w:pPr>
                  <w:r>
                    <w:rPr>
                      <w:rFonts w:hint="eastAsia"/>
                      <w:color w:val="auto"/>
                      <w:kern w:val="0"/>
                      <w:szCs w:val="21"/>
                    </w:rPr>
                    <w:t>0.14</w:t>
                  </w:r>
                </w:p>
              </w:tc>
              <w:tc>
                <w:tcPr>
                  <w:tcW w:w="1067" w:type="dxa"/>
                  <w:vAlign w:val="center"/>
                </w:tcPr>
                <w:p w14:paraId="7018086D">
                  <w:pPr>
                    <w:widowControl/>
                    <w:jc w:val="center"/>
                    <w:rPr>
                      <w:color w:val="auto"/>
                      <w:kern w:val="0"/>
                      <w:szCs w:val="21"/>
                    </w:rPr>
                  </w:pPr>
                  <w:r>
                    <w:rPr>
                      <w:rFonts w:hint="eastAsia"/>
                      <w:color w:val="auto"/>
                      <w:kern w:val="0"/>
                      <w:szCs w:val="21"/>
                    </w:rPr>
                    <w:t>0.15</w:t>
                  </w:r>
                </w:p>
              </w:tc>
              <w:tc>
                <w:tcPr>
                  <w:tcW w:w="1069" w:type="dxa"/>
                  <w:vAlign w:val="center"/>
                </w:tcPr>
                <w:p w14:paraId="6508406C">
                  <w:pPr>
                    <w:widowControl/>
                    <w:jc w:val="center"/>
                    <w:rPr>
                      <w:color w:val="auto"/>
                      <w:kern w:val="0"/>
                      <w:szCs w:val="21"/>
                    </w:rPr>
                  </w:pPr>
                  <w:r>
                    <w:rPr>
                      <w:rFonts w:hint="eastAsia"/>
                      <w:color w:val="auto"/>
                      <w:kern w:val="0"/>
                      <w:szCs w:val="21"/>
                    </w:rPr>
                    <w:t>0.16</w:t>
                  </w:r>
                </w:p>
              </w:tc>
              <w:tc>
                <w:tcPr>
                  <w:tcW w:w="821" w:type="dxa"/>
                  <w:vAlign w:val="center"/>
                </w:tcPr>
                <w:p w14:paraId="089C4EC6">
                  <w:pPr>
                    <w:widowControl/>
                    <w:jc w:val="center"/>
                    <w:rPr>
                      <w:color w:val="auto"/>
                      <w:kern w:val="0"/>
                      <w:szCs w:val="21"/>
                    </w:rPr>
                  </w:pPr>
                  <w:r>
                    <w:rPr>
                      <w:rFonts w:hint="eastAsia"/>
                      <w:color w:val="auto"/>
                      <w:kern w:val="0"/>
                      <w:szCs w:val="21"/>
                    </w:rPr>
                    <w:t>≤0.2</w:t>
                  </w:r>
                </w:p>
              </w:tc>
            </w:tr>
            <w:tr w14:paraId="2B51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1B91637C">
                  <w:pPr>
                    <w:widowControl/>
                    <w:jc w:val="center"/>
                    <w:rPr>
                      <w:color w:val="auto"/>
                      <w:kern w:val="0"/>
                      <w:szCs w:val="21"/>
                    </w:rPr>
                  </w:pPr>
                  <w:r>
                    <w:rPr>
                      <w:rFonts w:hint="eastAsia"/>
                      <w:color w:val="auto"/>
                      <w:kern w:val="0"/>
                      <w:szCs w:val="21"/>
                    </w:rPr>
                    <w:t>总氮</w:t>
                  </w:r>
                </w:p>
              </w:tc>
              <w:tc>
                <w:tcPr>
                  <w:tcW w:w="1068" w:type="dxa"/>
                  <w:vAlign w:val="center"/>
                </w:tcPr>
                <w:p w14:paraId="33A25075">
                  <w:pPr>
                    <w:widowControl/>
                    <w:jc w:val="center"/>
                    <w:rPr>
                      <w:color w:val="auto"/>
                      <w:kern w:val="0"/>
                      <w:szCs w:val="21"/>
                    </w:rPr>
                  </w:pPr>
                  <w:r>
                    <w:rPr>
                      <w:rFonts w:hint="eastAsia"/>
                      <w:color w:val="auto"/>
                      <w:kern w:val="0"/>
                      <w:szCs w:val="21"/>
                    </w:rPr>
                    <w:t>0.84</w:t>
                  </w:r>
                </w:p>
              </w:tc>
              <w:tc>
                <w:tcPr>
                  <w:tcW w:w="1068" w:type="dxa"/>
                  <w:vAlign w:val="center"/>
                </w:tcPr>
                <w:p w14:paraId="74F56C1F">
                  <w:pPr>
                    <w:widowControl/>
                    <w:jc w:val="center"/>
                    <w:rPr>
                      <w:color w:val="auto"/>
                      <w:kern w:val="0"/>
                      <w:szCs w:val="21"/>
                    </w:rPr>
                  </w:pPr>
                  <w:r>
                    <w:rPr>
                      <w:rFonts w:hint="eastAsia"/>
                      <w:color w:val="auto"/>
                      <w:kern w:val="0"/>
                      <w:szCs w:val="21"/>
                    </w:rPr>
                    <w:t>0.84</w:t>
                  </w:r>
                </w:p>
              </w:tc>
              <w:tc>
                <w:tcPr>
                  <w:tcW w:w="1140" w:type="dxa"/>
                  <w:vAlign w:val="center"/>
                </w:tcPr>
                <w:p w14:paraId="0641D661">
                  <w:pPr>
                    <w:widowControl/>
                    <w:jc w:val="center"/>
                    <w:rPr>
                      <w:color w:val="auto"/>
                      <w:kern w:val="0"/>
                      <w:szCs w:val="21"/>
                    </w:rPr>
                  </w:pPr>
                  <w:r>
                    <w:rPr>
                      <w:rFonts w:hint="eastAsia"/>
                      <w:color w:val="auto"/>
                      <w:kern w:val="0"/>
                      <w:szCs w:val="21"/>
                    </w:rPr>
                    <w:t>0.79</w:t>
                  </w:r>
                </w:p>
              </w:tc>
              <w:tc>
                <w:tcPr>
                  <w:tcW w:w="1067" w:type="dxa"/>
                  <w:vAlign w:val="center"/>
                </w:tcPr>
                <w:p w14:paraId="26C9F71F">
                  <w:pPr>
                    <w:widowControl/>
                    <w:jc w:val="center"/>
                    <w:rPr>
                      <w:color w:val="auto"/>
                      <w:kern w:val="0"/>
                      <w:szCs w:val="21"/>
                    </w:rPr>
                  </w:pPr>
                  <w:r>
                    <w:rPr>
                      <w:rFonts w:hint="eastAsia"/>
                      <w:color w:val="auto"/>
                      <w:kern w:val="0"/>
                      <w:szCs w:val="21"/>
                    </w:rPr>
                    <w:t>0.95</w:t>
                  </w:r>
                </w:p>
              </w:tc>
              <w:tc>
                <w:tcPr>
                  <w:tcW w:w="1067" w:type="dxa"/>
                  <w:vAlign w:val="center"/>
                </w:tcPr>
                <w:p w14:paraId="2D1A165D">
                  <w:pPr>
                    <w:widowControl/>
                    <w:jc w:val="center"/>
                    <w:rPr>
                      <w:color w:val="auto"/>
                      <w:kern w:val="0"/>
                      <w:szCs w:val="21"/>
                    </w:rPr>
                  </w:pPr>
                  <w:r>
                    <w:rPr>
                      <w:rFonts w:hint="eastAsia"/>
                      <w:color w:val="auto"/>
                      <w:kern w:val="0"/>
                      <w:szCs w:val="21"/>
                    </w:rPr>
                    <w:t>0.98</w:t>
                  </w:r>
                </w:p>
              </w:tc>
              <w:tc>
                <w:tcPr>
                  <w:tcW w:w="1069" w:type="dxa"/>
                  <w:vAlign w:val="center"/>
                </w:tcPr>
                <w:p w14:paraId="5CD8A6CE">
                  <w:pPr>
                    <w:widowControl/>
                    <w:jc w:val="center"/>
                    <w:rPr>
                      <w:color w:val="auto"/>
                      <w:kern w:val="0"/>
                      <w:szCs w:val="21"/>
                    </w:rPr>
                  </w:pPr>
                  <w:r>
                    <w:rPr>
                      <w:rFonts w:hint="eastAsia"/>
                      <w:color w:val="auto"/>
                      <w:kern w:val="0"/>
                      <w:szCs w:val="21"/>
                    </w:rPr>
                    <w:t>0.99</w:t>
                  </w:r>
                </w:p>
              </w:tc>
              <w:tc>
                <w:tcPr>
                  <w:tcW w:w="821" w:type="dxa"/>
                  <w:vAlign w:val="center"/>
                </w:tcPr>
                <w:p w14:paraId="7E840F70">
                  <w:pPr>
                    <w:widowControl/>
                    <w:jc w:val="center"/>
                    <w:rPr>
                      <w:color w:val="auto"/>
                      <w:kern w:val="0"/>
                      <w:szCs w:val="21"/>
                    </w:rPr>
                  </w:pPr>
                  <w:r>
                    <w:rPr>
                      <w:rFonts w:hint="eastAsia"/>
                      <w:color w:val="auto"/>
                      <w:kern w:val="0"/>
                      <w:szCs w:val="21"/>
                    </w:rPr>
                    <w:t>≤1</w:t>
                  </w:r>
                </w:p>
              </w:tc>
            </w:tr>
            <w:tr w14:paraId="761D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66ACE8FD">
                  <w:pPr>
                    <w:widowControl/>
                    <w:jc w:val="center"/>
                    <w:rPr>
                      <w:color w:val="auto"/>
                      <w:kern w:val="0"/>
                      <w:szCs w:val="21"/>
                    </w:rPr>
                  </w:pPr>
                  <w:r>
                    <w:rPr>
                      <w:rFonts w:hint="eastAsia"/>
                      <w:color w:val="auto"/>
                      <w:kern w:val="0"/>
                      <w:szCs w:val="21"/>
                    </w:rPr>
                    <w:t>BOD</w:t>
                  </w:r>
                  <w:r>
                    <w:rPr>
                      <w:rFonts w:hint="eastAsia"/>
                      <w:color w:val="auto"/>
                      <w:kern w:val="0"/>
                      <w:szCs w:val="21"/>
                      <w:vertAlign w:val="subscript"/>
                    </w:rPr>
                    <w:t>5</w:t>
                  </w:r>
                </w:p>
              </w:tc>
              <w:tc>
                <w:tcPr>
                  <w:tcW w:w="1068" w:type="dxa"/>
                  <w:vAlign w:val="center"/>
                </w:tcPr>
                <w:p w14:paraId="12730C94">
                  <w:pPr>
                    <w:widowControl/>
                    <w:jc w:val="center"/>
                    <w:rPr>
                      <w:color w:val="auto"/>
                      <w:kern w:val="0"/>
                      <w:szCs w:val="21"/>
                    </w:rPr>
                  </w:pPr>
                  <w:r>
                    <w:rPr>
                      <w:rFonts w:hint="eastAsia"/>
                      <w:color w:val="auto"/>
                      <w:kern w:val="0"/>
                      <w:szCs w:val="21"/>
                    </w:rPr>
                    <w:t>3.2</w:t>
                  </w:r>
                </w:p>
              </w:tc>
              <w:tc>
                <w:tcPr>
                  <w:tcW w:w="1068" w:type="dxa"/>
                  <w:vAlign w:val="center"/>
                </w:tcPr>
                <w:p w14:paraId="62B634FF">
                  <w:pPr>
                    <w:widowControl/>
                    <w:jc w:val="center"/>
                    <w:rPr>
                      <w:color w:val="auto"/>
                      <w:kern w:val="0"/>
                      <w:szCs w:val="21"/>
                    </w:rPr>
                  </w:pPr>
                  <w:r>
                    <w:rPr>
                      <w:rFonts w:hint="eastAsia"/>
                      <w:color w:val="auto"/>
                      <w:kern w:val="0"/>
                      <w:szCs w:val="21"/>
                    </w:rPr>
                    <w:t>3.3</w:t>
                  </w:r>
                </w:p>
              </w:tc>
              <w:tc>
                <w:tcPr>
                  <w:tcW w:w="1140" w:type="dxa"/>
                  <w:vAlign w:val="center"/>
                </w:tcPr>
                <w:p w14:paraId="031C136D">
                  <w:pPr>
                    <w:widowControl/>
                    <w:jc w:val="center"/>
                    <w:rPr>
                      <w:color w:val="auto"/>
                      <w:kern w:val="0"/>
                      <w:szCs w:val="21"/>
                    </w:rPr>
                  </w:pPr>
                  <w:r>
                    <w:rPr>
                      <w:rFonts w:hint="eastAsia"/>
                      <w:color w:val="auto"/>
                      <w:kern w:val="0"/>
                      <w:szCs w:val="21"/>
                    </w:rPr>
                    <w:t>3.7</w:t>
                  </w:r>
                </w:p>
              </w:tc>
              <w:tc>
                <w:tcPr>
                  <w:tcW w:w="1067" w:type="dxa"/>
                  <w:vAlign w:val="center"/>
                </w:tcPr>
                <w:p w14:paraId="6721E894">
                  <w:pPr>
                    <w:widowControl/>
                    <w:jc w:val="center"/>
                    <w:rPr>
                      <w:color w:val="auto"/>
                      <w:kern w:val="0"/>
                      <w:szCs w:val="21"/>
                    </w:rPr>
                  </w:pPr>
                  <w:r>
                    <w:rPr>
                      <w:rFonts w:hint="eastAsia"/>
                      <w:color w:val="auto"/>
                      <w:kern w:val="0"/>
                      <w:szCs w:val="21"/>
                    </w:rPr>
                    <w:t>3.6</w:t>
                  </w:r>
                </w:p>
              </w:tc>
              <w:tc>
                <w:tcPr>
                  <w:tcW w:w="1067" w:type="dxa"/>
                  <w:vAlign w:val="center"/>
                </w:tcPr>
                <w:p w14:paraId="1AE46783">
                  <w:pPr>
                    <w:widowControl/>
                    <w:jc w:val="center"/>
                    <w:rPr>
                      <w:color w:val="auto"/>
                      <w:kern w:val="0"/>
                      <w:szCs w:val="21"/>
                    </w:rPr>
                  </w:pPr>
                  <w:r>
                    <w:rPr>
                      <w:rFonts w:hint="eastAsia"/>
                      <w:color w:val="auto"/>
                      <w:kern w:val="0"/>
                      <w:szCs w:val="21"/>
                    </w:rPr>
                    <w:t>3.6</w:t>
                  </w:r>
                </w:p>
              </w:tc>
              <w:tc>
                <w:tcPr>
                  <w:tcW w:w="1069" w:type="dxa"/>
                  <w:vAlign w:val="center"/>
                </w:tcPr>
                <w:p w14:paraId="4763CCBA">
                  <w:pPr>
                    <w:widowControl/>
                    <w:jc w:val="center"/>
                    <w:rPr>
                      <w:color w:val="auto"/>
                      <w:kern w:val="0"/>
                      <w:szCs w:val="21"/>
                    </w:rPr>
                  </w:pPr>
                  <w:r>
                    <w:rPr>
                      <w:rFonts w:hint="eastAsia"/>
                      <w:color w:val="auto"/>
                      <w:kern w:val="0"/>
                      <w:szCs w:val="21"/>
                    </w:rPr>
                    <w:t>3.9</w:t>
                  </w:r>
                </w:p>
              </w:tc>
              <w:tc>
                <w:tcPr>
                  <w:tcW w:w="821" w:type="dxa"/>
                  <w:vAlign w:val="center"/>
                </w:tcPr>
                <w:p w14:paraId="5AB1E7FE">
                  <w:pPr>
                    <w:widowControl/>
                    <w:jc w:val="center"/>
                    <w:rPr>
                      <w:color w:val="auto"/>
                      <w:kern w:val="0"/>
                      <w:szCs w:val="21"/>
                    </w:rPr>
                  </w:pPr>
                  <w:r>
                    <w:rPr>
                      <w:rFonts w:hint="eastAsia"/>
                      <w:color w:val="auto"/>
                      <w:kern w:val="0"/>
                      <w:szCs w:val="21"/>
                    </w:rPr>
                    <w:t>≤4</w:t>
                  </w:r>
                </w:p>
              </w:tc>
            </w:tr>
            <w:tr w14:paraId="6264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3" w:type="dxa"/>
                  <w:vAlign w:val="center"/>
                </w:tcPr>
                <w:p w14:paraId="70913632">
                  <w:pPr>
                    <w:widowControl/>
                    <w:jc w:val="center"/>
                    <w:rPr>
                      <w:color w:val="auto"/>
                      <w:kern w:val="0"/>
                      <w:szCs w:val="21"/>
                    </w:rPr>
                  </w:pPr>
                  <w:r>
                    <w:rPr>
                      <w:rFonts w:hint="eastAsia"/>
                      <w:color w:val="auto"/>
                      <w:kern w:val="0"/>
                      <w:szCs w:val="21"/>
                    </w:rPr>
                    <w:t>石油类</w:t>
                  </w:r>
                </w:p>
              </w:tc>
              <w:tc>
                <w:tcPr>
                  <w:tcW w:w="1068" w:type="dxa"/>
                  <w:vAlign w:val="center"/>
                </w:tcPr>
                <w:p w14:paraId="0DD92104">
                  <w:pPr>
                    <w:widowControl/>
                    <w:jc w:val="center"/>
                    <w:rPr>
                      <w:color w:val="auto"/>
                      <w:kern w:val="0"/>
                      <w:szCs w:val="21"/>
                    </w:rPr>
                  </w:pPr>
                  <w:r>
                    <w:rPr>
                      <w:rFonts w:hint="eastAsia"/>
                      <w:color w:val="auto"/>
                      <w:kern w:val="0"/>
                      <w:szCs w:val="21"/>
                    </w:rPr>
                    <w:t>＜0.01</w:t>
                  </w:r>
                </w:p>
              </w:tc>
              <w:tc>
                <w:tcPr>
                  <w:tcW w:w="1068" w:type="dxa"/>
                  <w:vAlign w:val="center"/>
                </w:tcPr>
                <w:p w14:paraId="5DD44BE0">
                  <w:pPr>
                    <w:widowControl/>
                    <w:jc w:val="center"/>
                    <w:rPr>
                      <w:color w:val="auto"/>
                      <w:kern w:val="0"/>
                      <w:szCs w:val="21"/>
                    </w:rPr>
                  </w:pPr>
                  <w:r>
                    <w:rPr>
                      <w:rFonts w:hint="eastAsia"/>
                      <w:color w:val="auto"/>
                      <w:kern w:val="0"/>
                      <w:szCs w:val="21"/>
                    </w:rPr>
                    <w:t>＜0.01</w:t>
                  </w:r>
                </w:p>
              </w:tc>
              <w:tc>
                <w:tcPr>
                  <w:tcW w:w="1140" w:type="dxa"/>
                  <w:vAlign w:val="center"/>
                </w:tcPr>
                <w:p w14:paraId="346FBDC5">
                  <w:pPr>
                    <w:widowControl/>
                    <w:jc w:val="center"/>
                    <w:rPr>
                      <w:color w:val="auto"/>
                      <w:kern w:val="0"/>
                      <w:szCs w:val="21"/>
                    </w:rPr>
                  </w:pPr>
                  <w:r>
                    <w:rPr>
                      <w:rFonts w:hint="eastAsia"/>
                      <w:color w:val="auto"/>
                      <w:kern w:val="0"/>
                      <w:szCs w:val="21"/>
                    </w:rPr>
                    <w:t>＜0.01</w:t>
                  </w:r>
                </w:p>
              </w:tc>
              <w:tc>
                <w:tcPr>
                  <w:tcW w:w="1067" w:type="dxa"/>
                  <w:vAlign w:val="center"/>
                </w:tcPr>
                <w:p w14:paraId="3DD00FE6">
                  <w:pPr>
                    <w:widowControl/>
                    <w:jc w:val="center"/>
                    <w:rPr>
                      <w:color w:val="auto"/>
                      <w:kern w:val="0"/>
                      <w:szCs w:val="21"/>
                    </w:rPr>
                  </w:pPr>
                  <w:r>
                    <w:rPr>
                      <w:rFonts w:hint="eastAsia"/>
                      <w:color w:val="auto"/>
                      <w:kern w:val="0"/>
                      <w:szCs w:val="21"/>
                    </w:rPr>
                    <w:t>＜0.01</w:t>
                  </w:r>
                </w:p>
              </w:tc>
              <w:tc>
                <w:tcPr>
                  <w:tcW w:w="1067" w:type="dxa"/>
                  <w:vAlign w:val="center"/>
                </w:tcPr>
                <w:p w14:paraId="71FEC285">
                  <w:pPr>
                    <w:widowControl/>
                    <w:jc w:val="center"/>
                    <w:rPr>
                      <w:color w:val="auto"/>
                      <w:kern w:val="0"/>
                      <w:szCs w:val="21"/>
                    </w:rPr>
                  </w:pPr>
                  <w:r>
                    <w:rPr>
                      <w:rFonts w:hint="eastAsia"/>
                      <w:color w:val="auto"/>
                      <w:kern w:val="0"/>
                      <w:szCs w:val="21"/>
                    </w:rPr>
                    <w:t>＜0.01</w:t>
                  </w:r>
                </w:p>
              </w:tc>
              <w:tc>
                <w:tcPr>
                  <w:tcW w:w="1069" w:type="dxa"/>
                  <w:vAlign w:val="center"/>
                </w:tcPr>
                <w:p w14:paraId="55794B98">
                  <w:pPr>
                    <w:widowControl/>
                    <w:jc w:val="center"/>
                    <w:rPr>
                      <w:color w:val="auto"/>
                      <w:kern w:val="0"/>
                      <w:szCs w:val="21"/>
                    </w:rPr>
                  </w:pPr>
                  <w:r>
                    <w:rPr>
                      <w:rFonts w:hint="eastAsia"/>
                      <w:color w:val="auto"/>
                      <w:kern w:val="0"/>
                      <w:szCs w:val="21"/>
                    </w:rPr>
                    <w:t>＜0.01</w:t>
                  </w:r>
                </w:p>
              </w:tc>
              <w:tc>
                <w:tcPr>
                  <w:tcW w:w="821" w:type="dxa"/>
                  <w:vAlign w:val="center"/>
                </w:tcPr>
                <w:p w14:paraId="2955F9FC">
                  <w:pPr>
                    <w:widowControl/>
                    <w:jc w:val="center"/>
                    <w:rPr>
                      <w:color w:val="auto"/>
                      <w:kern w:val="0"/>
                      <w:szCs w:val="21"/>
                    </w:rPr>
                  </w:pPr>
                  <w:r>
                    <w:rPr>
                      <w:rFonts w:hint="eastAsia"/>
                      <w:color w:val="auto"/>
                      <w:kern w:val="0"/>
                      <w:szCs w:val="21"/>
                    </w:rPr>
                    <w:t>≤0.05</w:t>
                  </w:r>
                </w:p>
              </w:tc>
            </w:tr>
          </w:tbl>
          <w:p w14:paraId="3208A9D2">
            <w:pPr>
              <w:adjustRightInd w:val="0"/>
              <w:snapToGrid w:val="0"/>
              <w:spacing w:before="120" w:beforeLines="50" w:line="360" w:lineRule="auto"/>
              <w:ind w:firstLine="480" w:firstLineChars="200"/>
              <w:rPr>
                <w:color w:val="auto"/>
                <w:sz w:val="24"/>
                <w:szCs w:val="32"/>
              </w:rPr>
            </w:pPr>
            <w:r>
              <w:rPr>
                <w:rFonts w:hint="eastAsia"/>
                <w:color w:val="auto"/>
                <w:sz w:val="24"/>
                <w:szCs w:val="32"/>
              </w:rPr>
              <w:t>由监测结果表明，本项目所在区域最终纳污水体水质基本可以达到《地表水环境质量标准》（GB3838-2002）中的Ⅲ类标准，项目区域内水环境常规污染物质量达标，具有一定的环境容量。</w:t>
            </w:r>
          </w:p>
          <w:p w14:paraId="1167BA0E">
            <w:pPr>
              <w:numPr>
                <w:ilvl w:val="0"/>
                <w:numId w:val="22"/>
              </w:numPr>
              <w:tabs>
                <w:tab w:val="left" w:pos="993"/>
              </w:tabs>
              <w:adjustRightInd w:val="0"/>
              <w:spacing w:line="360" w:lineRule="auto"/>
              <w:rPr>
                <w:b/>
                <w:bCs/>
                <w:color w:val="auto"/>
                <w:sz w:val="24"/>
              </w:rPr>
            </w:pPr>
            <w:r>
              <w:rPr>
                <w:b/>
                <w:bCs/>
                <w:color w:val="auto"/>
                <w:sz w:val="24"/>
              </w:rPr>
              <w:t>声环境质量现状</w:t>
            </w:r>
          </w:p>
          <w:p w14:paraId="5359599E">
            <w:pPr>
              <w:adjustRightInd w:val="0"/>
              <w:snapToGrid w:val="0"/>
              <w:spacing w:line="360" w:lineRule="auto"/>
              <w:ind w:firstLine="425"/>
              <w:rPr>
                <w:color w:val="auto"/>
                <w:sz w:val="24"/>
              </w:rPr>
            </w:pPr>
            <w:r>
              <w:rPr>
                <w:rFonts w:hint="eastAsia"/>
                <w:color w:val="auto"/>
                <w:sz w:val="24"/>
              </w:rPr>
              <w:t>项目所在地为浙江省湖州市南浔区练市镇水口村东堡工业区，场界外周边50m范围内不存在声环境保护目标，根据《建设项目环境影响报告表编制技术指南（污染影响类）（试行）》，本项目不开展声环境质量现状监测。</w:t>
            </w:r>
          </w:p>
          <w:p w14:paraId="25CFD486">
            <w:pPr>
              <w:numPr>
                <w:ilvl w:val="0"/>
                <w:numId w:val="22"/>
              </w:numPr>
              <w:tabs>
                <w:tab w:val="left" w:pos="993"/>
              </w:tabs>
              <w:adjustRightInd w:val="0"/>
              <w:spacing w:line="360" w:lineRule="auto"/>
              <w:rPr>
                <w:b/>
                <w:bCs/>
                <w:color w:val="auto"/>
                <w:sz w:val="24"/>
              </w:rPr>
            </w:pPr>
            <w:r>
              <w:rPr>
                <w:b/>
                <w:bCs/>
                <w:color w:val="auto"/>
                <w:sz w:val="24"/>
              </w:rPr>
              <w:t>生态环境质量现状</w:t>
            </w:r>
          </w:p>
          <w:p w14:paraId="3118CF27">
            <w:pPr>
              <w:adjustRightInd w:val="0"/>
              <w:snapToGrid w:val="0"/>
              <w:spacing w:line="360" w:lineRule="auto"/>
              <w:ind w:firstLine="425"/>
              <w:rPr>
                <w:color w:val="auto"/>
                <w:sz w:val="24"/>
              </w:rPr>
            </w:pPr>
            <w:bookmarkStart w:id="9" w:name="_Hlk57104930"/>
            <w:r>
              <w:rPr>
                <w:color w:val="auto"/>
                <w:sz w:val="24"/>
              </w:rPr>
              <w:t>本项目位于</w:t>
            </w:r>
            <w:r>
              <w:rPr>
                <w:rFonts w:hint="eastAsia"/>
                <w:color w:val="auto"/>
                <w:sz w:val="24"/>
              </w:rPr>
              <w:t>浙江省湖州市南浔区练市镇水口村东堡工业区</w:t>
            </w:r>
            <w:r>
              <w:rPr>
                <w:color w:val="auto"/>
                <w:sz w:val="24"/>
              </w:rPr>
              <w:t>，项目位于工业集聚点内，不新增土地，不占用绿化，项目厂区内无生态环境保护目标，根据《建设项目环境影响报告表编制技术指南（污染影响类）（试行）》要求，无需开展生态环境现状调查。</w:t>
            </w:r>
            <w:bookmarkEnd w:id="9"/>
          </w:p>
          <w:p w14:paraId="1FCFE708">
            <w:pPr>
              <w:numPr>
                <w:ilvl w:val="0"/>
                <w:numId w:val="22"/>
              </w:numPr>
              <w:tabs>
                <w:tab w:val="left" w:pos="993"/>
              </w:tabs>
              <w:adjustRightInd w:val="0"/>
              <w:spacing w:line="360" w:lineRule="auto"/>
              <w:rPr>
                <w:b/>
                <w:bCs/>
                <w:color w:val="auto"/>
                <w:sz w:val="24"/>
              </w:rPr>
            </w:pPr>
            <w:r>
              <w:rPr>
                <w:b/>
                <w:bCs/>
                <w:color w:val="auto"/>
                <w:sz w:val="24"/>
              </w:rPr>
              <w:t>电磁辐射</w:t>
            </w:r>
          </w:p>
          <w:p w14:paraId="05DEEBE9">
            <w:pPr>
              <w:adjustRightInd w:val="0"/>
              <w:snapToGrid w:val="0"/>
              <w:spacing w:line="360" w:lineRule="auto"/>
              <w:ind w:firstLine="425"/>
              <w:rPr>
                <w:color w:val="auto"/>
                <w:sz w:val="24"/>
              </w:rPr>
            </w:pPr>
            <w:r>
              <w:rPr>
                <w:color w:val="auto"/>
                <w:sz w:val="24"/>
              </w:rPr>
              <w:t>本项目不涉及广播电台、差转台、电视塔台、卫星地球上行站、雷达等电磁辐射类项目，可不对电磁辐射现状开展监测与评价。</w:t>
            </w:r>
          </w:p>
          <w:p w14:paraId="540D007E">
            <w:pPr>
              <w:numPr>
                <w:ilvl w:val="0"/>
                <w:numId w:val="22"/>
              </w:numPr>
              <w:tabs>
                <w:tab w:val="left" w:pos="993"/>
              </w:tabs>
              <w:adjustRightInd w:val="0"/>
              <w:spacing w:line="360" w:lineRule="auto"/>
              <w:rPr>
                <w:b/>
                <w:bCs/>
                <w:color w:val="auto"/>
                <w:sz w:val="24"/>
              </w:rPr>
            </w:pPr>
            <w:r>
              <w:rPr>
                <w:b/>
                <w:bCs/>
                <w:color w:val="auto"/>
                <w:sz w:val="24"/>
              </w:rPr>
              <w:t>地下水、土壤等</w:t>
            </w:r>
          </w:p>
          <w:p w14:paraId="11D8BA1E">
            <w:pPr>
              <w:adjustRightInd w:val="0"/>
              <w:snapToGrid w:val="0"/>
              <w:spacing w:line="360" w:lineRule="auto"/>
              <w:ind w:firstLine="425"/>
              <w:rPr>
                <w:color w:val="auto"/>
                <w:sz w:val="24"/>
              </w:rPr>
            </w:pPr>
            <w:r>
              <w:rPr>
                <w:color w:val="auto"/>
                <w:sz w:val="24"/>
              </w:rPr>
              <w:t>本项目厂界外500m范围内无地下水集中式饮用水水源和热水、矿泉水、温泉等特殊地下水资源，且不涉及重金属、持久性等污染物的排放，根据《建设项目环境影响报告表编制技术指南（污染影响类）（试行）》的要求，可不进行地下水、土壤等的环境质量的现状监测。</w:t>
            </w:r>
          </w:p>
        </w:tc>
      </w:tr>
      <w:tr w14:paraId="30971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49257E54">
            <w:pPr>
              <w:adjustRightInd w:val="0"/>
              <w:snapToGrid w:val="0"/>
              <w:jc w:val="center"/>
              <w:rPr>
                <w:color w:val="auto"/>
                <w:kern w:val="0"/>
                <w:sz w:val="24"/>
              </w:rPr>
            </w:pPr>
            <w:r>
              <w:rPr>
                <w:color w:val="auto"/>
                <w:kern w:val="0"/>
                <w:sz w:val="24"/>
              </w:rPr>
              <w:t>环境</w:t>
            </w:r>
          </w:p>
          <w:p w14:paraId="3E6C499D">
            <w:pPr>
              <w:adjustRightInd w:val="0"/>
              <w:snapToGrid w:val="0"/>
              <w:jc w:val="center"/>
              <w:rPr>
                <w:color w:val="auto"/>
                <w:kern w:val="0"/>
                <w:sz w:val="24"/>
              </w:rPr>
            </w:pPr>
            <w:r>
              <w:rPr>
                <w:color w:val="auto"/>
                <w:kern w:val="0"/>
                <w:sz w:val="24"/>
              </w:rPr>
              <w:t>保护</w:t>
            </w:r>
          </w:p>
          <w:p w14:paraId="5B50D17E">
            <w:pPr>
              <w:adjustRightInd w:val="0"/>
              <w:snapToGrid w:val="0"/>
              <w:jc w:val="center"/>
              <w:rPr>
                <w:color w:val="auto"/>
                <w:kern w:val="0"/>
                <w:sz w:val="24"/>
              </w:rPr>
            </w:pPr>
            <w:r>
              <w:rPr>
                <w:color w:val="auto"/>
                <w:kern w:val="0"/>
                <w:sz w:val="24"/>
              </w:rPr>
              <w:t>目标</w:t>
            </w:r>
          </w:p>
        </w:tc>
        <w:tc>
          <w:tcPr>
            <w:tcW w:w="4755" w:type="pct"/>
          </w:tcPr>
          <w:p w14:paraId="4681B739">
            <w:pPr>
              <w:numPr>
                <w:ilvl w:val="0"/>
                <w:numId w:val="21"/>
              </w:numPr>
              <w:tabs>
                <w:tab w:val="left" w:pos="993"/>
              </w:tabs>
              <w:adjustRightInd w:val="0"/>
              <w:spacing w:line="360" w:lineRule="auto"/>
              <w:rPr>
                <w:b/>
                <w:bCs/>
                <w:color w:val="auto"/>
                <w:sz w:val="24"/>
              </w:rPr>
            </w:pPr>
            <w:r>
              <w:rPr>
                <w:b/>
                <w:bCs/>
                <w:color w:val="auto"/>
                <w:sz w:val="24"/>
              </w:rPr>
              <w:t>环境保护目标</w:t>
            </w:r>
          </w:p>
          <w:p w14:paraId="795EE77C">
            <w:pPr>
              <w:tabs>
                <w:tab w:val="left" w:pos="993"/>
              </w:tabs>
              <w:adjustRightInd w:val="0"/>
              <w:spacing w:line="360" w:lineRule="auto"/>
              <w:rPr>
                <w:b/>
                <w:bCs/>
                <w:color w:val="auto"/>
                <w:sz w:val="24"/>
              </w:rPr>
            </w:pPr>
            <w:r>
              <w:rPr>
                <w:rFonts w:eastAsia="黑体"/>
                <w:b/>
                <w:bCs/>
                <w:color w:val="auto"/>
                <w:sz w:val="24"/>
              </w:rPr>
              <w:t>3.</w:t>
            </w:r>
            <w:r>
              <w:rPr>
                <w:rFonts w:hint="eastAsia" w:eastAsia="黑体"/>
                <w:b/>
                <w:bCs/>
                <w:color w:val="auto"/>
                <w:sz w:val="24"/>
              </w:rPr>
              <w:t>2</w:t>
            </w:r>
            <w:r>
              <w:rPr>
                <w:rFonts w:eastAsia="黑体"/>
                <w:b/>
                <w:bCs/>
                <w:color w:val="auto"/>
                <w:sz w:val="24"/>
              </w:rPr>
              <w:t>.1</w:t>
            </w:r>
            <w:r>
              <w:rPr>
                <w:rFonts w:hint="eastAsia" w:eastAsia="黑体"/>
                <w:b/>
                <w:bCs/>
                <w:color w:val="auto"/>
                <w:sz w:val="24"/>
              </w:rPr>
              <w:t xml:space="preserve"> </w:t>
            </w:r>
            <w:r>
              <w:rPr>
                <w:rFonts w:hint="eastAsia"/>
                <w:b/>
                <w:bCs/>
                <w:color w:val="auto"/>
                <w:sz w:val="24"/>
              </w:rPr>
              <w:t>大气环境</w:t>
            </w:r>
          </w:p>
          <w:p w14:paraId="48E381D3">
            <w:pPr>
              <w:adjustRightInd w:val="0"/>
              <w:snapToGrid w:val="0"/>
              <w:spacing w:line="360" w:lineRule="auto"/>
              <w:ind w:firstLine="480" w:firstLineChars="200"/>
              <w:rPr>
                <w:color w:val="auto"/>
                <w:sz w:val="24"/>
              </w:rPr>
            </w:pPr>
            <w:r>
              <w:rPr>
                <w:rFonts w:hint="eastAsia"/>
                <w:color w:val="auto"/>
                <w:sz w:val="24"/>
              </w:rPr>
              <w:t>本项目大气环境保护目标见下表，另外，对照《湖州市南浔区练市镇国土空间总体规划》中的用地规划图，本项目所在地500m范围内无规划的</w:t>
            </w:r>
            <w:r>
              <w:rPr>
                <w:rFonts w:hint="eastAsia"/>
                <w:color w:val="auto"/>
                <w:sz w:val="24"/>
                <w:lang w:val="en-US" w:eastAsia="zh-CN"/>
              </w:rPr>
              <w:t>大气环境保护目标</w:t>
            </w:r>
            <w:r>
              <w:rPr>
                <w:rFonts w:hint="eastAsia"/>
                <w:color w:val="auto"/>
                <w:sz w:val="24"/>
              </w:rPr>
              <w:t>。</w:t>
            </w:r>
          </w:p>
          <w:p w14:paraId="5AF84634">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项目大气环境保护目标基本情况</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798"/>
              <w:gridCol w:w="1288"/>
              <w:gridCol w:w="1263"/>
              <w:gridCol w:w="805"/>
              <w:gridCol w:w="1003"/>
              <w:gridCol w:w="1671"/>
              <w:gridCol w:w="567"/>
              <w:gridCol w:w="995"/>
            </w:tblGrid>
            <w:tr w14:paraId="39E3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Merge w:val="restart"/>
                  <w:vAlign w:val="center"/>
                </w:tcPr>
                <w:p w14:paraId="01AA2ED5">
                  <w:pPr>
                    <w:jc w:val="center"/>
                    <w:rPr>
                      <w:color w:val="auto"/>
                      <w:szCs w:val="21"/>
                    </w:rPr>
                  </w:pPr>
                  <w:r>
                    <w:rPr>
                      <w:color w:val="auto"/>
                      <w:szCs w:val="21"/>
                    </w:rPr>
                    <w:t>保护目标名称</w:t>
                  </w:r>
                </w:p>
              </w:tc>
              <w:tc>
                <w:tcPr>
                  <w:tcW w:w="1517" w:type="pct"/>
                  <w:gridSpan w:val="2"/>
                  <w:vAlign w:val="center"/>
                </w:tcPr>
                <w:p w14:paraId="78D3511B">
                  <w:pPr>
                    <w:pStyle w:val="192"/>
                    <w:spacing w:line="240" w:lineRule="auto"/>
                    <w:jc w:val="center"/>
                    <w:rPr>
                      <w:rFonts w:ascii="Times New Roman" w:hAnsi="Times New Roman"/>
                      <w:b w:val="0"/>
                      <w:color w:val="auto"/>
                      <w:sz w:val="21"/>
                      <w:szCs w:val="21"/>
                      <w:lang w:val="en-US"/>
                    </w:rPr>
                  </w:pPr>
                  <w:r>
                    <w:rPr>
                      <w:rFonts w:ascii="Times New Roman" w:hAnsi="Times New Roman"/>
                      <w:b w:val="0"/>
                      <w:color w:val="auto"/>
                      <w:sz w:val="21"/>
                      <w:szCs w:val="21"/>
                      <w:lang w:val="en-US"/>
                    </w:rPr>
                    <w:t>坐标</w:t>
                  </w:r>
                </w:p>
              </w:tc>
              <w:tc>
                <w:tcPr>
                  <w:tcW w:w="480" w:type="pct"/>
                  <w:vMerge w:val="restart"/>
                  <w:vAlign w:val="center"/>
                </w:tcPr>
                <w:p w14:paraId="5DDB6DB2">
                  <w:pPr>
                    <w:pStyle w:val="192"/>
                    <w:spacing w:line="240" w:lineRule="auto"/>
                    <w:jc w:val="center"/>
                    <w:rPr>
                      <w:rFonts w:ascii="Times New Roman" w:hAnsi="Times New Roman"/>
                      <w:b w:val="0"/>
                      <w:color w:val="auto"/>
                      <w:sz w:val="21"/>
                      <w:szCs w:val="21"/>
                      <w:lang w:val="en-US"/>
                    </w:rPr>
                  </w:pPr>
                  <w:r>
                    <w:rPr>
                      <w:rFonts w:ascii="Times New Roman" w:hAnsi="Times New Roman"/>
                      <w:b w:val="0"/>
                      <w:color w:val="auto"/>
                      <w:sz w:val="21"/>
                      <w:szCs w:val="21"/>
                      <w:lang w:val="en-US"/>
                    </w:rPr>
                    <w:t>保护对象</w:t>
                  </w:r>
                </w:p>
              </w:tc>
              <w:tc>
                <w:tcPr>
                  <w:tcW w:w="598" w:type="pct"/>
                  <w:vMerge w:val="restart"/>
                  <w:vAlign w:val="center"/>
                </w:tcPr>
                <w:p w14:paraId="460C38D4">
                  <w:pPr>
                    <w:jc w:val="center"/>
                    <w:rPr>
                      <w:color w:val="auto"/>
                      <w:szCs w:val="21"/>
                    </w:rPr>
                  </w:pPr>
                  <w:r>
                    <w:rPr>
                      <w:rFonts w:hint="eastAsia"/>
                      <w:color w:val="auto"/>
                      <w:szCs w:val="21"/>
                    </w:rPr>
                    <w:t>规模</w:t>
                  </w:r>
                </w:p>
              </w:tc>
              <w:tc>
                <w:tcPr>
                  <w:tcW w:w="995" w:type="pct"/>
                  <w:vMerge w:val="restart"/>
                  <w:vAlign w:val="center"/>
                </w:tcPr>
                <w:p w14:paraId="5DECFDD2">
                  <w:pPr>
                    <w:jc w:val="center"/>
                    <w:rPr>
                      <w:color w:val="auto"/>
                      <w:szCs w:val="21"/>
                    </w:rPr>
                  </w:pPr>
                  <w:r>
                    <w:rPr>
                      <w:color w:val="auto"/>
                      <w:szCs w:val="21"/>
                    </w:rPr>
                    <w:t>环境功能区</w:t>
                  </w:r>
                </w:p>
              </w:tc>
              <w:tc>
                <w:tcPr>
                  <w:tcW w:w="338" w:type="pct"/>
                  <w:vMerge w:val="restart"/>
                  <w:vAlign w:val="center"/>
                </w:tcPr>
                <w:p w14:paraId="67D25533">
                  <w:pPr>
                    <w:jc w:val="center"/>
                    <w:rPr>
                      <w:color w:val="auto"/>
                      <w:szCs w:val="21"/>
                    </w:rPr>
                  </w:pPr>
                  <w:r>
                    <w:rPr>
                      <w:color w:val="auto"/>
                      <w:szCs w:val="21"/>
                    </w:rPr>
                    <w:t>方位</w:t>
                  </w:r>
                </w:p>
              </w:tc>
              <w:tc>
                <w:tcPr>
                  <w:tcW w:w="593" w:type="pct"/>
                  <w:vMerge w:val="restart"/>
                  <w:vAlign w:val="center"/>
                </w:tcPr>
                <w:p w14:paraId="0B1B85A9">
                  <w:pPr>
                    <w:jc w:val="center"/>
                    <w:rPr>
                      <w:color w:val="auto"/>
                      <w:szCs w:val="21"/>
                    </w:rPr>
                  </w:pPr>
                  <w:r>
                    <w:rPr>
                      <w:color w:val="auto"/>
                      <w:szCs w:val="21"/>
                    </w:rPr>
                    <w:t>距厂界最近距离(m)</w:t>
                  </w:r>
                </w:p>
              </w:tc>
            </w:tr>
            <w:tr w14:paraId="77B2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Merge w:val="continue"/>
                  <w:vAlign w:val="center"/>
                </w:tcPr>
                <w:p w14:paraId="5F6A31CE">
                  <w:pPr>
                    <w:widowControl/>
                    <w:jc w:val="center"/>
                    <w:rPr>
                      <w:color w:val="auto"/>
                      <w:szCs w:val="21"/>
                    </w:rPr>
                  </w:pPr>
                </w:p>
              </w:tc>
              <w:tc>
                <w:tcPr>
                  <w:tcW w:w="766" w:type="pct"/>
                  <w:vAlign w:val="center"/>
                </w:tcPr>
                <w:p w14:paraId="0805A00E">
                  <w:pPr>
                    <w:jc w:val="center"/>
                    <w:rPr>
                      <w:color w:val="auto"/>
                      <w:szCs w:val="21"/>
                    </w:rPr>
                  </w:pPr>
                  <w:r>
                    <w:rPr>
                      <w:color w:val="auto"/>
                      <w:szCs w:val="21"/>
                    </w:rPr>
                    <w:t>东经（°）</w:t>
                  </w:r>
                </w:p>
              </w:tc>
              <w:tc>
                <w:tcPr>
                  <w:tcW w:w="750" w:type="pct"/>
                  <w:vAlign w:val="center"/>
                </w:tcPr>
                <w:p w14:paraId="5AD9E1FF">
                  <w:pPr>
                    <w:jc w:val="center"/>
                    <w:rPr>
                      <w:color w:val="auto"/>
                      <w:szCs w:val="21"/>
                    </w:rPr>
                  </w:pPr>
                  <w:r>
                    <w:rPr>
                      <w:color w:val="auto"/>
                      <w:szCs w:val="21"/>
                    </w:rPr>
                    <w:t>北纬（°）</w:t>
                  </w:r>
                </w:p>
              </w:tc>
              <w:tc>
                <w:tcPr>
                  <w:tcW w:w="480" w:type="pct"/>
                  <w:vMerge w:val="continue"/>
                  <w:vAlign w:val="center"/>
                </w:tcPr>
                <w:p w14:paraId="73BFD437">
                  <w:pPr>
                    <w:widowControl/>
                    <w:jc w:val="center"/>
                    <w:rPr>
                      <w:color w:val="auto"/>
                      <w:szCs w:val="21"/>
                    </w:rPr>
                  </w:pPr>
                </w:p>
              </w:tc>
              <w:tc>
                <w:tcPr>
                  <w:tcW w:w="598" w:type="pct"/>
                  <w:vMerge w:val="continue"/>
                  <w:vAlign w:val="center"/>
                </w:tcPr>
                <w:p w14:paraId="213D475B">
                  <w:pPr>
                    <w:widowControl/>
                    <w:jc w:val="center"/>
                    <w:rPr>
                      <w:color w:val="auto"/>
                      <w:szCs w:val="21"/>
                    </w:rPr>
                  </w:pPr>
                </w:p>
              </w:tc>
              <w:tc>
                <w:tcPr>
                  <w:tcW w:w="995" w:type="pct"/>
                  <w:vMerge w:val="continue"/>
                  <w:vAlign w:val="center"/>
                </w:tcPr>
                <w:p w14:paraId="46E72DD3">
                  <w:pPr>
                    <w:widowControl/>
                    <w:jc w:val="center"/>
                    <w:rPr>
                      <w:color w:val="auto"/>
                      <w:szCs w:val="21"/>
                    </w:rPr>
                  </w:pPr>
                </w:p>
              </w:tc>
              <w:tc>
                <w:tcPr>
                  <w:tcW w:w="338" w:type="pct"/>
                  <w:vMerge w:val="continue"/>
                  <w:vAlign w:val="center"/>
                </w:tcPr>
                <w:p w14:paraId="2DD5C13C">
                  <w:pPr>
                    <w:widowControl/>
                    <w:jc w:val="center"/>
                    <w:rPr>
                      <w:color w:val="auto"/>
                      <w:szCs w:val="21"/>
                    </w:rPr>
                  </w:pPr>
                </w:p>
              </w:tc>
              <w:tc>
                <w:tcPr>
                  <w:tcW w:w="593" w:type="pct"/>
                  <w:vMerge w:val="continue"/>
                  <w:vAlign w:val="center"/>
                </w:tcPr>
                <w:p w14:paraId="7C62DC81">
                  <w:pPr>
                    <w:widowControl/>
                    <w:jc w:val="center"/>
                    <w:rPr>
                      <w:color w:val="auto"/>
                      <w:szCs w:val="21"/>
                    </w:rPr>
                  </w:pPr>
                </w:p>
              </w:tc>
            </w:tr>
            <w:tr w14:paraId="11B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0E2EC710">
                  <w:pPr>
                    <w:widowControl/>
                    <w:jc w:val="center"/>
                    <w:rPr>
                      <w:color w:val="auto"/>
                      <w:szCs w:val="21"/>
                    </w:rPr>
                  </w:pPr>
                  <w:r>
                    <w:rPr>
                      <w:rFonts w:hint="eastAsia"/>
                      <w:color w:val="auto"/>
                      <w:szCs w:val="21"/>
                    </w:rPr>
                    <w:t>杨家桥村</w:t>
                  </w:r>
                </w:p>
              </w:tc>
              <w:tc>
                <w:tcPr>
                  <w:tcW w:w="766" w:type="pct"/>
                  <w:vAlign w:val="center"/>
                </w:tcPr>
                <w:p w14:paraId="33977992">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120.405180</w:t>
                  </w:r>
                </w:p>
              </w:tc>
              <w:tc>
                <w:tcPr>
                  <w:tcW w:w="750" w:type="pct"/>
                  <w:vAlign w:val="center"/>
                </w:tcPr>
                <w:p w14:paraId="551F97D3">
                  <w:pPr>
                    <w:jc w:val="center"/>
                    <w:rPr>
                      <w:color w:val="auto"/>
                      <w:szCs w:val="21"/>
                    </w:rPr>
                  </w:pPr>
                  <w:r>
                    <w:rPr>
                      <w:rFonts w:hint="eastAsia"/>
                      <w:color w:val="auto"/>
                      <w:szCs w:val="21"/>
                    </w:rPr>
                    <w:t>30.767090</w:t>
                  </w:r>
                </w:p>
              </w:tc>
              <w:tc>
                <w:tcPr>
                  <w:tcW w:w="480" w:type="pct"/>
                  <w:vAlign w:val="center"/>
                </w:tcPr>
                <w:p w14:paraId="381065ED">
                  <w:pPr>
                    <w:widowControl/>
                    <w:jc w:val="center"/>
                    <w:rPr>
                      <w:color w:val="auto"/>
                      <w:szCs w:val="21"/>
                    </w:rPr>
                  </w:pPr>
                  <w:r>
                    <w:rPr>
                      <w:rFonts w:hint="eastAsia"/>
                      <w:color w:val="auto"/>
                      <w:szCs w:val="21"/>
                    </w:rPr>
                    <w:t>民居</w:t>
                  </w:r>
                </w:p>
              </w:tc>
              <w:tc>
                <w:tcPr>
                  <w:tcW w:w="598" w:type="pct"/>
                  <w:vAlign w:val="center"/>
                </w:tcPr>
                <w:p w14:paraId="6822FAA1">
                  <w:pPr>
                    <w:widowControl/>
                    <w:jc w:val="center"/>
                    <w:rPr>
                      <w:color w:val="auto"/>
                      <w:szCs w:val="21"/>
                    </w:rPr>
                  </w:pPr>
                  <w:r>
                    <w:rPr>
                      <w:rFonts w:hint="eastAsia"/>
                      <w:color w:val="auto"/>
                      <w:szCs w:val="21"/>
                    </w:rPr>
                    <w:t>约50户</w:t>
                  </w:r>
                </w:p>
              </w:tc>
              <w:tc>
                <w:tcPr>
                  <w:tcW w:w="995" w:type="pct"/>
                  <w:vMerge w:val="restart"/>
                  <w:vAlign w:val="center"/>
                </w:tcPr>
                <w:p w14:paraId="20F5E1E9">
                  <w:pPr>
                    <w:widowControl/>
                    <w:jc w:val="center"/>
                    <w:rPr>
                      <w:color w:val="auto"/>
                      <w:szCs w:val="21"/>
                    </w:rPr>
                  </w:pPr>
                  <w:r>
                    <w:rPr>
                      <w:color w:val="auto"/>
                      <w:szCs w:val="21"/>
                    </w:rPr>
                    <w:t>大气环境（GB3095</w:t>
                  </w:r>
                  <w:r>
                    <w:rPr>
                      <w:rFonts w:hint="eastAsia"/>
                      <w:color w:val="auto"/>
                      <w:szCs w:val="21"/>
                    </w:rPr>
                    <w:t>-</w:t>
                  </w:r>
                  <w:r>
                    <w:rPr>
                      <w:color w:val="auto"/>
                      <w:szCs w:val="21"/>
                    </w:rPr>
                    <w:t>2012）二级标准</w:t>
                  </w:r>
                </w:p>
              </w:tc>
              <w:tc>
                <w:tcPr>
                  <w:tcW w:w="338" w:type="pct"/>
                  <w:vAlign w:val="center"/>
                </w:tcPr>
                <w:p w14:paraId="13E85EF2">
                  <w:pPr>
                    <w:widowControl/>
                    <w:jc w:val="center"/>
                    <w:rPr>
                      <w:color w:val="auto"/>
                      <w:szCs w:val="21"/>
                    </w:rPr>
                  </w:pPr>
                  <w:r>
                    <w:rPr>
                      <w:rFonts w:hint="eastAsia"/>
                      <w:color w:val="auto"/>
                      <w:szCs w:val="21"/>
                    </w:rPr>
                    <w:t>W</w:t>
                  </w:r>
                </w:p>
              </w:tc>
              <w:tc>
                <w:tcPr>
                  <w:tcW w:w="593" w:type="pct"/>
                  <w:vAlign w:val="center"/>
                </w:tcPr>
                <w:p w14:paraId="548F1F56">
                  <w:pPr>
                    <w:widowControl/>
                    <w:jc w:val="center"/>
                    <w:rPr>
                      <w:color w:val="auto"/>
                      <w:szCs w:val="21"/>
                    </w:rPr>
                  </w:pPr>
                  <w:r>
                    <w:rPr>
                      <w:rFonts w:hint="eastAsia"/>
                      <w:color w:val="auto"/>
                      <w:szCs w:val="21"/>
                    </w:rPr>
                    <w:t>约308</w:t>
                  </w:r>
                </w:p>
              </w:tc>
            </w:tr>
            <w:tr w14:paraId="4849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77A8358B">
                  <w:pPr>
                    <w:widowControl/>
                    <w:jc w:val="center"/>
                    <w:rPr>
                      <w:color w:val="auto"/>
                      <w:szCs w:val="21"/>
                    </w:rPr>
                  </w:pPr>
                  <w:r>
                    <w:rPr>
                      <w:rFonts w:hint="eastAsia"/>
                      <w:color w:val="auto"/>
                      <w:szCs w:val="21"/>
                    </w:rPr>
                    <w:t>燕兜村</w:t>
                  </w:r>
                </w:p>
              </w:tc>
              <w:tc>
                <w:tcPr>
                  <w:tcW w:w="766" w:type="pct"/>
                  <w:vAlign w:val="center"/>
                </w:tcPr>
                <w:p w14:paraId="0B1B13D4">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120.410239</w:t>
                  </w:r>
                </w:p>
              </w:tc>
              <w:tc>
                <w:tcPr>
                  <w:tcW w:w="750" w:type="pct"/>
                  <w:vAlign w:val="center"/>
                </w:tcPr>
                <w:p w14:paraId="28D46915">
                  <w:pPr>
                    <w:jc w:val="center"/>
                    <w:rPr>
                      <w:color w:val="auto"/>
                      <w:szCs w:val="21"/>
                    </w:rPr>
                  </w:pPr>
                  <w:r>
                    <w:rPr>
                      <w:rFonts w:hint="eastAsia"/>
                      <w:color w:val="auto"/>
                      <w:szCs w:val="21"/>
                    </w:rPr>
                    <w:t>30.764659</w:t>
                  </w:r>
                </w:p>
              </w:tc>
              <w:tc>
                <w:tcPr>
                  <w:tcW w:w="480" w:type="pct"/>
                  <w:vAlign w:val="center"/>
                </w:tcPr>
                <w:p w14:paraId="77D025E3">
                  <w:pPr>
                    <w:widowControl/>
                    <w:jc w:val="center"/>
                    <w:rPr>
                      <w:color w:val="auto"/>
                      <w:szCs w:val="21"/>
                    </w:rPr>
                  </w:pPr>
                  <w:r>
                    <w:rPr>
                      <w:rFonts w:hint="eastAsia"/>
                      <w:color w:val="auto"/>
                      <w:szCs w:val="21"/>
                    </w:rPr>
                    <w:t>民居</w:t>
                  </w:r>
                </w:p>
              </w:tc>
              <w:tc>
                <w:tcPr>
                  <w:tcW w:w="598" w:type="pct"/>
                  <w:vAlign w:val="center"/>
                </w:tcPr>
                <w:p w14:paraId="074A7ED0">
                  <w:pPr>
                    <w:widowControl/>
                    <w:jc w:val="center"/>
                    <w:rPr>
                      <w:color w:val="auto"/>
                      <w:szCs w:val="21"/>
                    </w:rPr>
                  </w:pPr>
                  <w:r>
                    <w:rPr>
                      <w:rFonts w:hint="eastAsia"/>
                      <w:color w:val="auto"/>
                      <w:szCs w:val="21"/>
                    </w:rPr>
                    <w:t>约80户</w:t>
                  </w:r>
                </w:p>
              </w:tc>
              <w:tc>
                <w:tcPr>
                  <w:tcW w:w="995" w:type="pct"/>
                  <w:vMerge w:val="continue"/>
                  <w:vAlign w:val="center"/>
                </w:tcPr>
                <w:p w14:paraId="4FEFA317">
                  <w:pPr>
                    <w:widowControl/>
                    <w:jc w:val="center"/>
                    <w:rPr>
                      <w:color w:val="auto"/>
                      <w:szCs w:val="21"/>
                    </w:rPr>
                  </w:pPr>
                </w:p>
              </w:tc>
              <w:tc>
                <w:tcPr>
                  <w:tcW w:w="338" w:type="pct"/>
                  <w:vAlign w:val="center"/>
                </w:tcPr>
                <w:p w14:paraId="375085AB">
                  <w:pPr>
                    <w:widowControl/>
                    <w:jc w:val="center"/>
                    <w:rPr>
                      <w:color w:val="auto"/>
                      <w:szCs w:val="21"/>
                    </w:rPr>
                  </w:pPr>
                  <w:r>
                    <w:rPr>
                      <w:rFonts w:hint="eastAsia"/>
                      <w:color w:val="auto"/>
                      <w:szCs w:val="21"/>
                    </w:rPr>
                    <w:t>S</w:t>
                  </w:r>
                </w:p>
              </w:tc>
              <w:tc>
                <w:tcPr>
                  <w:tcW w:w="593" w:type="pct"/>
                  <w:vAlign w:val="center"/>
                </w:tcPr>
                <w:p w14:paraId="2724C292">
                  <w:pPr>
                    <w:widowControl/>
                    <w:jc w:val="center"/>
                    <w:rPr>
                      <w:color w:val="auto"/>
                      <w:szCs w:val="21"/>
                    </w:rPr>
                  </w:pPr>
                  <w:r>
                    <w:rPr>
                      <w:rFonts w:hint="eastAsia"/>
                      <w:color w:val="auto"/>
                      <w:szCs w:val="21"/>
                    </w:rPr>
                    <w:t>约126</w:t>
                  </w:r>
                </w:p>
              </w:tc>
            </w:tr>
            <w:tr w14:paraId="0CFD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384B3245">
                  <w:pPr>
                    <w:widowControl/>
                    <w:jc w:val="center"/>
                    <w:rPr>
                      <w:color w:val="auto"/>
                      <w:szCs w:val="21"/>
                    </w:rPr>
                  </w:pPr>
                  <w:r>
                    <w:rPr>
                      <w:rFonts w:hint="eastAsia"/>
                      <w:color w:val="auto"/>
                      <w:szCs w:val="21"/>
                    </w:rPr>
                    <w:t>燕兜东新村</w:t>
                  </w:r>
                </w:p>
              </w:tc>
              <w:tc>
                <w:tcPr>
                  <w:tcW w:w="766" w:type="pct"/>
                  <w:vAlign w:val="center"/>
                </w:tcPr>
                <w:p w14:paraId="37D44BB2">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120.412165</w:t>
                  </w:r>
                </w:p>
              </w:tc>
              <w:tc>
                <w:tcPr>
                  <w:tcW w:w="750" w:type="pct"/>
                  <w:vAlign w:val="center"/>
                </w:tcPr>
                <w:p w14:paraId="6668C234">
                  <w:pPr>
                    <w:jc w:val="center"/>
                    <w:rPr>
                      <w:color w:val="auto"/>
                      <w:szCs w:val="21"/>
                    </w:rPr>
                  </w:pPr>
                  <w:r>
                    <w:rPr>
                      <w:rFonts w:hint="eastAsia"/>
                      <w:color w:val="auto"/>
                      <w:szCs w:val="21"/>
                    </w:rPr>
                    <w:t>30.765786</w:t>
                  </w:r>
                </w:p>
              </w:tc>
              <w:tc>
                <w:tcPr>
                  <w:tcW w:w="480" w:type="pct"/>
                  <w:vAlign w:val="center"/>
                </w:tcPr>
                <w:p w14:paraId="5BEF3D39">
                  <w:pPr>
                    <w:widowControl/>
                    <w:jc w:val="center"/>
                    <w:rPr>
                      <w:color w:val="auto"/>
                      <w:szCs w:val="21"/>
                    </w:rPr>
                  </w:pPr>
                  <w:r>
                    <w:rPr>
                      <w:rFonts w:hint="eastAsia"/>
                      <w:color w:val="auto"/>
                      <w:szCs w:val="21"/>
                    </w:rPr>
                    <w:t>民居</w:t>
                  </w:r>
                </w:p>
              </w:tc>
              <w:tc>
                <w:tcPr>
                  <w:tcW w:w="598" w:type="pct"/>
                  <w:vAlign w:val="center"/>
                </w:tcPr>
                <w:p w14:paraId="040CA8F9">
                  <w:pPr>
                    <w:widowControl/>
                    <w:jc w:val="center"/>
                    <w:rPr>
                      <w:color w:val="auto"/>
                      <w:szCs w:val="21"/>
                    </w:rPr>
                  </w:pPr>
                  <w:r>
                    <w:rPr>
                      <w:rFonts w:hint="eastAsia"/>
                      <w:color w:val="auto"/>
                      <w:szCs w:val="21"/>
                    </w:rPr>
                    <w:t>约30户</w:t>
                  </w:r>
                </w:p>
              </w:tc>
              <w:tc>
                <w:tcPr>
                  <w:tcW w:w="995" w:type="pct"/>
                  <w:vMerge w:val="continue"/>
                  <w:vAlign w:val="center"/>
                </w:tcPr>
                <w:p w14:paraId="74BB1632">
                  <w:pPr>
                    <w:widowControl/>
                    <w:jc w:val="center"/>
                    <w:rPr>
                      <w:color w:val="auto"/>
                      <w:szCs w:val="21"/>
                    </w:rPr>
                  </w:pPr>
                </w:p>
              </w:tc>
              <w:tc>
                <w:tcPr>
                  <w:tcW w:w="338" w:type="pct"/>
                  <w:vAlign w:val="center"/>
                </w:tcPr>
                <w:p w14:paraId="484F6FC7">
                  <w:pPr>
                    <w:widowControl/>
                    <w:jc w:val="center"/>
                    <w:rPr>
                      <w:color w:val="auto"/>
                      <w:szCs w:val="21"/>
                    </w:rPr>
                  </w:pPr>
                  <w:r>
                    <w:rPr>
                      <w:rFonts w:hint="eastAsia"/>
                      <w:color w:val="auto"/>
                      <w:szCs w:val="21"/>
                    </w:rPr>
                    <w:t>SE</w:t>
                  </w:r>
                </w:p>
              </w:tc>
              <w:tc>
                <w:tcPr>
                  <w:tcW w:w="593" w:type="pct"/>
                  <w:vAlign w:val="center"/>
                </w:tcPr>
                <w:p w14:paraId="2A8009A0">
                  <w:pPr>
                    <w:widowControl/>
                    <w:jc w:val="center"/>
                    <w:rPr>
                      <w:color w:val="auto"/>
                      <w:szCs w:val="21"/>
                    </w:rPr>
                  </w:pPr>
                  <w:r>
                    <w:rPr>
                      <w:rFonts w:hint="eastAsia"/>
                      <w:color w:val="auto"/>
                      <w:szCs w:val="21"/>
                    </w:rPr>
                    <w:t>约142</w:t>
                  </w:r>
                </w:p>
              </w:tc>
            </w:tr>
            <w:tr w14:paraId="0494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068FE144">
                  <w:pPr>
                    <w:widowControl/>
                    <w:jc w:val="center"/>
                    <w:rPr>
                      <w:color w:val="auto"/>
                      <w:szCs w:val="21"/>
                    </w:rPr>
                  </w:pPr>
                  <w:r>
                    <w:rPr>
                      <w:rFonts w:hint="eastAsia"/>
                      <w:color w:val="auto"/>
                      <w:szCs w:val="21"/>
                    </w:rPr>
                    <w:t>东堡村</w:t>
                  </w:r>
                </w:p>
              </w:tc>
              <w:tc>
                <w:tcPr>
                  <w:tcW w:w="766" w:type="pct"/>
                  <w:vAlign w:val="center"/>
                </w:tcPr>
                <w:p w14:paraId="58C1A3A6">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120.415633</w:t>
                  </w:r>
                </w:p>
              </w:tc>
              <w:tc>
                <w:tcPr>
                  <w:tcW w:w="750" w:type="pct"/>
                  <w:vAlign w:val="center"/>
                </w:tcPr>
                <w:p w14:paraId="17B00F1E">
                  <w:pPr>
                    <w:jc w:val="center"/>
                    <w:rPr>
                      <w:color w:val="auto"/>
                      <w:szCs w:val="21"/>
                    </w:rPr>
                  </w:pPr>
                  <w:r>
                    <w:rPr>
                      <w:rFonts w:hint="eastAsia"/>
                      <w:color w:val="auto"/>
                      <w:szCs w:val="21"/>
                    </w:rPr>
                    <w:t>30.767385</w:t>
                  </w:r>
                </w:p>
              </w:tc>
              <w:tc>
                <w:tcPr>
                  <w:tcW w:w="480" w:type="pct"/>
                  <w:vAlign w:val="center"/>
                </w:tcPr>
                <w:p w14:paraId="5840B662">
                  <w:pPr>
                    <w:widowControl/>
                    <w:jc w:val="center"/>
                    <w:rPr>
                      <w:color w:val="auto"/>
                      <w:szCs w:val="21"/>
                    </w:rPr>
                  </w:pPr>
                  <w:r>
                    <w:rPr>
                      <w:rFonts w:hint="eastAsia"/>
                      <w:color w:val="auto"/>
                      <w:szCs w:val="21"/>
                    </w:rPr>
                    <w:t>民居</w:t>
                  </w:r>
                </w:p>
              </w:tc>
              <w:tc>
                <w:tcPr>
                  <w:tcW w:w="598" w:type="pct"/>
                  <w:vAlign w:val="center"/>
                </w:tcPr>
                <w:p w14:paraId="45A1A831">
                  <w:pPr>
                    <w:widowControl/>
                    <w:jc w:val="center"/>
                    <w:rPr>
                      <w:color w:val="auto"/>
                      <w:szCs w:val="21"/>
                    </w:rPr>
                  </w:pPr>
                  <w:r>
                    <w:rPr>
                      <w:rFonts w:hint="eastAsia"/>
                      <w:color w:val="auto"/>
                      <w:szCs w:val="21"/>
                    </w:rPr>
                    <w:t>约25户</w:t>
                  </w:r>
                </w:p>
              </w:tc>
              <w:tc>
                <w:tcPr>
                  <w:tcW w:w="995" w:type="pct"/>
                  <w:vMerge w:val="continue"/>
                  <w:vAlign w:val="center"/>
                </w:tcPr>
                <w:p w14:paraId="65BE2A6D">
                  <w:pPr>
                    <w:widowControl/>
                    <w:jc w:val="center"/>
                    <w:rPr>
                      <w:color w:val="auto"/>
                      <w:szCs w:val="21"/>
                    </w:rPr>
                  </w:pPr>
                </w:p>
              </w:tc>
              <w:tc>
                <w:tcPr>
                  <w:tcW w:w="338" w:type="pct"/>
                  <w:vAlign w:val="center"/>
                </w:tcPr>
                <w:p w14:paraId="4B6E9481">
                  <w:pPr>
                    <w:widowControl/>
                    <w:jc w:val="center"/>
                    <w:rPr>
                      <w:color w:val="auto"/>
                      <w:szCs w:val="21"/>
                    </w:rPr>
                  </w:pPr>
                  <w:r>
                    <w:rPr>
                      <w:rFonts w:hint="eastAsia"/>
                      <w:color w:val="auto"/>
                      <w:szCs w:val="21"/>
                    </w:rPr>
                    <w:t>E</w:t>
                  </w:r>
                </w:p>
              </w:tc>
              <w:tc>
                <w:tcPr>
                  <w:tcW w:w="593" w:type="pct"/>
                  <w:vAlign w:val="center"/>
                </w:tcPr>
                <w:p w14:paraId="6C43EAD5">
                  <w:pPr>
                    <w:widowControl/>
                    <w:jc w:val="center"/>
                    <w:rPr>
                      <w:color w:val="auto"/>
                      <w:szCs w:val="21"/>
                    </w:rPr>
                  </w:pPr>
                  <w:r>
                    <w:rPr>
                      <w:rFonts w:hint="eastAsia"/>
                      <w:color w:val="auto"/>
                      <w:szCs w:val="21"/>
                    </w:rPr>
                    <w:t>约313</w:t>
                  </w:r>
                </w:p>
              </w:tc>
            </w:tr>
            <w:tr w14:paraId="125C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5EC791C1">
                  <w:pPr>
                    <w:widowControl/>
                    <w:jc w:val="center"/>
                    <w:rPr>
                      <w:color w:val="auto"/>
                      <w:szCs w:val="21"/>
                    </w:rPr>
                  </w:pPr>
                  <w:r>
                    <w:rPr>
                      <w:rFonts w:hint="eastAsia"/>
                      <w:color w:val="auto"/>
                      <w:szCs w:val="21"/>
                    </w:rPr>
                    <w:t>东堡村村委</w:t>
                  </w:r>
                </w:p>
              </w:tc>
              <w:tc>
                <w:tcPr>
                  <w:tcW w:w="766" w:type="pct"/>
                  <w:vAlign w:val="center"/>
                </w:tcPr>
                <w:p w14:paraId="292F93B3">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120.414305</w:t>
                  </w:r>
                </w:p>
              </w:tc>
              <w:tc>
                <w:tcPr>
                  <w:tcW w:w="750" w:type="pct"/>
                  <w:vAlign w:val="center"/>
                </w:tcPr>
                <w:p w14:paraId="2141F3CD">
                  <w:pPr>
                    <w:jc w:val="center"/>
                    <w:rPr>
                      <w:color w:val="auto"/>
                      <w:szCs w:val="21"/>
                    </w:rPr>
                  </w:pPr>
                  <w:r>
                    <w:rPr>
                      <w:rFonts w:hint="eastAsia"/>
                      <w:color w:val="auto"/>
                      <w:szCs w:val="21"/>
                    </w:rPr>
                    <w:t>30.769833</w:t>
                  </w:r>
                </w:p>
              </w:tc>
              <w:tc>
                <w:tcPr>
                  <w:tcW w:w="480" w:type="pct"/>
                  <w:vAlign w:val="center"/>
                </w:tcPr>
                <w:p w14:paraId="7A32B4AB">
                  <w:pPr>
                    <w:widowControl/>
                    <w:jc w:val="center"/>
                    <w:rPr>
                      <w:color w:val="auto"/>
                      <w:szCs w:val="21"/>
                    </w:rPr>
                  </w:pPr>
                  <w:r>
                    <w:rPr>
                      <w:rFonts w:hint="eastAsia"/>
                      <w:color w:val="auto"/>
                      <w:szCs w:val="21"/>
                    </w:rPr>
                    <w:t>村委</w:t>
                  </w:r>
                </w:p>
              </w:tc>
              <w:tc>
                <w:tcPr>
                  <w:tcW w:w="598" w:type="pct"/>
                  <w:vAlign w:val="center"/>
                </w:tcPr>
                <w:p w14:paraId="064A02FB">
                  <w:pPr>
                    <w:widowControl/>
                    <w:jc w:val="center"/>
                    <w:rPr>
                      <w:color w:val="auto"/>
                      <w:szCs w:val="21"/>
                    </w:rPr>
                  </w:pPr>
                  <w:r>
                    <w:rPr>
                      <w:rFonts w:hint="eastAsia"/>
                      <w:color w:val="auto"/>
                      <w:szCs w:val="21"/>
                    </w:rPr>
                    <w:t>工作人员约15人</w:t>
                  </w:r>
                </w:p>
              </w:tc>
              <w:tc>
                <w:tcPr>
                  <w:tcW w:w="995" w:type="pct"/>
                  <w:vMerge w:val="continue"/>
                  <w:vAlign w:val="center"/>
                </w:tcPr>
                <w:p w14:paraId="6060F83A">
                  <w:pPr>
                    <w:widowControl/>
                    <w:jc w:val="center"/>
                    <w:rPr>
                      <w:color w:val="auto"/>
                      <w:szCs w:val="21"/>
                    </w:rPr>
                  </w:pPr>
                </w:p>
              </w:tc>
              <w:tc>
                <w:tcPr>
                  <w:tcW w:w="338" w:type="pct"/>
                  <w:vAlign w:val="center"/>
                </w:tcPr>
                <w:p w14:paraId="031FA6E2">
                  <w:pPr>
                    <w:widowControl/>
                    <w:jc w:val="center"/>
                    <w:rPr>
                      <w:color w:val="auto"/>
                      <w:szCs w:val="21"/>
                    </w:rPr>
                  </w:pPr>
                  <w:r>
                    <w:rPr>
                      <w:rFonts w:hint="eastAsia"/>
                      <w:color w:val="auto"/>
                      <w:szCs w:val="21"/>
                    </w:rPr>
                    <w:t>NE</w:t>
                  </w:r>
                </w:p>
              </w:tc>
              <w:tc>
                <w:tcPr>
                  <w:tcW w:w="593" w:type="pct"/>
                  <w:vAlign w:val="center"/>
                </w:tcPr>
                <w:p w14:paraId="7051EF76">
                  <w:pPr>
                    <w:widowControl/>
                    <w:jc w:val="center"/>
                    <w:rPr>
                      <w:color w:val="auto"/>
                      <w:szCs w:val="21"/>
                    </w:rPr>
                  </w:pPr>
                  <w:r>
                    <w:rPr>
                      <w:rFonts w:hint="eastAsia"/>
                      <w:color w:val="auto"/>
                      <w:szCs w:val="21"/>
                    </w:rPr>
                    <w:t>约285</w:t>
                  </w:r>
                </w:p>
              </w:tc>
            </w:tr>
            <w:tr w14:paraId="469A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7DE923F9">
                  <w:pPr>
                    <w:widowControl/>
                    <w:jc w:val="center"/>
                    <w:rPr>
                      <w:color w:val="auto"/>
                      <w:szCs w:val="21"/>
                    </w:rPr>
                  </w:pPr>
                  <w:r>
                    <w:rPr>
                      <w:rFonts w:hint="eastAsia"/>
                      <w:color w:val="auto"/>
                      <w:szCs w:val="21"/>
                    </w:rPr>
                    <w:t>马家兜</w:t>
                  </w:r>
                </w:p>
              </w:tc>
              <w:tc>
                <w:tcPr>
                  <w:tcW w:w="766" w:type="pct"/>
                  <w:vAlign w:val="center"/>
                </w:tcPr>
                <w:p w14:paraId="7415FCA4">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120.410866</w:t>
                  </w:r>
                </w:p>
              </w:tc>
              <w:tc>
                <w:tcPr>
                  <w:tcW w:w="750" w:type="pct"/>
                  <w:vAlign w:val="center"/>
                </w:tcPr>
                <w:p w14:paraId="0A8A2315">
                  <w:pPr>
                    <w:jc w:val="center"/>
                    <w:rPr>
                      <w:color w:val="auto"/>
                      <w:szCs w:val="21"/>
                    </w:rPr>
                  </w:pPr>
                  <w:r>
                    <w:rPr>
                      <w:rFonts w:hint="eastAsia"/>
                      <w:color w:val="auto"/>
                      <w:szCs w:val="21"/>
                    </w:rPr>
                    <w:t>30.771330</w:t>
                  </w:r>
                </w:p>
              </w:tc>
              <w:tc>
                <w:tcPr>
                  <w:tcW w:w="480" w:type="pct"/>
                  <w:vAlign w:val="center"/>
                </w:tcPr>
                <w:p w14:paraId="707087B6">
                  <w:pPr>
                    <w:widowControl/>
                    <w:jc w:val="center"/>
                    <w:rPr>
                      <w:color w:val="auto"/>
                      <w:szCs w:val="21"/>
                    </w:rPr>
                  </w:pPr>
                  <w:r>
                    <w:rPr>
                      <w:rFonts w:hint="eastAsia"/>
                      <w:color w:val="auto"/>
                      <w:szCs w:val="21"/>
                    </w:rPr>
                    <w:t>民居</w:t>
                  </w:r>
                </w:p>
              </w:tc>
              <w:tc>
                <w:tcPr>
                  <w:tcW w:w="598" w:type="pct"/>
                  <w:vAlign w:val="center"/>
                </w:tcPr>
                <w:p w14:paraId="28133BF7">
                  <w:pPr>
                    <w:widowControl/>
                    <w:jc w:val="center"/>
                    <w:rPr>
                      <w:color w:val="auto"/>
                      <w:szCs w:val="21"/>
                    </w:rPr>
                  </w:pPr>
                  <w:r>
                    <w:rPr>
                      <w:rFonts w:hint="eastAsia"/>
                      <w:color w:val="auto"/>
                      <w:szCs w:val="21"/>
                    </w:rPr>
                    <w:t>约60户</w:t>
                  </w:r>
                </w:p>
              </w:tc>
              <w:tc>
                <w:tcPr>
                  <w:tcW w:w="995" w:type="pct"/>
                  <w:vMerge w:val="continue"/>
                  <w:vAlign w:val="center"/>
                </w:tcPr>
                <w:p w14:paraId="04F04D79">
                  <w:pPr>
                    <w:widowControl/>
                    <w:jc w:val="center"/>
                    <w:rPr>
                      <w:color w:val="auto"/>
                      <w:szCs w:val="21"/>
                    </w:rPr>
                  </w:pPr>
                </w:p>
              </w:tc>
              <w:tc>
                <w:tcPr>
                  <w:tcW w:w="338" w:type="pct"/>
                  <w:vAlign w:val="center"/>
                </w:tcPr>
                <w:p w14:paraId="11D8CD2A">
                  <w:pPr>
                    <w:widowControl/>
                    <w:jc w:val="center"/>
                    <w:rPr>
                      <w:color w:val="auto"/>
                      <w:szCs w:val="21"/>
                    </w:rPr>
                  </w:pPr>
                  <w:r>
                    <w:rPr>
                      <w:rFonts w:hint="eastAsia"/>
                      <w:color w:val="auto"/>
                      <w:szCs w:val="21"/>
                    </w:rPr>
                    <w:t>NE</w:t>
                  </w:r>
                </w:p>
              </w:tc>
              <w:tc>
                <w:tcPr>
                  <w:tcW w:w="593" w:type="pct"/>
                  <w:vAlign w:val="center"/>
                </w:tcPr>
                <w:p w14:paraId="45436C32">
                  <w:pPr>
                    <w:widowControl/>
                    <w:jc w:val="center"/>
                    <w:rPr>
                      <w:color w:val="auto"/>
                      <w:szCs w:val="21"/>
                    </w:rPr>
                  </w:pPr>
                  <w:r>
                    <w:rPr>
                      <w:rFonts w:hint="eastAsia"/>
                      <w:color w:val="auto"/>
                      <w:szCs w:val="21"/>
                    </w:rPr>
                    <w:t>约325</w:t>
                  </w:r>
                </w:p>
              </w:tc>
            </w:tr>
            <w:tr w14:paraId="36B3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75" w:type="pct"/>
                  <w:vAlign w:val="center"/>
                </w:tcPr>
                <w:p w14:paraId="321BA852">
                  <w:pPr>
                    <w:widowControl/>
                    <w:jc w:val="center"/>
                    <w:rPr>
                      <w:color w:val="auto"/>
                      <w:szCs w:val="21"/>
                    </w:rPr>
                  </w:pPr>
                  <w:r>
                    <w:rPr>
                      <w:rFonts w:hint="eastAsia"/>
                      <w:color w:val="auto"/>
                      <w:szCs w:val="21"/>
                    </w:rPr>
                    <w:t>花林城区</w:t>
                  </w:r>
                </w:p>
              </w:tc>
              <w:tc>
                <w:tcPr>
                  <w:tcW w:w="766" w:type="pct"/>
                  <w:vAlign w:val="center"/>
                </w:tcPr>
                <w:p w14:paraId="6A15330B">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120.413913</w:t>
                  </w:r>
                </w:p>
              </w:tc>
              <w:tc>
                <w:tcPr>
                  <w:tcW w:w="750" w:type="pct"/>
                  <w:vAlign w:val="center"/>
                </w:tcPr>
                <w:p w14:paraId="4A54245B">
                  <w:pPr>
                    <w:jc w:val="center"/>
                    <w:rPr>
                      <w:color w:val="auto"/>
                      <w:szCs w:val="21"/>
                    </w:rPr>
                  </w:pPr>
                  <w:r>
                    <w:rPr>
                      <w:rFonts w:hint="eastAsia"/>
                      <w:color w:val="auto"/>
                      <w:szCs w:val="21"/>
                    </w:rPr>
                    <w:t>30.764453</w:t>
                  </w:r>
                </w:p>
              </w:tc>
              <w:tc>
                <w:tcPr>
                  <w:tcW w:w="480" w:type="pct"/>
                  <w:vAlign w:val="center"/>
                </w:tcPr>
                <w:p w14:paraId="19039E76">
                  <w:pPr>
                    <w:widowControl/>
                    <w:jc w:val="center"/>
                    <w:rPr>
                      <w:color w:val="auto"/>
                      <w:szCs w:val="21"/>
                    </w:rPr>
                  </w:pPr>
                  <w:r>
                    <w:rPr>
                      <w:rFonts w:hint="eastAsia"/>
                      <w:color w:val="auto"/>
                      <w:szCs w:val="21"/>
                    </w:rPr>
                    <w:t>民居、商业</w:t>
                  </w:r>
                </w:p>
              </w:tc>
              <w:tc>
                <w:tcPr>
                  <w:tcW w:w="598" w:type="pct"/>
                  <w:vAlign w:val="center"/>
                </w:tcPr>
                <w:p w14:paraId="3AE2E1D2">
                  <w:pPr>
                    <w:widowControl/>
                    <w:jc w:val="center"/>
                    <w:rPr>
                      <w:color w:val="auto"/>
                      <w:szCs w:val="21"/>
                    </w:rPr>
                  </w:pPr>
                  <w:r>
                    <w:rPr>
                      <w:rFonts w:hint="eastAsia"/>
                      <w:color w:val="auto"/>
                      <w:szCs w:val="21"/>
                    </w:rPr>
                    <w:t>约50户</w:t>
                  </w:r>
                </w:p>
              </w:tc>
              <w:tc>
                <w:tcPr>
                  <w:tcW w:w="995" w:type="pct"/>
                  <w:vMerge w:val="continue"/>
                  <w:vAlign w:val="center"/>
                </w:tcPr>
                <w:p w14:paraId="2CFDFDAC">
                  <w:pPr>
                    <w:widowControl/>
                    <w:jc w:val="center"/>
                    <w:rPr>
                      <w:color w:val="auto"/>
                      <w:szCs w:val="21"/>
                    </w:rPr>
                  </w:pPr>
                </w:p>
              </w:tc>
              <w:tc>
                <w:tcPr>
                  <w:tcW w:w="338" w:type="pct"/>
                  <w:vAlign w:val="center"/>
                </w:tcPr>
                <w:p w14:paraId="26F974CB">
                  <w:pPr>
                    <w:widowControl/>
                    <w:jc w:val="center"/>
                    <w:rPr>
                      <w:color w:val="auto"/>
                      <w:szCs w:val="21"/>
                    </w:rPr>
                  </w:pPr>
                  <w:r>
                    <w:rPr>
                      <w:rFonts w:hint="eastAsia"/>
                      <w:color w:val="auto"/>
                      <w:szCs w:val="21"/>
                    </w:rPr>
                    <w:t>SE</w:t>
                  </w:r>
                </w:p>
              </w:tc>
              <w:tc>
                <w:tcPr>
                  <w:tcW w:w="593" w:type="pct"/>
                  <w:vAlign w:val="center"/>
                </w:tcPr>
                <w:p w14:paraId="4B026A42">
                  <w:pPr>
                    <w:widowControl/>
                    <w:jc w:val="center"/>
                    <w:rPr>
                      <w:color w:val="auto"/>
                      <w:szCs w:val="21"/>
                    </w:rPr>
                  </w:pPr>
                  <w:r>
                    <w:rPr>
                      <w:rFonts w:hint="eastAsia"/>
                      <w:color w:val="auto"/>
                      <w:szCs w:val="21"/>
                    </w:rPr>
                    <w:t>约340</w:t>
                  </w:r>
                </w:p>
              </w:tc>
            </w:tr>
            <w:tr w14:paraId="3D50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75" w:type="pct"/>
                  <w:vAlign w:val="center"/>
                </w:tcPr>
                <w:p w14:paraId="1810EAAA">
                  <w:pPr>
                    <w:widowControl/>
                    <w:jc w:val="center"/>
                    <w:rPr>
                      <w:color w:val="auto"/>
                      <w:szCs w:val="21"/>
                    </w:rPr>
                  </w:pPr>
                  <w:r>
                    <w:rPr>
                      <w:rFonts w:hint="eastAsia"/>
                      <w:color w:val="auto"/>
                      <w:szCs w:val="21"/>
                    </w:rPr>
                    <w:t>在建小区</w:t>
                  </w:r>
                </w:p>
              </w:tc>
              <w:tc>
                <w:tcPr>
                  <w:tcW w:w="766" w:type="pct"/>
                  <w:vAlign w:val="center"/>
                </w:tcPr>
                <w:p w14:paraId="5C074D5A">
                  <w:pPr>
                    <w:pStyle w:val="192"/>
                    <w:spacing w:line="240" w:lineRule="auto"/>
                    <w:jc w:val="center"/>
                    <w:rPr>
                      <w:rFonts w:ascii="Times New Roman" w:hAnsi="Times New Roman"/>
                      <w:b w:val="0"/>
                      <w:color w:val="auto"/>
                      <w:sz w:val="21"/>
                      <w:szCs w:val="21"/>
                      <w:lang w:val="en-US"/>
                    </w:rPr>
                  </w:pPr>
                  <w:r>
                    <w:rPr>
                      <w:rFonts w:hint="eastAsia" w:ascii="Times New Roman" w:hAnsi="Times New Roman"/>
                      <w:b w:val="0"/>
                      <w:color w:val="auto"/>
                      <w:sz w:val="21"/>
                      <w:szCs w:val="21"/>
                      <w:lang w:val="en-US"/>
                    </w:rPr>
                    <w:t>120.407347</w:t>
                  </w:r>
                </w:p>
              </w:tc>
              <w:tc>
                <w:tcPr>
                  <w:tcW w:w="750" w:type="pct"/>
                  <w:vAlign w:val="center"/>
                </w:tcPr>
                <w:p w14:paraId="1F2F6E7B">
                  <w:pPr>
                    <w:jc w:val="center"/>
                    <w:rPr>
                      <w:color w:val="auto"/>
                      <w:szCs w:val="21"/>
                    </w:rPr>
                  </w:pPr>
                  <w:r>
                    <w:rPr>
                      <w:rFonts w:hint="eastAsia"/>
                      <w:color w:val="auto"/>
                      <w:szCs w:val="21"/>
                    </w:rPr>
                    <w:t>30.763562</w:t>
                  </w:r>
                </w:p>
              </w:tc>
              <w:tc>
                <w:tcPr>
                  <w:tcW w:w="480" w:type="pct"/>
                  <w:vAlign w:val="center"/>
                </w:tcPr>
                <w:p w14:paraId="79AE3707">
                  <w:pPr>
                    <w:widowControl/>
                    <w:jc w:val="center"/>
                    <w:rPr>
                      <w:color w:val="auto"/>
                      <w:szCs w:val="21"/>
                    </w:rPr>
                  </w:pPr>
                  <w:r>
                    <w:rPr>
                      <w:rFonts w:hint="eastAsia"/>
                      <w:color w:val="auto"/>
                      <w:szCs w:val="21"/>
                    </w:rPr>
                    <w:t>民居</w:t>
                  </w:r>
                </w:p>
              </w:tc>
              <w:tc>
                <w:tcPr>
                  <w:tcW w:w="598" w:type="pct"/>
                  <w:vAlign w:val="center"/>
                </w:tcPr>
                <w:p w14:paraId="2B81F949">
                  <w:pPr>
                    <w:widowControl/>
                    <w:jc w:val="center"/>
                    <w:rPr>
                      <w:color w:val="auto"/>
                      <w:szCs w:val="21"/>
                    </w:rPr>
                  </w:pPr>
                  <w:r>
                    <w:rPr>
                      <w:rFonts w:hint="eastAsia"/>
                      <w:color w:val="auto"/>
                      <w:szCs w:val="21"/>
                    </w:rPr>
                    <w:t>约30户</w:t>
                  </w:r>
                </w:p>
              </w:tc>
              <w:tc>
                <w:tcPr>
                  <w:tcW w:w="995" w:type="pct"/>
                  <w:vMerge w:val="continue"/>
                  <w:vAlign w:val="center"/>
                </w:tcPr>
                <w:p w14:paraId="3445352B">
                  <w:pPr>
                    <w:widowControl/>
                    <w:jc w:val="center"/>
                    <w:rPr>
                      <w:color w:val="auto"/>
                      <w:szCs w:val="21"/>
                    </w:rPr>
                  </w:pPr>
                </w:p>
              </w:tc>
              <w:tc>
                <w:tcPr>
                  <w:tcW w:w="338" w:type="pct"/>
                  <w:vAlign w:val="center"/>
                </w:tcPr>
                <w:p w14:paraId="5E158FAE">
                  <w:pPr>
                    <w:widowControl/>
                    <w:jc w:val="center"/>
                    <w:rPr>
                      <w:color w:val="auto"/>
                      <w:szCs w:val="21"/>
                    </w:rPr>
                  </w:pPr>
                  <w:r>
                    <w:rPr>
                      <w:rFonts w:hint="eastAsia"/>
                      <w:color w:val="auto"/>
                      <w:szCs w:val="21"/>
                    </w:rPr>
                    <w:t>SW</w:t>
                  </w:r>
                </w:p>
              </w:tc>
              <w:tc>
                <w:tcPr>
                  <w:tcW w:w="593" w:type="pct"/>
                  <w:vAlign w:val="center"/>
                </w:tcPr>
                <w:p w14:paraId="7C35F6FA">
                  <w:pPr>
                    <w:widowControl/>
                    <w:jc w:val="center"/>
                    <w:rPr>
                      <w:color w:val="auto"/>
                      <w:szCs w:val="21"/>
                    </w:rPr>
                  </w:pPr>
                  <w:r>
                    <w:rPr>
                      <w:rFonts w:hint="eastAsia"/>
                      <w:color w:val="auto"/>
                      <w:szCs w:val="21"/>
                    </w:rPr>
                    <w:t>约451</w:t>
                  </w:r>
                </w:p>
              </w:tc>
            </w:tr>
          </w:tbl>
          <w:p w14:paraId="1233A1E7">
            <w:pPr>
              <w:tabs>
                <w:tab w:val="left" w:pos="993"/>
              </w:tabs>
              <w:adjustRightInd w:val="0"/>
              <w:spacing w:line="360" w:lineRule="auto"/>
              <w:rPr>
                <w:b/>
                <w:bCs/>
                <w:color w:val="auto"/>
                <w:sz w:val="24"/>
              </w:rPr>
            </w:pPr>
            <w:r>
              <w:rPr>
                <w:rFonts w:eastAsia="黑体"/>
                <w:b/>
                <w:bCs/>
                <w:color w:val="auto"/>
                <w:sz w:val="24"/>
              </w:rPr>
              <w:t>3.</w:t>
            </w:r>
            <w:r>
              <w:rPr>
                <w:rFonts w:hint="eastAsia" w:eastAsia="黑体"/>
                <w:b/>
                <w:bCs/>
                <w:color w:val="auto"/>
                <w:sz w:val="24"/>
              </w:rPr>
              <w:t>2</w:t>
            </w:r>
            <w:r>
              <w:rPr>
                <w:rFonts w:eastAsia="黑体"/>
                <w:b/>
                <w:bCs/>
                <w:color w:val="auto"/>
                <w:sz w:val="24"/>
              </w:rPr>
              <w:t>.</w:t>
            </w:r>
            <w:r>
              <w:rPr>
                <w:rFonts w:hint="eastAsia" w:eastAsia="黑体"/>
                <w:b/>
                <w:bCs/>
                <w:color w:val="auto"/>
                <w:sz w:val="24"/>
              </w:rPr>
              <w:t xml:space="preserve">2 </w:t>
            </w:r>
            <w:r>
              <w:rPr>
                <w:rFonts w:hint="eastAsia"/>
                <w:b/>
                <w:bCs/>
                <w:color w:val="auto"/>
                <w:sz w:val="24"/>
              </w:rPr>
              <w:t>声环境</w:t>
            </w:r>
          </w:p>
          <w:p w14:paraId="61D6E339">
            <w:pPr>
              <w:adjustRightInd w:val="0"/>
              <w:snapToGrid w:val="0"/>
              <w:spacing w:line="360" w:lineRule="auto"/>
              <w:ind w:firstLine="480" w:firstLineChars="200"/>
              <w:rPr>
                <w:b/>
                <w:bCs/>
                <w:color w:val="auto"/>
                <w:sz w:val="24"/>
              </w:rPr>
            </w:pPr>
            <w:r>
              <w:rPr>
                <w:rFonts w:hint="eastAsia"/>
                <w:color w:val="auto"/>
                <w:sz w:val="24"/>
              </w:rPr>
              <w:t>根据现场调查，项目厂界外50m范围内无声环境保护目标。</w:t>
            </w:r>
          </w:p>
          <w:p w14:paraId="0BD7E66A">
            <w:pPr>
              <w:tabs>
                <w:tab w:val="left" w:pos="993"/>
              </w:tabs>
              <w:adjustRightInd w:val="0"/>
              <w:spacing w:line="360" w:lineRule="auto"/>
              <w:rPr>
                <w:b/>
                <w:bCs/>
                <w:color w:val="auto"/>
                <w:sz w:val="24"/>
              </w:rPr>
            </w:pPr>
            <w:r>
              <w:rPr>
                <w:rFonts w:eastAsia="黑体"/>
                <w:b/>
                <w:bCs/>
                <w:color w:val="auto"/>
                <w:sz w:val="24"/>
              </w:rPr>
              <w:t>3.</w:t>
            </w:r>
            <w:r>
              <w:rPr>
                <w:rFonts w:hint="eastAsia" w:eastAsia="黑体"/>
                <w:b/>
                <w:bCs/>
                <w:color w:val="auto"/>
                <w:sz w:val="24"/>
              </w:rPr>
              <w:t>2</w:t>
            </w:r>
            <w:r>
              <w:rPr>
                <w:rFonts w:eastAsia="黑体"/>
                <w:b/>
                <w:bCs/>
                <w:color w:val="auto"/>
                <w:sz w:val="24"/>
              </w:rPr>
              <w:t>.</w:t>
            </w:r>
            <w:r>
              <w:rPr>
                <w:rFonts w:hint="eastAsia" w:eastAsia="黑体"/>
                <w:b/>
                <w:bCs/>
                <w:color w:val="auto"/>
                <w:sz w:val="24"/>
              </w:rPr>
              <w:t xml:space="preserve">3 </w:t>
            </w:r>
            <w:r>
              <w:rPr>
                <w:rFonts w:hint="eastAsia"/>
                <w:b/>
                <w:bCs/>
                <w:color w:val="auto"/>
                <w:sz w:val="24"/>
              </w:rPr>
              <w:t>地下水环境</w:t>
            </w:r>
          </w:p>
          <w:p w14:paraId="74AF28C7">
            <w:pPr>
              <w:adjustRightInd w:val="0"/>
              <w:snapToGrid w:val="0"/>
              <w:spacing w:line="360" w:lineRule="auto"/>
              <w:ind w:firstLine="480" w:firstLineChars="200"/>
              <w:rPr>
                <w:color w:val="auto"/>
                <w:sz w:val="24"/>
              </w:rPr>
            </w:pPr>
            <w:r>
              <w:rPr>
                <w:color w:val="auto"/>
                <w:sz w:val="24"/>
              </w:rPr>
              <w:t>厂界500</w:t>
            </w:r>
            <w:r>
              <w:rPr>
                <w:rFonts w:hint="eastAsia"/>
                <w:color w:val="auto"/>
                <w:sz w:val="24"/>
              </w:rPr>
              <w:t>m</w:t>
            </w:r>
            <w:r>
              <w:rPr>
                <w:color w:val="auto"/>
                <w:sz w:val="24"/>
              </w:rPr>
              <w:t>范围内无地下水集中式饮用水水源和热水、矿泉水、温泉等特殊地下水资源。</w:t>
            </w:r>
          </w:p>
          <w:p w14:paraId="7EBC43F0">
            <w:pPr>
              <w:tabs>
                <w:tab w:val="left" w:pos="993"/>
              </w:tabs>
              <w:adjustRightInd w:val="0"/>
              <w:spacing w:line="360" w:lineRule="auto"/>
              <w:rPr>
                <w:b/>
                <w:bCs/>
                <w:color w:val="auto"/>
                <w:sz w:val="24"/>
              </w:rPr>
            </w:pPr>
            <w:r>
              <w:rPr>
                <w:rFonts w:eastAsia="黑体"/>
                <w:b/>
                <w:bCs/>
                <w:color w:val="auto"/>
                <w:sz w:val="24"/>
              </w:rPr>
              <w:t>3.</w:t>
            </w:r>
            <w:r>
              <w:rPr>
                <w:rFonts w:hint="eastAsia" w:eastAsia="黑体"/>
                <w:b/>
                <w:bCs/>
                <w:color w:val="auto"/>
                <w:sz w:val="24"/>
              </w:rPr>
              <w:t>2</w:t>
            </w:r>
            <w:r>
              <w:rPr>
                <w:rFonts w:eastAsia="黑体"/>
                <w:b/>
                <w:bCs/>
                <w:color w:val="auto"/>
                <w:sz w:val="24"/>
              </w:rPr>
              <w:t>.</w:t>
            </w:r>
            <w:r>
              <w:rPr>
                <w:rFonts w:hint="eastAsia" w:eastAsia="黑体"/>
                <w:b/>
                <w:bCs/>
                <w:color w:val="auto"/>
                <w:sz w:val="24"/>
              </w:rPr>
              <w:t xml:space="preserve">4 </w:t>
            </w:r>
            <w:r>
              <w:rPr>
                <w:rFonts w:hint="eastAsia"/>
                <w:b/>
                <w:bCs/>
                <w:color w:val="auto"/>
                <w:sz w:val="24"/>
              </w:rPr>
              <w:t>生态环境</w:t>
            </w:r>
          </w:p>
          <w:p w14:paraId="56FFDB90">
            <w:pPr>
              <w:adjustRightInd w:val="0"/>
              <w:snapToGrid w:val="0"/>
              <w:spacing w:line="360" w:lineRule="auto"/>
              <w:ind w:firstLine="480" w:firstLineChars="200"/>
              <w:rPr>
                <w:color w:val="auto"/>
                <w:sz w:val="24"/>
              </w:rPr>
            </w:pPr>
            <w:r>
              <w:rPr>
                <w:rFonts w:hint="eastAsia"/>
                <w:color w:val="auto"/>
                <w:sz w:val="24"/>
              </w:rPr>
              <w:t>本项目位于浙江省湖州市南浔区练市镇水口村东堡工业区，利用现有工业用地，不涉及自然保护区、风景名胜区、珍惜濒危物种等敏感地区，不涉及生态环境保护目标。</w:t>
            </w:r>
          </w:p>
        </w:tc>
      </w:tr>
      <w:tr w14:paraId="48335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Mar>
              <w:left w:w="28" w:type="dxa"/>
              <w:right w:w="28" w:type="dxa"/>
            </w:tcMar>
            <w:vAlign w:val="center"/>
          </w:tcPr>
          <w:p w14:paraId="2FE9FFC2">
            <w:pPr>
              <w:adjustRightInd w:val="0"/>
              <w:snapToGrid w:val="0"/>
              <w:jc w:val="center"/>
              <w:rPr>
                <w:color w:val="auto"/>
                <w:kern w:val="0"/>
                <w:sz w:val="24"/>
              </w:rPr>
            </w:pPr>
            <w:r>
              <w:rPr>
                <w:color w:val="auto"/>
                <w:kern w:val="0"/>
                <w:sz w:val="24"/>
              </w:rPr>
              <w:t>污染</w:t>
            </w:r>
          </w:p>
          <w:p w14:paraId="3F057E4F">
            <w:pPr>
              <w:adjustRightInd w:val="0"/>
              <w:snapToGrid w:val="0"/>
              <w:jc w:val="center"/>
              <w:rPr>
                <w:color w:val="auto"/>
                <w:kern w:val="0"/>
                <w:sz w:val="24"/>
              </w:rPr>
            </w:pPr>
            <w:r>
              <w:rPr>
                <w:color w:val="auto"/>
                <w:kern w:val="0"/>
                <w:sz w:val="24"/>
              </w:rPr>
              <w:t>物排</w:t>
            </w:r>
          </w:p>
          <w:p w14:paraId="50CB6574">
            <w:pPr>
              <w:adjustRightInd w:val="0"/>
              <w:snapToGrid w:val="0"/>
              <w:jc w:val="center"/>
              <w:rPr>
                <w:color w:val="auto"/>
                <w:kern w:val="0"/>
                <w:sz w:val="24"/>
              </w:rPr>
            </w:pPr>
            <w:r>
              <w:rPr>
                <w:color w:val="auto"/>
                <w:kern w:val="0"/>
                <w:sz w:val="24"/>
              </w:rPr>
              <w:t>放控</w:t>
            </w:r>
          </w:p>
          <w:p w14:paraId="25FFFB4B">
            <w:pPr>
              <w:adjustRightInd w:val="0"/>
              <w:snapToGrid w:val="0"/>
              <w:jc w:val="center"/>
              <w:rPr>
                <w:color w:val="auto"/>
                <w:kern w:val="0"/>
                <w:sz w:val="24"/>
              </w:rPr>
            </w:pPr>
            <w:r>
              <w:rPr>
                <w:color w:val="auto"/>
                <w:kern w:val="0"/>
                <w:sz w:val="24"/>
              </w:rPr>
              <w:t>制标</w:t>
            </w:r>
          </w:p>
          <w:p w14:paraId="68583227">
            <w:pPr>
              <w:adjustRightInd w:val="0"/>
              <w:snapToGrid w:val="0"/>
              <w:jc w:val="center"/>
              <w:rPr>
                <w:color w:val="auto"/>
                <w:kern w:val="0"/>
                <w:sz w:val="24"/>
              </w:rPr>
            </w:pPr>
            <w:r>
              <w:rPr>
                <w:color w:val="auto"/>
                <w:kern w:val="0"/>
                <w:sz w:val="24"/>
              </w:rPr>
              <w:t>准</w:t>
            </w:r>
          </w:p>
        </w:tc>
        <w:tc>
          <w:tcPr>
            <w:tcW w:w="4755" w:type="pct"/>
            <w:vAlign w:val="center"/>
          </w:tcPr>
          <w:p w14:paraId="1A88EE11">
            <w:pPr>
              <w:numPr>
                <w:ilvl w:val="0"/>
                <w:numId w:val="21"/>
              </w:numPr>
              <w:tabs>
                <w:tab w:val="left" w:pos="993"/>
              </w:tabs>
              <w:adjustRightInd w:val="0"/>
              <w:spacing w:line="360" w:lineRule="auto"/>
              <w:rPr>
                <w:b/>
                <w:bCs/>
                <w:color w:val="auto"/>
                <w:sz w:val="24"/>
              </w:rPr>
            </w:pPr>
            <w:r>
              <w:rPr>
                <w:b/>
                <w:bCs/>
                <w:color w:val="auto"/>
                <w:sz w:val="24"/>
              </w:rPr>
              <w:t>污染物排放控制标准</w:t>
            </w:r>
          </w:p>
          <w:p w14:paraId="1221CB3C">
            <w:pPr>
              <w:numPr>
                <w:ilvl w:val="0"/>
                <w:numId w:val="24"/>
              </w:numPr>
              <w:tabs>
                <w:tab w:val="left" w:pos="993"/>
              </w:tabs>
              <w:adjustRightInd w:val="0"/>
              <w:spacing w:line="360" w:lineRule="auto"/>
              <w:rPr>
                <w:b/>
                <w:bCs/>
                <w:color w:val="auto"/>
                <w:sz w:val="24"/>
              </w:rPr>
            </w:pPr>
            <w:r>
              <w:rPr>
                <w:b/>
                <w:bCs/>
                <w:color w:val="auto"/>
                <w:sz w:val="24"/>
              </w:rPr>
              <w:t>废气</w:t>
            </w:r>
          </w:p>
          <w:p w14:paraId="357E7418">
            <w:pPr>
              <w:tabs>
                <w:tab w:val="left" w:pos="1662"/>
                <w:tab w:val="left" w:pos="7628"/>
              </w:tabs>
              <w:spacing w:line="360" w:lineRule="auto"/>
              <w:ind w:firstLine="480" w:firstLineChars="200"/>
              <w:rPr>
                <w:color w:val="auto"/>
                <w:sz w:val="24"/>
              </w:rPr>
            </w:pPr>
            <w:r>
              <w:rPr>
                <w:rFonts w:hint="eastAsia"/>
                <w:color w:val="auto"/>
                <w:sz w:val="24"/>
              </w:rPr>
              <w:t>本项目产生的配料粉尘（颗粒物）执行《大气污染物综合排放标准》（GB16297-1996）表2中二级标准。挤出废气（非甲烷总烃、氯化氢、氯乙烯）执行</w:t>
            </w:r>
            <w:r>
              <w:rPr>
                <w:color w:val="auto"/>
                <w:sz w:val="24"/>
              </w:rPr>
              <w:t>《大气污染物综合排放标准》</w:t>
            </w:r>
            <w:r>
              <w:rPr>
                <w:color w:val="auto"/>
                <w:sz w:val="24"/>
                <w:u w:color="000000"/>
                <w:lang w:bidi="ar"/>
              </w:rPr>
              <w:t>（</w:t>
            </w:r>
            <w:r>
              <w:rPr>
                <w:color w:val="auto"/>
                <w:sz w:val="24"/>
              </w:rPr>
              <w:t>GB16297-1996）表2中二级标准</w:t>
            </w:r>
            <w:r>
              <w:rPr>
                <w:rFonts w:hint="eastAsia"/>
                <w:color w:val="auto"/>
                <w:sz w:val="24"/>
              </w:rPr>
              <w:t>；项目有机废气排放有一定的气味，臭气浓度排放</w:t>
            </w:r>
            <w:r>
              <w:rPr>
                <w:color w:val="auto"/>
                <w:sz w:val="24"/>
              </w:rPr>
              <w:t>执行《恶臭污染物排放标准》（GB14554-93）中</w:t>
            </w:r>
            <w:r>
              <w:rPr>
                <w:rFonts w:hint="eastAsia"/>
                <w:color w:val="auto"/>
                <w:sz w:val="24"/>
              </w:rPr>
              <w:t>表1中的二级新扩改建标准及表2中相关标准；</w:t>
            </w:r>
            <w:r>
              <w:rPr>
                <w:color w:val="auto"/>
                <w:sz w:val="24"/>
                <w:u w:color="000000"/>
                <w:lang w:bidi="ar"/>
              </w:rPr>
              <w:t>厂区内VOCs无组织排放限值执行《挥发性有机物无组织排放控制标准》（GB 37822-2019）表A.1特别排放限值。</w:t>
            </w:r>
            <w:r>
              <w:rPr>
                <w:rFonts w:hint="eastAsia"/>
                <w:color w:val="auto"/>
                <w:sz w:val="24"/>
              </w:rPr>
              <w:t>具体详见下表3-7~表3-9。</w:t>
            </w:r>
          </w:p>
          <w:p w14:paraId="4F389881">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《大气污染物综合排放标准》（GB16297-1996）</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400"/>
              <w:gridCol w:w="1400"/>
              <w:gridCol w:w="1401"/>
              <w:gridCol w:w="1401"/>
              <w:gridCol w:w="1401"/>
            </w:tblGrid>
            <w:tr w14:paraId="41E5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Merge w:val="restart"/>
                  <w:vAlign w:val="center"/>
                </w:tcPr>
                <w:p w14:paraId="493F7A42">
                  <w:pPr>
                    <w:widowControl/>
                    <w:jc w:val="center"/>
                    <w:rPr>
                      <w:b w:val="0"/>
                      <w:bCs/>
                      <w:color w:val="auto"/>
                      <w:szCs w:val="21"/>
                    </w:rPr>
                  </w:pPr>
                  <w:r>
                    <w:rPr>
                      <w:rFonts w:hint="eastAsia"/>
                      <w:b w:val="0"/>
                      <w:bCs/>
                      <w:color w:val="auto"/>
                      <w:szCs w:val="21"/>
                    </w:rPr>
                    <w:t>污染物</w:t>
                  </w:r>
                </w:p>
              </w:tc>
              <w:tc>
                <w:tcPr>
                  <w:tcW w:w="1400" w:type="dxa"/>
                  <w:vMerge w:val="restart"/>
                  <w:vAlign w:val="center"/>
                </w:tcPr>
                <w:p w14:paraId="2342174F">
                  <w:pPr>
                    <w:widowControl/>
                    <w:jc w:val="center"/>
                    <w:rPr>
                      <w:b w:val="0"/>
                      <w:bCs/>
                      <w:color w:val="auto"/>
                      <w:szCs w:val="21"/>
                    </w:rPr>
                  </w:pPr>
                  <w:r>
                    <w:rPr>
                      <w:rFonts w:hint="eastAsia"/>
                      <w:b w:val="0"/>
                      <w:bCs/>
                      <w:color w:val="auto"/>
                      <w:szCs w:val="21"/>
                    </w:rPr>
                    <w:t>最高允许排放浓度（</w:t>
                  </w:r>
                  <w:r>
                    <w:rPr>
                      <w:rFonts w:hint="eastAsia"/>
                      <w:b w:val="0"/>
                      <w:bCs/>
                      <w:color w:val="auto"/>
                      <w:kern w:val="0"/>
                      <w:szCs w:val="21"/>
                    </w:rPr>
                    <w:t>mg/m</w:t>
                  </w:r>
                  <w:r>
                    <w:rPr>
                      <w:rFonts w:hint="eastAsia"/>
                      <w:b w:val="0"/>
                      <w:bCs/>
                      <w:color w:val="auto"/>
                      <w:kern w:val="0"/>
                      <w:szCs w:val="21"/>
                      <w:vertAlign w:val="superscript"/>
                    </w:rPr>
                    <w:t>3</w:t>
                  </w:r>
                  <w:r>
                    <w:rPr>
                      <w:rFonts w:hint="eastAsia"/>
                      <w:b w:val="0"/>
                      <w:bCs/>
                      <w:color w:val="auto"/>
                      <w:szCs w:val="21"/>
                    </w:rPr>
                    <w:t>）</w:t>
                  </w:r>
                </w:p>
              </w:tc>
              <w:tc>
                <w:tcPr>
                  <w:tcW w:w="2801" w:type="dxa"/>
                  <w:gridSpan w:val="2"/>
                  <w:vAlign w:val="center"/>
                </w:tcPr>
                <w:p w14:paraId="398509AA">
                  <w:pPr>
                    <w:widowControl/>
                    <w:jc w:val="center"/>
                    <w:rPr>
                      <w:b w:val="0"/>
                      <w:bCs/>
                      <w:color w:val="auto"/>
                      <w:szCs w:val="21"/>
                    </w:rPr>
                  </w:pPr>
                  <w:r>
                    <w:rPr>
                      <w:b w:val="0"/>
                      <w:bCs/>
                      <w:color w:val="auto"/>
                    </w:rPr>
                    <w:t>最高允许排放速率（kg/h）</w:t>
                  </w:r>
                </w:p>
              </w:tc>
              <w:tc>
                <w:tcPr>
                  <w:tcW w:w="2802" w:type="dxa"/>
                  <w:gridSpan w:val="2"/>
                  <w:vAlign w:val="center"/>
                </w:tcPr>
                <w:p w14:paraId="3FD0A20A">
                  <w:pPr>
                    <w:widowControl/>
                    <w:jc w:val="center"/>
                    <w:rPr>
                      <w:b w:val="0"/>
                      <w:bCs/>
                      <w:color w:val="auto"/>
                      <w:szCs w:val="21"/>
                    </w:rPr>
                  </w:pPr>
                  <w:r>
                    <w:rPr>
                      <w:b w:val="0"/>
                      <w:bCs/>
                      <w:color w:val="auto"/>
                    </w:rPr>
                    <w:t>无组织排放监控浓度限值</w:t>
                  </w:r>
                </w:p>
              </w:tc>
            </w:tr>
            <w:tr w14:paraId="22E5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Merge w:val="continue"/>
                  <w:vAlign w:val="center"/>
                </w:tcPr>
                <w:p w14:paraId="0F14703B">
                  <w:pPr>
                    <w:widowControl/>
                    <w:jc w:val="center"/>
                    <w:rPr>
                      <w:b w:val="0"/>
                      <w:bCs/>
                      <w:color w:val="auto"/>
                      <w:szCs w:val="21"/>
                    </w:rPr>
                  </w:pPr>
                </w:p>
              </w:tc>
              <w:tc>
                <w:tcPr>
                  <w:tcW w:w="1400" w:type="dxa"/>
                  <w:vMerge w:val="continue"/>
                  <w:vAlign w:val="center"/>
                </w:tcPr>
                <w:p w14:paraId="1E223824">
                  <w:pPr>
                    <w:widowControl/>
                    <w:jc w:val="center"/>
                    <w:rPr>
                      <w:b w:val="0"/>
                      <w:bCs/>
                      <w:color w:val="auto"/>
                      <w:szCs w:val="21"/>
                    </w:rPr>
                  </w:pPr>
                </w:p>
              </w:tc>
              <w:tc>
                <w:tcPr>
                  <w:tcW w:w="1400" w:type="dxa"/>
                  <w:vAlign w:val="center"/>
                </w:tcPr>
                <w:p w14:paraId="21D0731B">
                  <w:pPr>
                    <w:jc w:val="center"/>
                    <w:rPr>
                      <w:b w:val="0"/>
                      <w:bCs/>
                      <w:color w:val="auto"/>
                      <w:szCs w:val="21"/>
                    </w:rPr>
                  </w:pPr>
                  <w:r>
                    <w:rPr>
                      <w:b w:val="0"/>
                      <w:bCs/>
                      <w:color w:val="auto"/>
                    </w:rPr>
                    <w:t>排气筒高度（m）</w:t>
                  </w:r>
                </w:p>
              </w:tc>
              <w:tc>
                <w:tcPr>
                  <w:tcW w:w="1401" w:type="dxa"/>
                  <w:vAlign w:val="center"/>
                </w:tcPr>
                <w:p w14:paraId="54DC84DC">
                  <w:pPr>
                    <w:jc w:val="center"/>
                    <w:rPr>
                      <w:b w:val="0"/>
                      <w:bCs/>
                      <w:color w:val="auto"/>
                      <w:szCs w:val="21"/>
                    </w:rPr>
                  </w:pPr>
                  <w:r>
                    <w:rPr>
                      <w:b w:val="0"/>
                      <w:bCs/>
                      <w:color w:val="auto"/>
                    </w:rPr>
                    <w:t>二级标准</w:t>
                  </w:r>
                </w:p>
              </w:tc>
              <w:tc>
                <w:tcPr>
                  <w:tcW w:w="1401" w:type="dxa"/>
                  <w:vAlign w:val="center"/>
                </w:tcPr>
                <w:p w14:paraId="2AE1D2A6">
                  <w:pPr>
                    <w:jc w:val="center"/>
                    <w:rPr>
                      <w:b w:val="0"/>
                      <w:bCs/>
                      <w:color w:val="auto"/>
                      <w:szCs w:val="21"/>
                    </w:rPr>
                  </w:pPr>
                  <w:r>
                    <w:rPr>
                      <w:b w:val="0"/>
                      <w:bCs/>
                      <w:color w:val="auto"/>
                    </w:rPr>
                    <w:t>监控点</w:t>
                  </w:r>
                </w:p>
              </w:tc>
              <w:tc>
                <w:tcPr>
                  <w:tcW w:w="1401" w:type="dxa"/>
                  <w:vAlign w:val="center"/>
                </w:tcPr>
                <w:p w14:paraId="345B0545">
                  <w:pPr>
                    <w:jc w:val="center"/>
                    <w:rPr>
                      <w:b w:val="0"/>
                      <w:bCs/>
                      <w:color w:val="auto"/>
                      <w:szCs w:val="21"/>
                    </w:rPr>
                  </w:pPr>
                  <w:r>
                    <w:rPr>
                      <w:b w:val="0"/>
                      <w:bCs/>
                      <w:color w:val="auto"/>
                    </w:rPr>
                    <w:t>浓度mg/m</w:t>
                  </w:r>
                  <w:r>
                    <w:rPr>
                      <w:b w:val="0"/>
                      <w:bCs/>
                      <w:color w:val="auto"/>
                      <w:vertAlign w:val="superscript"/>
                    </w:rPr>
                    <w:t>3</w:t>
                  </w:r>
                </w:p>
              </w:tc>
            </w:tr>
            <w:tr w14:paraId="6E5C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Align w:val="center"/>
                </w:tcPr>
                <w:p w14:paraId="6A155348">
                  <w:pPr>
                    <w:widowControl/>
                    <w:jc w:val="center"/>
                    <w:rPr>
                      <w:color w:val="auto"/>
                      <w:szCs w:val="21"/>
                    </w:rPr>
                  </w:pPr>
                  <w:r>
                    <w:rPr>
                      <w:rFonts w:hint="eastAsia"/>
                      <w:color w:val="auto"/>
                      <w:szCs w:val="21"/>
                    </w:rPr>
                    <w:t>颗粒物</w:t>
                  </w:r>
                </w:p>
              </w:tc>
              <w:tc>
                <w:tcPr>
                  <w:tcW w:w="1400" w:type="dxa"/>
                  <w:vAlign w:val="center"/>
                </w:tcPr>
                <w:p w14:paraId="4F28EB5D">
                  <w:pPr>
                    <w:widowControl/>
                    <w:jc w:val="center"/>
                    <w:rPr>
                      <w:color w:val="auto"/>
                      <w:szCs w:val="21"/>
                    </w:rPr>
                  </w:pPr>
                  <w:r>
                    <w:rPr>
                      <w:rFonts w:hint="eastAsia"/>
                      <w:color w:val="auto"/>
                      <w:szCs w:val="21"/>
                    </w:rPr>
                    <w:t>120</w:t>
                  </w:r>
                </w:p>
              </w:tc>
              <w:tc>
                <w:tcPr>
                  <w:tcW w:w="1400" w:type="dxa"/>
                  <w:vAlign w:val="center"/>
                </w:tcPr>
                <w:p w14:paraId="6FDA3270">
                  <w:pPr>
                    <w:widowControl/>
                    <w:jc w:val="center"/>
                    <w:rPr>
                      <w:color w:val="auto"/>
                      <w:szCs w:val="21"/>
                    </w:rPr>
                  </w:pPr>
                  <w:r>
                    <w:rPr>
                      <w:rFonts w:hint="eastAsia"/>
                      <w:color w:val="auto"/>
                      <w:szCs w:val="21"/>
                    </w:rPr>
                    <w:t>15</w:t>
                  </w:r>
                </w:p>
              </w:tc>
              <w:tc>
                <w:tcPr>
                  <w:tcW w:w="1401" w:type="dxa"/>
                  <w:vAlign w:val="center"/>
                </w:tcPr>
                <w:p w14:paraId="20CDE2DB">
                  <w:pPr>
                    <w:widowControl/>
                    <w:jc w:val="center"/>
                    <w:rPr>
                      <w:color w:val="auto"/>
                      <w:szCs w:val="21"/>
                    </w:rPr>
                  </w:pPr>
                  <w:r>
                    <w:rPr>
                      <w:rFonts w:hint="eastAsia"/>
                      <w:color w:val="auto"/>
                      <w:szCs w:val="21"/>
                    </w:rPr>
                    <w:t>3.5</w:t>
                  </w:r>
                </w:p>
              </w:tc>
              <w:tc>
                <w:tcPr>
                  <w:tcW w:w="1401" w:type="dxa"/>
                  <w:vMerge w:val="restart"/>
                  <w:vAlign w:val="center"/>
                </w:tcPr>
                <w:p w14:paraId="1584C241">
                  <w:pPr>
                    <w:widowControl/>
                    <w:jc w:val="center"/>
                    <w:rPr>
                      <w:color w:val="auto"/>
                      <w:szCs w:val="21"/>
                    </w:rPr>
                  </w:pPr>
                  <w:r>
                    <w:rPr>
                      <w:rFonts w:hint="eastAsia"/>
                      <w:color w:val="auto"/>
                      <w:szCs w:val="21"/>
                    </w:rPr>
                    <w:t>周界外浓度最高点</w:t>
                  </w:r>
                </w:p>
              </w:tc>
              <w:tc>
                <w:tcPr>
                  <w:tcW w:w="1401" w:type="dxa"/>
                  <w:vAlign w:val="center"/>
                </w:tcPr>
                <w:p w14:paraId="211CF129">
                  <w:pPr>
                    <w:widowControl/>
                    <w:jc w:val="center"/>
                    <w:rPr>
                      <w:color w:val="auto"/>
                      <w:szCs w:val="21"/>
                    </w:rPr>
                  </w:pPr>
                  <w:r>
                    <w:rPr>
                      <w:rFonts w:hint="eastAsia"/>
                      <w:color w:val="auto"/>
                      <w:szCs w:val="21"/>
                    </w:rPr>
                    <w:t>1.0</w:t>
                  </w:r>
                </w:p>
              </w:tc>
            </w:tr>
            <w:tr w14:paraId="69F9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Align w:val="center"/>
                </w:tcPr>
                <w:p w14:paraId="6C899E13">
                  <w:pPr>
                    <w:widowControl/>
                    <w:jc w:val="center"/>
                    <w:rPr>
                      <w:color w:val="auto"/>
                      <w:szCs w:val="21"/>
                    </w:rPr>
                  </w:pPr>
                  <w:r>
                    <w:rPr>
                      <w:rFonts w:hint="eastAsia"/>
                      <w:color w:val="auto"/>
                      <w:szCs w:val="21"/>
                    </w:rPr>
                    <w:t>非甲烷总烃</w:t>
                  </w:r>
                </w:p>
              </w:tc>
              <w:tc>
                <w:tcPr>
                  <w:tcW w:w="1400" w:type="dxa"/>
                  <w:vAlign w:val="center"/>
                </w:tcPr>
                <w:p w14:paraId="76822B9F">
                  <w:pPr>
                    <w:widowControl/>
                    <w:jc w:val="center"/>
                    <w:rPr>
                      <w:color w:val="auto"/>
                      <w:szCs w:val="21"/>
                    </w:rPr>
                  </w:pPr>
                  <w:r>
                    <w:rPr>
                      <w:rFonts w:hint="eastAsia"/>
                      <w:color w:val="auto"/>
                      <w:szCs w:val="21"/>
                    </w:rPr>
                    <w:t>120</w:t>
                  </w:r>
                </w:p>
              </w:tc>
              <w:tc>
                <w:tcPr>
                  <w:tcW w:w="1400" w:type="dxa"/>
                  <w:vAlign w:val="center"/>
                </w:tcPr>
                <w:p w14:paraId="7AD0622D">
                  <w:pPr>
                    <w:widowControl/>
                    <w:jc w:val="center"/>
                    <w:rPr>
                      <w:color w:val="auto"/>
                      <w:szCs w:val="21"/>
                    </w:rPr>
                  </w:pPr>
                  <w:r>
                    <w:rPr>
                      <w:rFonts w:hint="eastAsia"/>
                      <w:color w:val="auto"/>
                      <w:szCs w:val="21"/>
                    </w:rPr>
                    <w:t>15</w:t>
                  </w:r>
                </w:p>
              </w:tc>
              <w:tc>
                <w:tcPr>
                  <w:tcW w:w="1401" w:type="dxa"/>
                  <w:vAlign w:val="center"/>
                </w:tcPr>
                <w:p w14:paraId="27535C73">
                  <w:pPr>
                    <w:widowControl/>
                    <w:jc w:val="center"/>
                    <w:rPr>
                      <w:color w:val="auto"/>
                      <w:szCs w:val="21"/>
                    </w:rPr>
                  </w:pPr>
                  <w:r>
                    <w:rPr>
                      <w:rFonts w:hint="eastAsia"/>
                      <w:color w:val="auto"/>
                      <w:szCs w:val="21"/>
                    </w:rPr>
                    <w:t>10</w:t>
                  </w:r>
                </w:p>
              </w:tc>
              <w:tc>
                <w:tcPr>
                  <w:tcW w:w="1401" w:type="dxa"/>
                  <w:vMerge w:val="continue"/>
                  <w:vAlign w:val="center"/>
                </w:tcPr>
                <w:p w14:paraId="440E643F">
                  <w:pPr>
                    <w:widowControl/>
                    <w:jc w:val="center"/>
                    <w:rPr>
                      <w:color w:val="auto"/>
                      <w:szCs w:val="21"/>
                    </w:rPr>
                  </w:pPr>
                </w:p>
              </w:tc>
              <w:tc>
                <w:tcPr>
                  <w:tcW w:w="1401" w:type="dxa"/>
                  <w:vAlign w:val="center"/>
                </w:tcPr>
                <w:p w14:paraId="77288EC3">
                  <w:pPr>
                    <w:widowControl/>
                    <w:jc w:val="center"/>
                    <w:rPr>
                      <w:color w:val="auto"/>
                      <w:szCs w:val="21"/>
                    </w:rPr>
                  </w:pPr>
                  <w:r>
                    <w:rPr>
                      <w:rFonts w:hint="eastAsia"/>
                      <w:color w:val="auto"/>
                      <w:szCs w:val="21"/>
                    </w:rPr>
                    <w:t>4.0</w:t>
                  </w:r>
                </w:p>
              </w:tc>
            </w:tr>
            <w:tr w14:paraId="0EF7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Align w:val="center"/>
                </w:tcPr>
                <w:p w14:paraId="30186447">
                  <w:pPr>
                    <w:widowControl/>
                    <w:jc w:val="center"/>
                    <w:rPr>
                      <w:color w:val="auto"/>
                      <w:szCs w:val="21"/>
                    </w:rPr>
                  </w:pPr>
                  <w:r>
                    <w:rPr>
                      <w:rFonts w:hint="eastAsia"/>
                      <w:color w:val="auto"/>
                      <w:szCs w:val="21"/>
                    </w:rPr>
                    <w:t>氯化氢</w:t>
                  </w:r>
                </w:p>
              </w:tc>
              <w:tc>
                <w:tcPr>
                  <w:tcW w:w="1400" w:type="dxa"/>
                  <w:vAlign w:val="center"/>
                </w:tcPr>
                <w:p w14:paraId="32CBC9EA">
                  <w:pPr>
                    <w:widowControl/>
                    <w:jc w:val="center"/>
                    <w:rPr>
                      <w:color w:val="auto"/>
                      <w:szCs w:val="21"/>
                    </w:rPr>
                  </w:pPr>
                  <w:r>
                    <w:rPr>
                      <w:rFonts w:hint="eastAsia"/>
                      <w:color w:val="auto"/>
                      <w:szCs w:val="21"/>
                    </w:rPr>
                    <w:t>100</w:t>
                  </w:r>
                </w:p>
              </w:tc>
              <w:tc>
                <w:tcPr>
                  <w:tcW w:w="1400" w:type="dxa"/>
                  <w:vAlign w:val="center"/>
                </w:tcPr>
                <w:p w14:paraId="4F0DF2D8">
                  <w:pPr>
                    <w:widowControl/>
                    <w:jc w:val="center"/>
                    <w:rPr>
                      <w:color w:val="auto"/>
                      <w:szCs w:val="21"/>
                    </w:rPr>
                  </w:pPr>
                  <w:r>
                    <w:rPr>
                      <w:rFonts w:hint="eastAsia"/>
                      <w:color w:val="auto"/>
                      <w:szCs w:val="21"/>
                    </w:rPr>
                    <w:t>15</w:t>
                  </w:r>
                </w:p>
              </w:tc>
              <w:tc>
                <w:tcPr>
                  <w:tcW w:w="1401" w:type="dxa"/>
                  <w:vAlign w:val="center"/>
                </w:tcPr>
                <w:p w14:paraId="652A2454">
                  <w:pPr>
                    <w:widowControl/>
                    <w:jc w:val="center"/>
                    <w:rPr>
                      <w:color w:val="auto"/>
                      <w:szCs w:val="21"/>
                    </w:rPr>
                  </w:pPr>
                  <w:r>
                    <w:rPr>
                      <w:rFonts w:hint="eastAsia"/>
                      <w:color w:val="auto"/>
                      <w:szCs w:val="21"/>
                    </w:rPr>
                    <w:t>0.26</w:t>
                  </w:r>
                </w:p>
              </w:tc>
              <w:tc>
                <w:tcPr>
                  <w:tcW w:w="1401" w:type="dxa"/>
                  <w:vMerge w:val="continue"/>
                  <w:vAlign w:val="center"/>
                </w:tcPr>
                <w:p w14:paraId="1CC09EE2">
                  <w:pPr>
                    <w:widowControl/>
                    <w:jc w:val="center"/>
                    <w:rPr>
                      <w:color w:val="auto"/>
                      <w:szCs w:val="21"/>
                    </w:rPr>
                  </w:pPr>
                </w:p>
              </w:tc>
              <w:tc>
                <w:tcPr>
                  <w:tcW w:w="1401" w:type="dxa"/>
                  <w:vAlign w:val="center"/>
                </w:tcPr>
                <w:p w14:paraId="249BFAF3">
                  <w:pPr>
                    <w:widowControl/>
                    <w:jc w:val="center"/>
                    <w:rPr>
                      <w:color w:val="auto"/>
                      <w:szCs w:val="21"/>
                    </w:rPr>
                  </w:pPr>
                  <w:r>
                    <w:rPr>
                      <w:rFonts w:hint="eastAsia"/>
                      <w:color w:val="auto"/>
                      <w:szCs w:val="21"/>
                    </w:rPr>
                    <w:t>0.20</w:t>
                  </w:r>
                </w:p>
              </w:tc>
            </w:tr>
            <w:tr w14:paraId="53CE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vAlign w:val="center"/>
                </w:tcPr>
                <w:p w14:paraId="37DED128">
                  <w:pPr>
                    <w:widowControl/>
                    <w:jc w:val="center"/>
                    <w:rPr>
                      <w:color w:val="auto"/>
                      <w:szCs w:val="21"/>
                    </w:rPr>
                  </w:pPr>
                  <w:r>
                    <w:rPr>
                      <w:rFonts w:hint="eastAsia"/>
                      <w:color w:val="auto"/>
                      <w:szCs w:val="21"/>
                    </w:rPr>
                    <w:t>氯乙烯</w:t>
                  </w:r>
                </w:p>
              </w:tc>
              <w:tc>
                <w:tcPr>
                  <w:tcW w:w="1400" w:type="dxa"/>
                  <w:vAlign w:val="center"/>
                </w:tcPr>
                <w:p w14:paraId="7A0ACA9D">
                  <w:pPr>
                    <w:widowControl/>
                    <w:jc w:val="center"/>
                    <w:rPr>
                      <w:color w:val="auto"/>
                      <w:szCs w:val="21"/>
                    </w:rPr>
                  </w:pPr>
                  <w:r>
                    <w:rPr>
                      <w:rFonts w:hint="eastAsia"/>
                      <w:color w:val="auto"/>
                      <w:szCs w:val="21"/>
                    </w:rPr>
                    <w:t>36</w:t>
                  </w:r>
                </w:p>
              </w:tc>
              <w:tc>
                <w:tcPr>
                  <w:tcW w:w="1400" w:type="dxa"/>
                  <w:vAlign w:val="center"/>
                </w:tcPr>
                <w:p w14:paraId="0B0BD622">
                  <w:pPr>
                    <w:widowControl/>
                    <w:jc w:val="center"/>
                    <w:rPr>
                      <w:color w:val="auto"/>
                      <w:szCs w:val="21"/>
                    </w:rPr>
                  </w:pPr>
                  <w:r>
                    <w:rPr>
                      <w:rFonts w:hint="eastAsia"/>
                      <w:color w:val="auto"/>
                      <w:szCs w:val="21"/>
                    </w:rPr>
                    <w:t>15</w:t>
                  </w:r>
                </w:p>
              </w:tc>
              <w:tc>
                <w:tcPr>
                  <w:tcW w:w="1401" w:type="dxa"/>
                  <w:vAlign w:val="center"/>
                </w:tcPr>
                <w:p w14:paraId="60229BCF">
                  <w:pPr>
                    <w:widowControl/>
                    <w:jc w:val="center"/>
                    <w:rPr>
                      <w:rFonts w:hint="default" w:eastAsia="宋体"/>
                      <w:color w:val="auto"/>
                      <w:szCs w:val="21"/>
                      <w:lang w:val="en-US" w:eastAsia="zh-CN"/>
                    </w:rPr>
                  </w:pPr>
                  <w:r>
                    <w:rPr>
                      <w:rFonts w:hint="eastAsia"/>
                      <w:color w:val="auto"/>
                      <w:szCs w:val="21"/>
                      <w:lang w:val="en-US" w:eastAsia="zh-CN"/>
                    </w:rPr>
                    <w:t>0.77</w:t>
                  </w:r>
                </w:p>
              </w:tc>
              <w:tc>
                <w:tcPr>
                  <w:tcW w:w="1401" w:type="dxa"/>
                  <w:vMerge w:val="continue"/>
                  <w:vAlign w:val="center"/>
                </w:tcPr>
                <w:p w14:paraId="2AC03CA7">
                  <w:pPr>
                    <w:widowControl/>
                    <w:jc w:val="center"/>
                    <w:rPr>
                      <w:color w:val="auto"/>
                      <w:szCs w:val="21"/>
                    </w:rPr>
                  </w:pPr>
                </w:p>
              </w:tc>
              <w:tc>
                <w:tcPr>
                  <w:tcW w:w="1401" w:type="dxa"/>
                  <w:vAlign w:val="center"/>
                </w:tcPr>
                <w:p w14:paraId="2BE38E16">
                  <w:pPr>
                    <w:widowControl/>
                    <w:jc w:val="center"/>
                    <w:rPr>
                      <w:rFonts w:hint="default" w:eastAsia="宋体"/>
                      <w:color w:val="auto"/>
                      <w:szCs w:val="21"/>
                      <w:lang w:val="en-US" w:eastAsia="zh-CN"/>
                    </w:rPr>
                  </w:pPr>
                  <w:r>
                    <w:rPr>
                      <w:rFonts w:hint="eastAsia"/>
                      <w:color w:val="auto"/>
                      <w:szCs w:val="21"/>
                      <w:lang w:val="en-US" w:eastAsia="zh-CN"/>
                    </w:rPr>
                    <w:t>0.60</w:t>
                  </w:r>
                </w:p>
              </w:tc>
            </w:tr>
          </w:tbl>
          <w:p w14:paraId="3D450956">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《恶臭污染物排放标准》（GB14554-93）</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2128"/>
              <w:gridCol w:w="1679"/>
              <w:gridCol w:w="1683"/>
              <w:gridCol w:w="1681"/>
            </w:tblGrid>
            <w:tr w14:paraId="3DFD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2" w:type="dxa"/>
                  <w:vMerge w:val="restart"/>
                  <w:vAlign w:val="center"/>
                </w:tcPr>
                <w:p w14:paraId="1C83F7D2">
                  <w:pPr>
                    <w:jc w:val="center"/>
                    <w:rPr>
                      <w:b w:val="0"/>
                      <w:bCs w:val="0"/>
                      <w:color w:val="auto"/>
                      <w:kern w:val="0"/>
                      <w:szCs w:val="21"/>
                    </w:rPr>
                  </w:pPr>
                  <w:r>
                    <w:rPr>
                      <w:rFonts w:hint="eastAsia" w:cs="宋体"/>
                      <w:b w:val="0"/>
                      <w:bCs w:val="0"/>
                      <w:color w:val="auto"/>
                      <w:szCs w:val="21"/>
                    </w:rPr>
                    <w:t>序号</w:t>
                  </w:r>
                </w:p>
              </w:tc>
              <w:tc>
                <w:tcPr>
                  <w:tcW w:w="2128" w:type="dxa"/>
                  <w:vMerge w:val="restart"/>
                  <w:vAlign w:val="center"/>
                </w:tcPr>
                <w:p w14:paraId="0DC6E306">
                  <w:pPr>
                    <w:jc w:val="center"/>
                    <w:rPr>
                      <w:b w:val="0"/>
                      <w:bCs w:val="0"/>
                      <w:color w:val="auto"/>
                      <w:kern w:val="0"/>
                      <w:szCs w:val="21"/>
                    </w:rPr>
                  </w:pPr>
                  <w:r>
                    <w:rPr>
                      <w:rFonts w:hint="eastAsia" w:cs="宋体"/>
                      <w:b w:val="0"/>
                      <w:bCs w:val="0"/>
                      <w:color w:val="auto"/>
                      <w:szCs w:val="21"/>
                    </w:rPr>
                    <w:t>污染物项目</w:t>
                  </w:r>
                </w:p>
              </w:tc>
              <w:tc>
                <w:tcPr>
                  <w:tcW w:w="3362" w:type="dxa"/>
                  <w:gridSpan w:val="2"/>
                  <w:vAlign w:val="center"/>
                </w:tcPr>
                <w:p w14:paraId="22000558">
                  <w:pPr>
                    <w:jc w:val="center"/>
                    <w:rPr>
                      <w:b w:val="0"/>
                      <w:bCs w:val="0"/>
                      <w:color w:val="auto"/>
                      <w:kern w:val="0"/>
                      <w:szCs w:val="21"/>
                    </w:rPr>
                  </w:pPr>
                  <w:r>
                    <w:rPr>
                      <w:rFonts w:hint="eastAsia" w:cs="宋体"/>
                      <w:b w:val="0"/>
                      <w:bCs w:val="0"/>
                      <w:color w:val="auto"/>
                      <w:szCs w:val="21"/>
                    </w:rPr>
                    <w:t>排放标准值</w:t>
                  </w:r>
                </w:p>
              </w:tc>
              <w:tc>
                <w:tcPr>
                  <w:tcW w:w="1681" w:type="dxa"/>
                  <w:vMerge w:val="restart"/>
                  <w:vAlign w:val="center"/>
                </w:tcPr>
                <w:p w14:paraId="75D9C23A">
                  <w:pPr>
                    <w:jc w:val="center"/>
                    <w:rPr>
                      <w:b w:val="0"/>
                      <w:bCs w:val="0"/>
                      <w:color w:val="auto"/>
                      <w:kern w:val="0"/>
                      <w:szCs w:val="21"/>
                    </w:rPr>
                  </w:pPr>
                  <w:r>
                    <w:rPr>
                      <w:rFonts w:hint="eastAsia" w:cs="宋体"/>
                      <w:b w:val="0"/>
                      <w:bCs w:val="0"/>
                      <w:color w:val="auto"/>
                      <w:szCs w:val="21"/>
                    </w:rPr>
                    <w:t>厂界无组织浓度限值（</w:t>
                  </w:r>
                  <w:r>
                    <w:rPr>
                      <w:rFonts w:cs="宋体"/>
                      <w:b w:val="0"/>
                      <w:bCs w:val="0"/>
                      <w:color w:val="auto"/>
                      <w:szCs w:val="21"/>
                    </w:rPr>
                    <w:t>mg/m</w:t>
                  </w:r>
                  <w:r>
                    <w:rPr>
                      <w:rFonts w:cs="宋体"/>
                      <w:b w:val="0"/>
                      <w:bCs w:val="0"/>
                      <w:color w:val="auto"/>
                      <w:szCs w:val="21"/>
                      <w:vertAlign w:val="superscript"/>
                    </w:rPr>
                    <w:t>3</w:t>
                  </w:r>
                  <w:r>
                    <w:rPr>
                      <w:rFonts w:hint="eastAsia" w:cs="宋体"/>
                      <w:b w:val="0"/>
                      <w:bCs w:val="0"/>
                      <w:color w:val="auto"/>
                      <w:szCs w:val="21"/>
                    </w:rPr>
                    <w:t>）</w:t>
                  </w:r>
                </w:p>
              </w:tc>
            </w:tr>
            <w:tr w14:paraId="328B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2" w:type="dxa"/>
                  <w:vMerge w:val="continue"/>
                  <w:vAlign w:val="center"/>
                </w:tcPr>
                <w:p w14:paraId="35A5806A">
                  <w:pPr>
                    <w:jc w:val="center"/>
                    <w:rPr>
                      <w:color w:val="auto"/>
                      <w:kern w:val="0"/>
                      <w:szCs w:val="21"/>
                    </w:rPr>
                  </w:pPr>
                </w:p>
              </w:tc>
              <w:tc>
                <w:tcPr>
                  <w:tcW w:w="2128" w:type="dxa"/>
                  <w:vMerge w:val="continue"/>
                  <w:vAlign w:val="center"/>
                </w:tcPr>
                <w:p w14:paraId="293C36E1">
                  <w:pPr>
                    <w:jc w:val="center"/>
                    <w:rPr>
                      <w:color w:val="auto"/>
                      <w:kern w:val="0"/>
                      <w:szCs w:val="21"/>
                    </w:rPr>
                  </w:pPr>
                </w:p>
              </w:tc>
              <w:tc>
                <w:tcPr>
                  <w:tcW w:w="1679" w:type="dxa"/>
                  <w:vAlign w:val="center"/>
                </w:tcPr>
                <w:p w14:paraId="06121D73">
                  <w:pPr>
                    <w:jc w:val="center"/>
                    <w:rPr>
                      <w:b w:val="0"/>
                      <w:bCs w:val="0"/>
                      <w:color w:val="auto"/>
                      <w:kern w:val="0"/>
                      <w:szCs w:val="21"/>
                    </w:rPr>
                  </w:pPr>
                  <w:r>
                    <w:rPr>
                      <w:rFonts w:hint="eastAsia" w:cs="宋体"/>
                      <w:b w:val="0"/>
                      <w:bCs w:val="0"/>
                      <w:color w:val="auto"/>
                      <w:szCs w:val="21"/>
                    </w:rPr>
                    <w:t>排气筒高度（m）</w:t>
                  </w:r>
                </w:p>
              </w:tc>
              <w:tc>
                <w:tcPr>
                  <w:tcW w:w="1683" w:type="dxa"/>
                  <w:vAlign w:val="center"/>
                </w:tcPr>
                <w:p w14:paraId="000071BD">
                  <w:pPr>
                    <w:jc w:val="center"/>
                    <w:rPr>
                      <w:b w:val="0"/>
                      <w:bCs w:val="0"/>
                      <w:color w:val="auto"/>
                      <w:kern w:val="0"/>
                      <w:szCs w:val="21"/>
                    </w:rPr>
                  </w:pPr>
                  <w:r>
                    <w:rPr>
                      <w:rFonts w:hint="eastAsia" w:cs="宋体"/>
                      <w:b w:val="0"/>
                      <w:bCs w:val="0"/>
                      <w:color w:val="auto"/>
                      <w:szCs w:val="21"/>
                    </w:rPr>
                    <w:t>排放量（kg/h）</w:t>
                  </w:r>
                </w:p>
              </w:tc>
              <w:tc>
                <w:tcPr>
                  <w:tcW w:w="1681" w:type="dxa"/>
                  <w:vMerge w:val="continue"/>
                  <w:vAlign w:val="center"/>
                </w:tcPr>
                <w:p w14:paraId="2C18128A">
                  <w:pPr>
                    <w:jc w:val="center"/>
                    <w:rPr>
                      <w:color w:val="auto"/>
                      <w:kern w:val="0"/>
                      <w:szCs w:val="21"/>
                    </w:rPr>
                  </w:pPr>
                </w:p>
              </w:tc>
            </w:tr>
            <w:tr w14:paraId="4354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2" w:type="dxa"/>
                  <w:vAlign w:val="center"/>
                </w:tcPr>
                <w:p w14:paraId="3EC62904">
                  <w:pPr>
                    <w:jc w:val="center"/>
                    <w:rPr>
                      <w:color w:val="auto"/>
                      <w:kern w:val="0"/>
                      <w:szCs w:val="21"/>
                    </w:rPr>
                  </w:pPr>
                  <w:r>
                    <w:rPr>
                      <w:rFonts w:hint="eastAsia"/>
                      <w:color w:val="auto"/>
                      <w:kern w:val="0"/>
                      <w:szCs w:val="21"/>
                    </w:rPr>
                    <w:t>1</w:t>
                  </w:r>
                </w:p>
              </w:tc>
              <w:tc>
                <w:tcPr>
                  <w:tcW w:w="2128" w:type="dxa"/>
                  <w:vAlign w:val="center"/>
                </w:tcPr>
                <w:p w14:paraId="532059DD">
                  <w:pPr>
                    <w:jc w:val="center"/>
                    <w:rPr>
                      <w:color w:val="auto"/>
                      <w:kern w:val="0"/>
                      <w:szCs w:val="21"/>
                    </w:rPr>
                  </w:pPr>
                  <w:r>
                    <w:rPr>
                      <w:rFonts w:hint="eastAsia" w:cs="宋体"/>
                      <w:color w:val="auto"/>
                      <w:szCs w:val="21"/>
                    </w:rPr>
                    <w:t>臭气浓度（无量纲）</w:t>
                  </w:r>
                </w:p>
              </w:tc>
              <w:tc>
                <w:tcPr>
                  <w:tcW w:w="1679" w:type="dxa"/>
                  <w:vAlign w:val="center"/>
                </w:tcPr>
                <w:p w14:paraId="1B246434">
                  <w:pPr>
                    <w:jc w:val="center"/>
                    <w:rPr>
                      <w:color w:val="auto"/>
                      <w:kern w:val="0"/>
                      <w:szCs w:val="21"/>
                    </w:rPr>
                  </w:pPr>
                  <w:r>
                    <w:rPr>
                      <w:rFonts w:hint="eastAsia" w:cs="宋体"/>
                      <w:color w:val="auto"/>
                      <w:szCs w:val="21"/>
                    </w:rPr>
                    <w:t>15</w:t>
                  </w:r>
                </w:p>
              </w:tc>
              <w:tc>
                <w:tcPr>
                  <w:tcW w:w="1683" w:type="dxa"/>
                  <w:vAlign w:val="center"/>
                </w:tcPr>
                <w:p w14:paraId="5E24EE77">
                  <w:pPr>
                    <w:jc w:val="center"/>
                    <w:rPr>
                      <w:color w:val="auto"/>
                      <w:kern w:val="0"/>
                      <w:szCs w:val="21"/>
                    </w:rPr>
                  </w:pPr>
                  <w:r>
                    <w:rPr>
                      <w:rFonts w:hint="eastAsia" w:cs="宋体"/>
                      <w:color w:val="auto"/>
                      <w:szCs w:val="21"/>
                    </w:rPr>
                    <w:t>2000</w:t>
                  </w:r>
                </w:p>
              </w:tc>
              <w:tc>
                <w:tcPr>
                  <w:tcW w:w="1681" w:type="dxa"/>
                  <w:vAlign w:val="center"/>
                </w:tcPr>
                <w:p w14:paraId="49DD2153">
                  <w:pPr>
                    <w:jc w:val="center"/>
                    <w:rPr>
                      <w:color w:val="auto"/>
                      <w:kern w:val="0"/>
                      <w:szCs w:val="21"/>
                    </w:rPr>
                  </w:pPr>
                  <w:r>
                    <w:rPr>
                      <w:rFonts w:hint="eastAsia" w:cs="宋体"/>
                      <w:color w:val="auto"/>
                      <w:szCs w:val="21"/>
                    </w:rPr>
                    <w:t>20</w:t>
                  </w:r>
                </w:p>
              </w:tc>
            </w:tr>
            <w:tr w14:paraId="4D63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3" w:type="dxa"/>
                  <w:gridSpan w:val="5"/>
                  <w:vAlign w:val="center"/>
                </w:tcPr>
                <w:p w14:paraId="1182437A">
                  <w:pPr>
                    <w:rPr>
                      <w:rFonts w:cs="宋体"/>
                      <w:color w:val="auto"/>
                      <w:szCs w:val="21"/>
                    </w:rPr>
                  </w:pPr>
                  <w:r>
                    <w:rPr>
                      <w:bCs/>
                      <w:color w:val="auto"/>
                    </w:rPr>
                    <w:t>注：根据《湖州市木业、漆包线及塑料行业废气整治规范》（湖环发[2018]31号）要求，有组织排放的臭气浓度应不高于1000（无量纲），本评价按照该要求进行管理，臭气浓度无组织按1000（无量纲）执行</w:t>
                  </w:r>
                  <w:r>
                    <w:rPr>
                      <w:b/>
                      <w:color w:val="auto"/>
                    </w:rPr>
                    <w:t>。</w:t>
                  </w:r>
                </w:p>
              </w:tc>
            </w:tr>
          </w:tbl>
          <w:p w14:paraId="779FBFF1">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厂区内挥发性有机物（VOCs）无组织排放限值</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704"/>
              <w:gridCol w:w="3000"/>
              <w:gridCol w:w="2354"/>
            </w:tblGrid>
            <w:tr w14:paraId="7374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5" w:type="dxa"/>
                  <w:vAlign w:val="center"/>
                </w:tcPr>
                <w:p w14:paraId="46936D59">
                  <w:pPr>
                    <w:jc w:val="center"/>
                    <w:rPr>
                      <w:b w:val="0"/>
                      <w:bCs/>
                      <w:color w:val="auto"/>
                      <w:kern w:val="0"/>
                      <w:szCs w:val="21"/>
                    </w:rPr>
                  </w:pPr>
                  <w:r>
                    <w:rPr>
                      <w:b w:val="0"/>
                      <w:bCs/>
                      <w:color w:val="auto"/>
                    </w:rPr>
                    <w:t>污染物项目</w:t>
                  </w:r>
                </w:p>
              </w:tc>
              <w:tc>
                <w:tcPr>
                  <w:tcW w:w="1704" w:type="dxa"/>
                  <w:vAlign w:val="center"/>
                </w:tcPr>
                <w:p w14:paraId="20D6BF48">
                  <w:pPr>
                    <w:snapToGrid w:val="0"/>
                    <w:jc w:val="center"/>
                    <w:rPr>
                      <w:b w:val="0"/>
                      <w:bCs/>
                      <w:color w:val="auto"/>
                      <w:kern w:val="0"/>
                      <w:szCs w:val="21"/>
                    </w:rPr>
                  </w:pPr>
                  <w:r>
                    <w:rPr>
                      <w:b w:val="0"/>
                      <w:bCs/>
                      <w:color w:val="auto"/>
                    </w:rPr>
                    <w:t>特别排放限值（mg/m</w:t>
                  </w:r>
                  <w:r>
                    <w:rPr>
                      <w:b w:val="0"/>
                      <w:bCs/>
                      <w:color w:val="auto"/>
                      <w:vertAlign w:val="superscript"/>
                    </w:rPr>
                    <w:t>3</w:t>
                  </w:r>
                  <w:r>
                    <w:rPr>
                      <w:b w:val="0"/>
                      <w:bCs/>
                      <w:color w:val="auto"/>
                    </w:rPr>
                    <w:t>）</w:t>
                  </w:r>
                </w:p>
              </w:tc>
              <w:tc>
                <w:tcPr>
                  <w:tcW w:w="3000" w:type="dxa"/>
                  <w:vAlign w:val="center"/>
                </w:tcPr>
                <w:p w14:paraId="6974FFBA">
                  <w:pPr>
                    <w:snapToGrid w:val="0"/>
                    <w:jc w:val="center"/>
                    <w:rPr>
                      <w:b w:val="0"/>
                      <w:bCs/>
                      <w:color w:val="auto"/>
                      <w:kern w:val="0"/>
                      <w:szCs w:val="21"/>
                    </w:rPr>
                  </w:pPr>
                  <w:r>
                    <w:rPr>
                      <w:b w:val="0"/>
                      <w:bCs/>
                      <w:color w:val="auto"/>
                    </w:rPr>
                    <w:t>限值含义</w:t>
                  </w:r>
                </w:p>
              </w:tc>
              <w:tc>
                <w:tcPr>
                  <w:tcW w:w="2354" w:type="dxa"/>
                  <w:vAlign w:val="center"/>
                </w:tcPr>
                <w:p w14:paraId="488362DA">
                  <w:pPr>
                    <w:snapToGrid w:val="0"/>
                    <w:jc w:val="center"/>
                    <w:rPr>
                      <w:b w:val="0"/>
                      <w:bCs/>
                      <w:color w:val="auto"/>
                      <w:kern w:val="0"/>
                      <w:szCs w:val="21"/>
                    </w:rPr>
                  </w:pPr>
                  <w:r>
                    <w:rPr>
                      <w:b w:val="0"/>
                      <w:bCs/>
                      <w:color w:val="auto"/>
                    </w:rPr>
                    <w:t>无组织排放监控位置</w:t>
                  </w:r>
                </w:p>
              </w:tc>
            </w:tr>
            <w:tr w14:paraId="068E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5" w:type="dxa"/>
                  <w:vMerge w:val="restart"/>
                  <w:vAlign w:val="center"/>
                </w:tcPr>
                <w:p w14:paraId="4B3032E9">
                  <w:pPr>
                    <w:jc w:val="center"/>
                    <w:rPr>
                      <w:color w:val="auto"/>
                      <w:kern w:val="0"/>
                      <w:szCs w:val="21"/>
                    </w:rPr>
                  </w:pPr>
                  <w:r>
                    <w:rPr>
                      <w:color w:val="auto"/>
                    </w:rPr>
                    <w:t>NMHC</w:t>
                  </w:r>
                </w:p>
              </w:tc>
              <w:tc>
                <w:tcPr>
                  <w:tcW w:w="1704" w:type="dxa"/>
                  <w:vAlign w:val="center"/>
                </w:tcPr>
                <w:p w14:paraId="131E032B">
                  <w:pPr>
                    <w:snapToGrid w:val="0"/>
                    <w:jc w:val="center"/>
                    <w:rPr>
                      <w:color w:val="auto"/>
                      <w:kern w:val="0"/>
                      <w:szCs w:val="21"/>
                    </w:rPr>
                  </w:pPr>
                  <w:r>
                    <w:rPr>
                      <w:color w:val="auto"/>
                    </w:rPr>
                    <w:t>6</w:t>
                  </w:r>
                </w:p>
              </w:tc>
              <w:tc>
                <w:tcPr>
                  <w:tcW w:w="3000" w:type="dxa"/>
                  <w:vAlign w:val="center"/>
                </w:tcPr>
                <w:p w14:paraId="016C3907">
                  <w:pPr>
                    <w:snapToGrid w:val="0"/>
                    <w:jc w:val="center"/>
                    <w:rPr>
                      <w:color w:val="auto"/>
                      <w:kern w:val="0"/>
                      <w:szCs w:val="21"/>
                    </w:rPr>
                  </w:pPr>
                  <w:r>
                    <w:rPr>
                      <w:color w:val="auto"/>
                    </w:rPr>
                    <w:t>监控点处1h平均浓度值</w:t>
                  </w:r>
                </w:p>
              </w:tc>
              <w:tc>
                <w:tcPr>
                  <w:tcW w:w="2354" w:type="dxa"/>
                  <w:vMerge w:val="restart"/>
                  <w:vAlign w:val="center"/>
                </w:tcPr>
                <w:p w14:paraId="2FD4820F">
                  <w:pPr>
                    <w:snapToGrid w:val="0"/>
                    <w:jc w:val="center"/>
                    <w:rPr>
                      <w:color w:val="auto"/>
                      <w:kern w:val="0"/>
                      <w:szCs w:val="21"/>
                    </w:rPr>
                  </w:pPr>
                  <w:r>
                    <w:rPr>
                      <w:color w:val="auto"/>
                    </w:rPr>
                    <w:t>在厂房外设置监控点</w:t>
                  </w:r>
                </w:p>
              </w:tc>
            </w:tr>
            <w:tr w14:paraId="5FC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5" w:type="dxa"/>
                  <w:vMerge w:val="continue"/>
                </w:tcPr>
                <w:p w14:paraId="19A02347">
                  <w:pPr>
                    <w:jc w:val="center"/>
                    <w:rPr>
                      <w:color w:val="auto"/>
                      <w:kern w:val="0"/>
                      <w:szCs w:val="21"/>
                    </w:rPr>
                  </w:pPr>
                </w:p>
              </w:tc>
              <w:tc>
                <w:tcPr>
                  <w:tcW w:w="1704" w:type="dxa"/>
                  <w:vAlign w:val="center"/>
                </w:tcPr>
                <w:p w14:paraId="2F762C21">
                  <w:pPr>
                    <w:snapToGrid w:val="0"/>
                    <w:jc w:val="center"/>
                    <w:rPr>
                      <w:color w:val="auto"/>
                      <w:kern w:val="0"/>
                      <w:szCs w:val="21"/>
                    </w:rPr>
                  </w:pPr>
                  <w:r>
                    <w:rPr>
                      <w:color w:val="auto"/>
                    </w:rPr>
                    <w:t>20</w:t>
                  </w:r>
                </w:p>
              </w:tc>
              <w:tc>
                <w:tcPr>
                  <w:tcW w:w="3000" w:type="dxa"/>
                  <w:vAlign w:val="center"/>
                </w:tcPr>
                <w:p w14:paraId="6387BB33">
                  <w:pPr>
                    <w:snapToGrid w:val="0"/>
                    <w:jc w:val="center"/>
                    <w:rPr>
                      <w:color w:val="auto"/>
                      <w:kern w:val="0"/>
                      <w:szCs w:val="21"/>
                    </w:rPr>
                  </w:pPr>
                  <w:r>
                    <w:rPr>
                      <w:color w:val="auto"/>
                    </w:rPr>
                    <w:t>监控点处任意一次浓度值</w:t>
                  </w:r>
                </w:p>
              </w:tc>
              <w:tc>
                <w:tcPr>
                  <w:tcW w:w="2354" w:type="dxa"/>
                  <w:vMerge w:val="continue"/>
                </w:tcPr>
                <w:p w14:paraId="6925877A">
                  <w:pPr>
                    <w:jc w:val="center"/>
                    <w:rPr>
                      <w:color w:val="auto"/>
                      <w:kern w:val="0"/>
                      <w:szCs w:val="21"/>
                    </w:rPr>
                  </w:pPr>
                </w:p>
              </w:tc>
            </w:tr>
          </w:tbl>
          <w:p w14:paraId="13F188A4">
            <w:pPr>
              <w:numPr>
                <w:ilvl w:val="0"/>
                <w:numId w:val="24"/>
              </w:numPr>
              <w:tabs>
                <w:tab w:val="left" w:pos="993"/>
              </w:tabs>
              <w:adjustRightInd w:val="0"/>
              <w:spacing w:line="360" w:lineRule="auto"/>
              <w:rPr>
                <w:b/>
                <w:bCs/>
                <w:color w:val="auto"/>
                <w:sz w:val="24"/>
              </w:rPr>
            </w:pPr>
            <w:r>
              <w:rPr>
                <w:b/>
                <w:bCs/>
                <w:color w:val="auto"/>
                <w:sz w:val="24"/>
              </w:rPr>
              <w:t>废水</w:t>
            </w:r>
          </w:p>
          <w:p w14:paraId="3413C828">
            <w:pPr>
              <w:tabs>
                <w:tab w:val="left" w:pos="1662"/>
                <w:tab w:val="left" w:pos="7628"/>
              </w:tabs>
              <w:spacing w:line="360" w:lineRule="auto"/>
              <w:ind w:firstLine="425"/>
              <w:rPr>
                <w:color w:val="auto"/>
                <w:sz w:val="24"/>
              </w:rPr>
            </w:pPr>
            <w:r>
              <w:rPr>
                <w:rFonts w:hint="eastAsia"/>
                <w:color w:val="auto"/>
                <w:sz w:val="24"/>
              </w:rPr>
              <w:t>本项目冷却水循环使用，不外排。项目外排废水仅为生活污水，生活污水经厂区化粪池预处理后排入市政污水管网，纳管废水执行《污水综合排放标准》（GB8978-1996）中的三级标准，其中NH</w:t>
            </w:r>
            <w:r>
              <w:rPr>
                <w:rFonts w:hint="eastAsia"/>
                <w:color w:val="auto"/>
                <w:sz w:val="24"/>
                <w:vertAlign w:val="subscript"/>
              </w:rPr>
              <w:t>3</w:t>
            </w:r>
            <w:r>
              <w:rPr>
                <w:rFonts w:hint="eastAsia"/>
                <w:color w:val="auto"/>
                <w:sz w:val="24"/>
              </w:rPr>
              <w:t>-N、总磷值参照执行《污水排入城镇下水道水质标准》（GB/T31962-2015）B级标准限值。见表3-10。</w:t>
            </w:r>
          </w:p>
          <w:p w14:paraId="75F2726E">
            <w:pPr>
              <w:tabs>
                <w:tab w:val="left" w:pos="1662"/>
                <w:tab w:val="left" w:pos="7628"/>
              </w:tabs>
              <w:spacing w:line="360" w:lineRule="auto"/>
              <w:ind w:firstLine="425"/>
              <w:rPr>
                <w:color w:val="auto"/>
                <w:sz w:val="24"/>
                <w:szCs w:val="32"/>
                <w:lang w:val="zh-CN"/>
              </w:rPr>
            </w:pPr>
            <w:r>
              <w:rPr>
                <w:rFonts w:hint="eastAsia"/>
                <w:color w:val="auto"/>
                <w:sz w:val="24"/>
              </w:rPr>
              <w:t>项目生活污水接入市政污水管网后送至湖州光正水质净化有限公司集中处理，其中化学需氧量、氨氮、总氮、总磷4项指标执行《城镇污水处理厂主要水污染物排放标准》（DB33/2169-2018）表1标准。另外，化学需氧量、氨氮、总氮和总磷等4项主要水污染物的瞬时值和其余污染物指标仍执行《城镇污水处理污染物排放标准》（GB18918-2002，含2006年、2025年修改单）中一级A标准。项目废水排放标准具体见下表。</w:t>
            </w:r>
          </w:p>
          <w:p w14:paraId="711CE63C">
            <w:pPr>
              <w:numPr>
                <w:ilvl w:val="0"/>
                <w:numId w:val="23"/>
              </w:numPr>
              <w:adjustRightInd w:val="0"/>
              <w:snapToGrid w:val="0"/>
              <w:spacing w:before="48" w:beforeLines="20" w:after="48" w:afterLines="20" w:line="0" w:lineRule="atLeast"/>
              <w:jc w:val="center"/>
              <w:rPr>
                <w:b/>
                <w:bCs/>
                <w:color w:val="auto"/>
                <w:sz w:val="24"/>
              </w:rPr>
            </w:pPr>
            <w:r>
              <w:rPr>
                <w:rFonts w:hint="eastAsia"/>
                <w:b/>
                <w:bCs/>
                <w:color w:val="auto"/>
                <w:sz w:val="24"/>
              </w:rPr>
              <w:t>《污水综合排放标准》（GB8978-1996）</w:t>
            </w:r>
          </w:p>
          <w:p w14:paraId="74DBC585">
            <w:pPr>
              <w:adjustRightInd w:val="0"/>
              <w:snapToGrid w:val="0"/>
              <w:spacing w:before="48" w:beforeLines="20" w:after="48" w:afterLines="20" w:line="0" w:lineRule="atLeast"/>
              <w:jc w:val="right"/>
              <w:rPr>
                <w:color w:val="auto"/>
                <w:sz w:val="24"/>
                <w:lang w:val="zh-CN"/>
              </w:rPr>
            </w:pPr>
            <w:r>
              <w:rPr>
                <w:color w:val="auto"/>
                <w:szCs w:val="21"/>
              </w:rPr>
              <w:t>单位：除pH外为mg/L</w:t>
            </w:r>
          </w:p>
          <w:tbl>
            <w:tblPr>
              <w:tblStyle w:val="8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68"/>
              <w:gridCol w:w="919"/>
              <w:gridCol w:w="809"/>
              <w:gridCol w:w="1002"/>
              <w:gridCol w:w="891"/>
              <w:gridCol w:w="1005"/>
              <w:gridCol w:w="891"/>
              <w:gridCol w:w="1015"/>
            </w:tblGrid>
            <w:tr w14:paraId="46FD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tcBorders>
                    <w:tl2br w:val="nil"/>
                    <w:tr2bl w:val="nil"/>
                  </w:tcBorders>
                  <w:vAlign w:val="center"/>
                </w:tcPr>
                <w:p w14:paraId="750EAFD0">
                  <w:pPr>
                    <w:jc w:val="center"/>
                    <w:rPr>
                      <w:color w:val="auto"/>
                      <w:szCs w:val="21"/>
                    </w:rPr>
                  </w:pPr>
                  <w:r>
                    <w:rPr>
                      <w:color w:val="auto"/>
                      <w:szCs w:val="21"/>
                    </w:rPr>
                    <w:t>污染物项目</w:t>
                  </w:r>
                </w:p>
              </w:tc>
              <w:tc>
                <w:tcPr>
                  <w:tcW w:w="398" w:type="pct"/>
                  <w:tcBorders>
                    <w:tl2br w:val="nil"/>
                    <w:tr2bl w:val="nil"/>
                  </w:tcBorders>
                  <w:vAlign w:val="center"/>
                </w:tcPr>
                <w:p w14:paraId="4F7BBA91">
                  <w:pPr>
                    <w:jc w:val="center"/>
                    <w:rPr>
                      <w:color w:val="auto"/>
                      <w:szCs w:val="21"/>
                    </w:rPr>
                  </w:pPr>
                  <w:r>
                    <w:rPr>
                      <w:color w:val="auto"/>
                      <w:szCs w:val="21"/>
                    </w:rPr>
                    <w:t>pH</w:t>
                  </w:r>
                </w:p>
              </w:tc>
              <w:tc>
                <w:tcPr>
                  <w:tcW w:w="547" w:type="pct"/>
                  <w:tcBorders>
                    <w:tl2br w:val="nil"/>
                    <w:tr2bl w:val="nil"/>
                  </w:tcBorders>
                  <w:vAlign w:val="center"/>
                </w:tcPr>
                <w:p w14:paraId="58B13E31">
                  <w:pPr>
                    <w:jc w:val="center"/>
                    <w:rPr>
                      <w:color w:val="auto"/>
                      <w:szCs w:val="21"/>
                    </w:rPr>
                  </w:pPr>
                  <w:r>
                    <w:rPr>
                      <w:color w:val="auto"/>
                      <w:szCs w:val="21"/>
                    </w:rPr>
                    <w:t>COD</w:t>
                  </w:r>
                  <w:r>
                    <w:rPr>
                      <w:color w:val="auto"/>
                      <w:szCs w:val="21"/>
                      <w:vertAlign w:val="subscript"/>
                    </w:rPr>
                    <w:t>Cr</w:t>
                  </w:r>
                </w:p>
              </w:tc>
              <w:tc>
                <w:tcPr>
                  <w:tcW w:w="482" w:type="pct"/>
                  <w:tcBorders>
                    <w:tl2br w:val="nil"/>
                    <w:tr2bl w:val="nil"/>
                  </w:tcBorders>
                  <w:vAlign w:val="center"/>
                </w:tcPr>
                <w:p w14:paraId="22ABBEC3">
                  <w:pPr>
                    <w:jc w:val="center"/>
                    <w:rPr>
                      <w:color w:val="auto"/>
                      <w:szCs w:val="21"/>
                    </w:rPr>
                  </w:pPr>
                  <w:r>
                    <w:rPr>
                      <w:color w:val="auto"/>
                      <w:szCs w:val="21"/>
                    </w:rPr>
                    <w:t>BOD</w:t>
                  </w:r>
                  <w:r>
                    <w:rPr>
                      <w:color w:val="auto"/>
                      <w:szCs w:val="21"/>
                      <w:vertAlign w:val="subscript"/>
                    </w:rPr>
                    <w:t>5</w:t>
                  </w:r>
                </w:p>
              </w:tc>
              <w:tc>
                <w:tcPr>
                  <w:tcW w:w="597" w:type="pct"/>
                  <w:tcBorders>
                    <w:tl2br w:val="nil"/>
                    <w:tr2bl w:val="nil"/>
                  </w:tcBorders>
                  <w:vAlign w:val="center"/>
                </w:tcPr>
                <w:p w14:paraId="31C1F3F7">
                  <w:pPr>
                    <w:jc w:val="center"/>
                    <w:rPr>
                      <w:color w:val="auto"/>
                      <w:szCs w:val="21"/>
                    </w:rPr>
                  </w:pPr>
                  <w:r>
                    <w:rPr>
                      <w:color w:val="auto"/>
                      <w:szCs w:val="21"/>
                    </w:rPr>
                    <w:t>SS</w:t>
                  </w:r>
                </w:p>
              </w:tc>
              <w:tc>
                <w:tcPr>
                  <w:tcW w:w="531" w:type="pct"/>
                  <w:tcBorders>
                    <w:tl2br w:val="nil"/>
                    <w:tr2bl w:val="nil"/>
                  </w:tcBorders>
                  <w:vAlign w:val="center"/>
                </w:tcPr>
                <w:p w14:paraId="78B91C40">
                  <w:pPr>
                    <w:jc w:val="center"/>
                    <w:rPr>
                      <w:color w:val="auto"/>
                      <w:spacing w:val="10"/>
                      <w:szCs w:val="21"/>
                    </w:rPr>
                  </w:pPr>
                  <w:r>
                    <w:rPr>
                      <w:color w:val="auto"/>
                      <w:spacing w:val="10"/>
                      <w:szCs w:val="21"/>
                    </w:rPr>
                    <w:t>动植物油</w:t>
                  </w:r>
                </w:p>
              </w:tc>
              <w:tc>
                <w:tcPr>
                  <w:tcW w:w="599" w:type="pct"/>
                  <w:tcBorders>
                    <w:tl2br w:val="nil"/>
                    <w:tr2bl w:val="nil"/>
                  </w:tcBorders>
                  <w:vAlign w:val="center"/>
                </w:tcPr>
                <w:p w14:paraId="707DB510">
                  <w:pPr>
                    <w:jc w:val="center"/>
                    <w:rPr>
                      <w:color w:val="auto"/>
                      <w:spacing w:val="10"/>
                      <w:szCs w:val="21"/>
                    </w:rPr>
                  </w:pPr>
                  <w:r>
                    <w:rPr>
                      <w:rFonts w:hint="eastAsia"/>
                      <w:color w:val="auto"/>
                      <w:spacing w:val="10"/>
                      <w:szCs w:val="21"/>
                    </w:rPr>
                    <w:t>LAS</w:t>
                  </w:r>
                </w:p>
              </w:tc>
              <w:tc>
                <w:tcPr>
                  <w:tcW w:w="531" w:type="pct"/>
                  <w:tcBorders>
                    <w:tl2br w:val="nil"/>
                    <w:tr2bl w:val="nil"/>
                  </w:tcBorders>
                  <w:vAlign w:val="center"/>
                </w:tcPr>
                <w:p w14:paraId="219823B8">
                  <w:pPr>
                    <w:jc w:val="center"/>
                    <w:rPr>
                      <w:color w:val="auto"/>
                      <w:szCs w:val="21"/>
                    </w:rPr>
                  </w:pPr>
                  <w:r>
                    <w:rPr>
                      <w:color w:val="auto"/>
                      <w:spacing w:val="10"/>
                      <w:szCs w:val="21"/>
                    </w:rPr>
                    <w:t>氨氮*</w:t>
                  </w:r>
                </w:p>
              </w:tc>
              <w:tc>
                <w:tcPr>
                  <w:tcW w:w="605" w:type="pct"/>
                  <w:tcBorders>
                    <w:tl2br w:val="nil"/>
                    <w:tr2bl w:val="nil"/>
                  </w:tcBorders>
                  <w:vAlign w:val="center"/>
                </w:tcPr>
                <w:p w14:paraId="649F1BE3">
                  <w:pPr>
                    <w:jc w:val="center"/>
                    <w:rPr>
                      <w:color w:val="auto"/>
                      <w:szCs w:val="21"/>
                    </w:rPr>
                  </w:pPr>
                  <w:r>
                    <w:rPr>
                      <w:color w:val="auto"/>
                      <w:spacing w:val="10"/>
                      <w:szCs w:val="21"/>
                    </w:rPr>
                    <w:t>总磷*</w:t>
                  </w:r>
                </w:p>
              </w:tc>
            </w:tr>
            <w:tr w14:paraId="3790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tcBorders>
                    <w:tl2br w:val="nil"/>
                    <w:tr2bl w:val="nil"/>
                  </w:tcBorders>
                  <w:vAlign w:val="center"/>
                </w:tcPr>
                <w:p w14:paraId="1215BFA6">
                  <w:pPr>
                    <w:jc w:val="center"/>
                    <w:rPr>
                      <w:color w:val="auto"/>
                      <w:szCs w:val="21"/>
                    </w:rPr>
                  </w:pPr>
                  <w:r>
                    <w:rPr>
                      <w:color w:val="auto"/>
                      <w:szCs w:val="21"/>
                    </w:rPr>
                    <w:t>三级</w:t>
                  </w:r>
                </w:p>
              </w:tc>
              <w:tc>
                <w:tcPr>
                  <w:tcW w:w="398" w:type="pct"/>
                  <w:tcBorders>
                    <w:tl2br w:val="nil"/>
                    <w:tr2bl w:val="nil"/>
                  </w:tcBorders>
                  <w:vAlign w:val="center"/>
                </w:tcPr>
                <w:p w14:paraId="676610EE">
                  <w:pPr>
                    <w:jc w:val="center"/>
                    <w:rPr>
                      <w:color w:val="auto"/>
                      <w:szCs w:val="21"/>
                    </w:rPr>
                  </w:pPr>
                  <w:r>
                    <w:rPr>
                      <w:color w:val="auto"/>
                      <w:szCs w:val="21"/>
                    </w:rPr>
                    <w:t>6~9</w:t>
                  </w:r>
                </w:p>
              </w:tc>
              <w:tc>
                <w:tcPr>
                  <w:tcW w:w="547" w:type="pct"/>
                  <w:tcBorders>
                    <w:tl2br w:val="nil"/>
                    <w:tr2bl w:val="nil"/>
                  </w:tcBorders>
                  <w:vAlign w:val="center"/>
                </w:tcPr>
                <w:p w14:paraId="51A45B31">
                  <w:pPr>
                    <w:jc w:val="center"/>
                    <w:rPr>
                      <w:color w:val="auto"/>
                      <w:szCs w:val="21"/>
                    </w:rPr>
                  </w:pPr>
                  <w:r>
                    <w:rPr>
                      <w:color w:val="auto"/>
                      <w:spacing w:val="10"/>
                      <w:szCs w:val="21"/>
                    </w:rPr>
                    <w:t>≤</w:t>
                  </w:r>
                  <w:r>
                    <w:rPr>
                      <w:color w:val="auto"/>
                      <w:szCs w:val="21"/>
                    </w:rPr>
                    <w:t>500</w:t>
                  </w:r>
                </w:p>
              </w:tc>
              <w:tc>
                <w:tcPr>
                  <w:tcW w:w="482" w:type="pct"/>
                  <w:tcBorders>
                    <w:tl2br w:val="nil"/>
                    <w:tr2bl w:val="nil"/>
                  </w:tcBorders>
                  <w:vAlign w:val="center"/>
                </w:tcPr>
                <w:p w14:paraId="294B53C0">
                  <w:pPr>
                    <w:jc w:val="center"/>
                    <w:rPr>
                      <w:color w:val="auto"/>
                      <w:szCs w:val="21"/>
                    </w:rPr>
                  </w:pPr>
                  <w:r>
                    <w:rPr>
                      <w:color w:val="auto"/>
                      <w:spacing w:val="10"/>
                      <w:szCs w:val="21"/>
                    </w:rPr>
                    <w:t>≤</w:t>
                  </w:r>
                  <w:r>
                    <w:rPr>
                      <w:color w:val="auto"/>
                      <w:szCs w:val="21"/>
                    </w:rPr>
                    <w:t>300</w:t>
                  </w:r>
                </w:p>
              </w:tc>
              <w:tc>
                <w:tcPr>
                  <w:tcW w:w="597" w:type="pct"/>
                  <w:tcBorders>
                    <w:tl2br w:val="nil"/>
                    <w:tr2bl w:val="nil"/>
                  </w:tcBorders>
                  <w:vAlign w:val="center"/>
                </w:tcPr>
                <w:p w14:paraId="49D8A446">
                  <w:pPr>
                    <w:jc w:val="center"/>
                    <w:rPr>
                      <w:color w:val="auto"/>
                      <w:szCs w:val="21"/>
                    </w:rPr>
                  </w:pPr>
                  <w:r>
                    <w:rPr>
                      <w:color w:val="auto"/>
                      <w:spacing w:val="10"/>
                      <w:szCs w:val="21"/>
                    </w:rPr>
                    <w:t>≤</w:t>
                  </w:r>
                  <w:r>
                    <w:rPr>
                      <w:color w:val="auto"/>
                      <w:szCs w:val="21"/>
                    </w:rPr>
                    <w:t>400</w:t>
                  </w:r>
                </w:p>
              </w:tc>
              <w:tc>
                <w:tcPr>
                  <w:tcW w:w="531" w:type="pct"/>
                  <w:tcBorders>
                    <w:tl2br w:val="nil"/>
                    <w:tr2bl w:val="nil"/>
                  </w:tcBorders>
                  <w:vAlign w:val="center"/>
                </w:tcPr>
                <w:p w14:paraId="1722DBC3">
                  <w:pPr>
                    <w:jc w:val="center"/>
                    <w:rPr>
                      <w:color w:val="auto"/>
                      <w:spacing w:val="10"/>
                      <w:szCs w:val="21"/>
                    </w:rPr>
                  </w:pPr>
                  <w:r>
                    <w:rPr>
                      <w:color w:val="auto"/>
                      <w:spacing w:val="10"/>
                      <w:szCs w:val="21"/>
                    </w:rPr>
                    <w:t>≤100</w:t>
                  </w:r>
                </w:p>
              </w:tc>
              <w:tc>
                <w:tcPr>
                  <w:tcW w:w="599" w:type="pct"/>
                  <w:tcBorders>
                    <w:tl2br w:val="nil"/>
                    <w:tr2bl w:val="nil"/>
                  </w:tcBorders>
                  <w:vAlign w:val="center"/>
                </w:tcPr>
                <w:p w14:paraId="2F558283">
                  <w:pPr>
                    <w:jc w:val="center"/>
                    <w:rPr>
                      <w:color w:val="auto"/>
                      <w:spacing w:val="10"/>
                      <w:szCs w:val="21"/>
                    </w:rPr>
                  </w:pPr>
                  <w:r>
                    <w:rPr>
                      <w:color w:val="auto"/>
                      <w:spacing w:val="10"/>
                      <w:szCs w:val="21"/>
                    </w:rPr>
                    <w:t>≤20</w:t>
                  </w:r>
                </w:p>
              </w:tc>
              <w:tc>
                <w:tcPr>
                  <w:tcW w:w="891" w:type="dxa"/>
                  <w:tcBorders>
                    <w:tl2br w:val="nil"/>
                    <w:tr2bl w:val="nil"/>
                  </w:tcBorders>
                  <w:vAlign w:val="center"/>
                </w:tcPr>
                <w:p w14:paraId="7E7C97AE">
                  <w:pPr>
                    <w:jc w:val="center"/>
                    <w:rPr>
                      <w:color w:val="auto"/>
                      <w:szCs w:val="21"/>
                    </w:rPr>
                  </w:pPr>
                  <w:r>
                    <w:rPr>
                      <w:rFonts w:hint="eastAsia"/>
                      <w:color w:val="auto"/>
                      <w:spacing w:val="10"/>
                      <w:szCs w:val="21"/>
                      <w:lang w:val="en-US" w:eastAsia="zh-CN"/>
                    </w:rPr>
                    <w:t>4</w:t>
                  </w:r>
                  <w:r>
                    <w:rPr>
                      <w:color w:val="auto"/>
                      <w:spacing w:val="10"/>
                      <w:szCs w:val="21"/>
                    </w:rPr>
                    <w:t>5*</w:t>
                  </w:r>
                </w:p>
              </w:tc>
              <w:tc>
                <w:tcPr>
                  <w:tcW w:w="1015" w:type="dxa"/>
                  <w:tcBorders>
                    <w:tl2br w:val="nil"/>
                    <w:tr2bl w:val="nil"/>
                  </w:tcBorders>
                  <w:vAlign w:val="center"/>
                </w:tcPr>
                <w:p w14:paraId="0CD3E1FB">
                  <w:pPr>
                    <w:jc w:val="center"/>
                    <w:rPr>
                      <w:color w:val="auto"/>
                      <w:szCs w:val="21"/>
                    </w:rPr>
                  </w:pPr>
                  <w:r>
                    <w:rPr>
                      <w:color w:val="auto"/>
                      <w:spacing w:val="10"/>
                      <w:szCs w:val="21"/>
                    </w:rPr>
                    <w:t>8*</w:t>
                  </w:r>
                </w:p>
              </w:tc>
            </w:tr>
            <w:tr w14:paraId="6CBC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tcBorders>
                    <w:tl2br w:val="nil"/>
                    <w:tr2bl w:val="nil"/>
                  </w:tcBorders>
                  <w:vAlign w:val="center"/>
                </w:tcPr>
                <w:p w14:paraId="50AF361F">
                  <w:pPr>
                    <w:jc w:val="both"/>
                    <w:rPr>
                      <w:color w:val="auto"/>
                      <w:spacing w:val="10"/>
                      <w:szCs w:val="21"/>
                    </w:rPr>
                  </w:pPr>
                  <w:r>
                    <w:rPr>
                      <w:color w:val="auto"/>
                      <w:spacing w:val="10"/>
                      <w:szCs w:val="21"/>
                    </w:rPr>
                    <w:t>注：氨氮、总磷执行</w:t>
                  </w:r>
                  <w:r>
                    <w:rPr>
                      <w:rFonts w:hint="eastAsia"/>
                      <w:color w:val="auto"/>
                      <w:spacing w:val="10"/>
                      <w:szCs w:val="21"/>
                    </w:rPr>
                    <w:t>《污水排入城镇下水道水质标准》（GB/T31962-2015）B级标准限值。</w:t>
                  </w:r>
                </w:p>
              </w:tc>
            </w:tr>
          </w:tbl>
          <w:p w14:paraId="07874231">
            <w:pPr>
              <w:numPr>
                <w:ilvl w:val="0"/>
                <w:numId w:val="23"/>
              </w:numPr>
              <w:adjustRightInd w:val="0"/>
              <w:snapToGrid w:val="0"/>
              <w:spacing w:before="48" w:beforeLines="20" w:after="48" w:afterLines="20" w:line="0" w:lineRule="atLeast"/>
              <w:jc w:val="center"/>
              <w:rPr>
                <w:b/>
                <w:bCs/>
                <w:color w:val="auto"/>
                <w:sz w:val="24"/>
              </w:rPr>
            </w:pPr>
            <w:r>
              <w:rPr>
                <w:b/>
                <w:bCs/>
                <w:color w:val="auto"/>
                <w:sz w:val="24"/>
              </w:rPr>
              <w:t>污水处理厂污染物排放标准</w:t>
            </w:r>
          </w:p>
          <w:p w14:paraId="6B02FA2F">
            <w:pPr>
              <w:adjustRightInd w:val="0"/>
              <w:snapToGrid w:val="0"/>
              <w:spacing w:before="48" w:beforeLines="20" w:after="48" w:afterLines="20" w:line="0" w:lineRule="atLeast"/>
              <w:jc w:val="right"/>
              <w:rPr>
                <w:color w:val="auto"/>
                <w:szCs w:val="21"/>
              </w:rPr>
            </w:pPr>
            <w:r>
              <w:rPr>
                <w:color w:val="auto"/>
                <w:szCs w:val="21"/>
              </w:rPr>
              <w:t>单位：除pH外为mg/L</w:t>
            </w:r>
          </w:p>
          <w:tbl>
            <w:tblPr>
              <w:tblStyle w:val="89"/>
              <w:tblW w:w="8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600"/>
              <w:gridCol w:w="780"/>
              <w:gridCol w:w="564"/>
              <w:gridCol w:w="720"/>
              <w:gridCol w:w="780"/>
              <w:gridCol w:w="924"/>
              <w:gridCol w:w="1140"/>
              <w:gridCol w:w="1236"/>
              <w:gridCol w:w="930"/>
            </w:tblGrid>
            <w:tr w14:paraId="2554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29" w:type="dxa"/>
                  <w:vAlign w:val="center"/>
                </w:tcPr>
                <w:p w14:paraId="6C44D99A">
                  <w:pPr>
                    <w:jc w:val="center"/>
                    <w:rPr>
                      <w:color w:val="auto"/>
                      <w:sz w:val="24"/>
                    </w:rPr>
                  </w:pPr>
                  <w:r>
                    <w:rPr>
                      <w:color w:val="auto"/>
                      <w:spacing w:val="10"/>
                      <w:szCs w:val="21"/>
                    </w:rPr>
                    <w:t>污染物</w:t>
                  </w:r>
                </w:p>
              </w:tc>
              <w:tc>
                <w:tcPr>
                  <w:tcW w:w="600" w:type="dxa"/>
                  <w:vAlign w:val="center"/>
                </w:tcPr>
                <w:p w14:paraId="285CE4F4">
                  <w:pPr>
                    <w:jc w:val="center"/>
                    <w:rPr>
                      <w:color w:val="auto"/>
                      <w:sz w:val="24"/>
                    </w:rPr>
                  </w:pPr>
                  <w:r>
                    <w:rPr>
                      <w:color w:val="auto"/>
                      <w:spacing w:val="10"/>
                      <w:szCs w:val="21"/>
                    </w:rPr>
                    <w:t>pH</w:t>
                  </w:r>
                </w:p>
              </w:tc>
              <w:tc>
                <w:tcPr>
                  <w:tcW w:w="780" w:type="dxa"/>
                  <w:vAlign w:val="center"/>
                </w:tcPr>
                <w:p w14:paraId="0EC82FCC">
                  <w:pPr>
                    <w:jc w:val="center"/>
                    <w:rPr>
                      <w:color w:val="auto"/>
                      <w:sz w:val="24"/>
                    </w:rPr>
                  </w:pPr>
                  <w:r>
                    <w:rPr>
                      <w:color w:val="auto"/>
                      <w:spacing w:val="10"/>
                      <w:szCs w:val="21"/>
                    </w:rPr>
                    <w:t>BOD</w:t>
                  </w:r>
                  <w:r>
                    <w:rPr>
                      <w:color w:val="auto"/>
                      <w:spacing w:val="10"/>
                      <w:szCs w:val="21"/>
                      <w:vertAlign w:val="subscript"/>
                    </w:rPr>
                    <w:t>5</w:t>
                  </w:r>
                </w:p>
              </w:tc>
              <w:tc>
                <w:tcPr>
                  <w:tcW w:w="564" w:type="dxa"/>
                  <w:vAlign w:val="center"/>
                </w:tcPr>
                <w:p w14:paraId="30DE5FB4">
                  <w:pPr>
                    <w:jc w:val="center"/>
                    <w:rPr>
                      <w:color w:val="auto"/>
                      <w:sz w:val="24"/>
                    </w:rPr>
                  </w:pPr>
                  <w:r>
                    <w:rPr>
                      <w:color w:val="auto"/>
                      <w:spacing w:val="10"/>
                      <w:szCs w:val="21"/>
                    </w:rPr>
                    <w:t>SS</w:t>
                  </w:r>
                </w:p>
              </w:tc>
              <w:tc>
                <w:tcPr>
                  <w:tcW w:w="720" w:type="dxa"/>
                  <w:vAlign w:val="center"/>
                </w:tcPr>
                <w:p w14:paraId="5E0A57E0">
                  <w:pPr>
                    <w:jc w:val="center"/>
                    <w:rPr>
                      <w:color w:val="auto"/>
                      <w:sz w:val="24"/>
                    </w:rPr>
                  </w:pPr>
                  <w:r>
                    <w:rPr>
                      <w:color w:val="auto"/>
                      <w:spacing w:val="10"/>
                      <w:szCs w:val="21"/>
                    </w:rPr>
                    <w:t>动植物油</w:t>
                  </w:r>
                </w:p>
              </w:tc>
              <w:tc>
                <w:tcPr>
                  <w:tcW w:w="780" w:type="dxa"/>
                  <w:vAlign w:val="center"/>
                </w:tcPr>
                <w:p w14:paraId="4DDA2442">
                  <w:pPr>
                    <w:jc w:val="center"/>
                    <w:rPr>
                      <w:color w:val="auto"/>
                      <w:sz w:val="24"/>
                    </w:rPr>
                  </w:pPr>
                  <w:r>
                    <w:rPr>
                      <w:rFonts w:hint="eastAsia"/>
                      <w:color w:val="auto"/>
                      <w:spacing w:val="10"/>
                      <w:szCs w:val="21"/>
                    </w:rPr>
                    <w:t>LAS</w:t>
                  </w:r>
                </w:p>
              </w:tc>
              <w:tc>
                <w:tcPr>
                  <w:tcW w:w="924" w:type="dxa"/>
                  <w:vAlign w:val="center"/>
                </w:tcPr>
                <w:p w14:paraId="44ADE9CB">
                  <w:pPr>
                    <w:jc w:val="center"/>
                    <w:rPr>
                      <w:color w:val="auto"/>
                      <w:sz w:val="24"/>
                    </w:rPr>
                  </w:pPr>
                  <w:r>
                    <w:rPr>
                      <w:color w:val="auto"/>
                      <w:spacing w:val="10"/>
                      <w:szCs w:val="21"/>
                    </w:rPr>
                    <w:t>COD</w:t>
                  </w:r>
                  <w:r>
                    <w:rPr>
                      <w:rStyle w:val="97"/>
                      <w:rFonts w:hint="eastAsia"/>
                      <w:color w:val="auto"/>
                      <w:vertAlign w:val="subscript"/>
                    </w:rPr>
                    <w:t>C</w:t>
                  </w:r>
                  <w:r>
                    <w:rPr>
                      <w:rStyle w:val="97"/>
                      <w:color w:val="auto"/>
                      <w:vertAlign w:val="subscript"/>
                    </w:rPr>
                    <w:t>r</w:t>
                  </w:r>
                </w:p>
              </w:tc>
              <w:tc>
                <w:tcPr>
                  <w:tcW w:w="1140" w:type="dxa"/>
                  <w:vAlign w:val="center"/>
                </w:tcPr>
                <w:p w14:paraId="5EEEE736">
                  <w:pPr>
                    <w:jc w:val="center"/>
                    <w:rPr>
                      <w:color w:val="auto"/>
                      <w:sz w:val="24"/>
                    </w:rPr>
                  </w:pPr>
                  <w:r>
                    <w:rPr>
                      <w:color w:val="auto"/>
                      <w:spacing w:val="10"/>
                      <w:szCs w:val="21"/>
                    </w:rPr>
                    <w:t>氨氮</w:t>
                  </w:r>
                </w:p>
              </w:tc>
              <w:tc>
                <w:tcPr>
                  <w:tcW w:w="1236" w:type="dxa"/>
                  <w:vAlign w:val="center"/>
                </w:tcPr>
                <w:p w14:paraId="0E28F3FD">
                  <w:pPr>
                    <w:jc w:val="center"/>
                    <w:rPr>
                      <w:color w:val="auto"/>
                      <w:sz w:val="24"/>
                    </w:rPr>
                  </w:pPr>
                  <w:r>
                    <w:rPr>
                      <w:color w:val="auto"/>
                      <w:spacing w:val="10"/>
                      <w:szCs w:val="21"/>
                    </w:rPr>
                    <w:t>总氮</w:t>
                  </w:r>
                </w:p>
              </w:tc>
              <w:tc>
                <w:tcPr>
                  <w:tcW w:w="930" w:type="dxa"/>
                  <w:vAlign w:val="center"/>
                </w:tcPr>
                <w:p w14:paraId="5424DD91">
                  <w:pPr>
                    <w:jc w:val="center"/>
                    <w:rPr>
                      <w:color w:val="auto"/>
                      <w:sz w:val="24"/>
                    </w:rPr>
                  </w:pPr>
                  <w:r>
                    <w:rPr>
                      <w:color w:val="auto"/>
                      <w:spacing w:val="10"/>
                      <w:szCs w:val="21"/>
                    </w:rPr>
                    <w:t>总磷</w:t>
                  </w:r>
                </w:p>
              </w:tc>
            </w:tr>
            <w:tr w14:paraId="33F0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29" w:type="dxa"/>
                  <w:vAlign w:val="center"/>
                </w:tcPr>
                <w:p w14:paraId="453E518E">
                  <w:pPr>
                    <w:jc w:val="center"/>
                    <w:rPr>
                      <w:rFonts w:hint="eastAsia" w:eastAsia="宋体"/>
                      <w:color w:val="auto"/>
                      <w:sz w:val="24"/>
                      <w:lang w:eastAsia="zh-CN"/>
                    </w:rPr>
                  </w:pPr>
                  <w:r>
                    <w:rPr>
                      <w:rFonts w:hint="eastAsia"/>
                      <w:color w:val="auto"/>
                      <w:spacing w:val="10"/>
                      <w:szCs w:val="21"/>
                      <w:lang w:val="en-US" w:eastAsia="zh-CN"/>
                    </w:rPr>
                    <w:t>日均值</w:t>
                  </w:r>
                </w:p>
              </w:tc>
              <w:tc>
                <w:tcPr>
                  <w:tcW w:w="600" w:type="dxa"/>
                  <w:vAlign w:val="center"/>
                </w:tcPr>
                <w:p w14:paraId="02CB8716">
                  <w:pPr>
                    <w:jc w:val="center"/>
                    <w:rPr>
                      <w:color w:val="auto"/>
                      <w:sz w:val="24"/>
                    </w:rPr>
                  </w:pPr>
                  <w:r>
                    <w:rPr>
                      <w:color w:val="auto"/>
                      <w:spacing w:val="10"/>
                      <w:szCs w:val="21"/>
                    </w:rPr>
                    <w:t>6~9</w:t>
                  </w:r>
                </w:p>
              </w:tc>
              <w:tc>
                <w:tcPr>
                  <w:tcW w:w="780" w:type="dxa"/>
                  <w:vAlign w:val="center"/>
                </w:tcPr>
                <w:p w14:paraId="550A09F1">
                  <w:pPr>
                    <w:jc w:val="center"/>
                    <w:rPr>
                      <w:color w:val="auto"/>
                      <w:sz w:val="24"/>
                    </w:rPr>
                  </w:pPr>
                  <w:r>
                    <w:rPr>
                      <w:color w:val="auto"/>
                      <w:spacing w:val="10"/>
                      <w:szCs w:val="21"/>
                    </w:rPr>
                    <w:t>10</w:t>
                  </w:r>
                </w:p>
              </w:tc>
              <w:tc>
                <w:tcPr>
                  <w:tcW w:w="564" w:type="dxa"/>
                  <w:vAlign w:val="center"/>
                </w:tcPr>
                <w:p w14:paraId="7D2C502B">
                  <w:pPr>
                    <w:jc w:val="center"/>
                    <w:rPr>
                      <w:color w:val="auto"/>
                      <w:sz w:val="24"/>
                    </w:rPr>
                  </w:pPr>
                  <w:r>
                    <w:rPr>
                      <w:color w:val="auto"/>
                      <w:spacing w:val="10"/>
                      <w:szCs w:val="21"/>
                    </w:rPr>
                    <w:t>10</w:t>
                  </w:r>
                </w:p>
              </w:tc>
              <w:tc>
                <w:tcPr>
                  <w:tcW w:w="720" w:type="dxa"/>
                  <w:vAlign w:val="center"/>
                </w:tcPr>
                <w:p w14:paraId="280C8EDD">
                  <w:pPr>
                    <w:jc w:val="center"/>
                    <w:rPr>
                      <w:color w:val="auto"/>
                      <w:sz w:val="24"/>
                    </w:rPr>
                  </w:pPr>
                  <w:r>
                    <w:rPr>
                      <w:color w:val="auto"/>
                      <w:spacing w:val="10"/>
                      <w:szCs w:val="21"/>
                    </w:rPr>
                    <w:t>1</w:t>
                  </w:r>
                </w:p>
              </w:tc>
              <w:tc>
                <w:tcPr>
                  <w:tcW w:w="780" w:type="dxa"/>
                  <w:vAlign w:val="center"/>
                </w:tcPr>
                <w:p w14:paraId="04D176E6">
                  <w:pPr>
                    <w:jc w:val="center"/>
                    <w:rPr>
                      <w:color w:val="auto"/>
                      <w:sz w:val="24"/>
                    </w:rPr>
                  </w:pPr>
                  <w:r>
                    <w:rPr>
                      <w:rFonts w:hint="eastAsia"/>
                      <w:color w:val="auto"/>
                      <w:spacing w:val="10"/>
                      <w:szCs w:val="21"/>
                    </w:rPr>
                    <w:t>0.5</w:t>
                  </w:r>
                </w:p>
              </w:tc>
              <w:tc>
                <w:tcPr>
                  <w:tcW w:w="924" w:type="dxa"/>
                  <w:vAlign w:val="center"/>
                </w:tcPr>
                <w:p w14:paraId="72CB1B63">
                  <w:pPr>
                    <w:jc w:val="center"/>
                    <w:rPr>
                      <w:color w:val="auto"/>
                      <w:sz w:val="24"/>
                    </w:rPr>
                  </w:pPr>
                  <w:r>
                    <w:rPr>
                      <w:color w:val="auto"/>
                      <w:spacing w:val="10"/>
                      <w:szCs w:val="21"/>
                    </w:rPr>
                    <w:t>40</w:t>
                  </w:r>
                </w:p>
              </w:tc>
              <w:tc>
                <w:tcPr>
                  <w:tcW w:w="1140" w:type="dxa"/>
                  <w:vAlign w:val="center"/>
                </w:tcPr>
                <w:p w14:paraId="74E689E4">
                  <w:pPr>
                    <w:jc w:val="center"/>
                    <w:rPr>
                      <w:color w:val="auto"/>
                      <w:sz w:val="24"/>
                    </w:rPr>
                  </w:pPr>
                  <w:r>
                    <w:rPr>
                      <w:color w:val="auto"/>
                      <w:spacing w:val="10"/>
                      <w:szCs w:val="21"/>
                    </w:rPr>
                    <w:t>2</w:t>
                  </w:r>
                  <w:r>
                    <w:rPr>
                      <w:rFonts w:hint="eastAsia"/>
                      <w:color w:val="auto"/>
                      <w:spacing w:val="10"/>
                      <w:szCs w:val="21"/>
                      <w:lang w:val="en-US" w:eastAsia="zh-CN"/>
                    </w:rPr>
                    <w:t>(</w:t>
                  </w:r>
                  <w:r>
                    <w:rPr>
                      <w:color w:val="auto"/>
                      <w:spacing w:val="10"/>
                      <w:szCs w:val="21"/>
                    </w:rPr>
                    <w:t>4</w:t>
                  </w:r>
                  <w:r>
                    <w:rPr>
                      <w:rFonts w:hint="eastAsia"/>
                      <w:color w:val="auto"/>
                      <w:spacing w:val="10"/>
                      <w:szCs w:val="21"/>
                      <w:lang w:val="en-US" w:eastAsia="zh-CN"/>
                    </w:rPr>
                    <w:t>)</w:t>
                  </w:r>
                  <w:r>
                    <w:rPr>
                      <w:color w:val="auto"/>
                      <w:szCs w:val="21"/>
                      <w:vertAlign w:val="superscript"/>
                    </w:rPr>
                    <w:t>[1]</w:t>
                  </w:r>
                </w:p>
              </w:tc>
              <w:tc>
                <w:tcPr>
                  <w:tcW w:w="1236" w:type="dxa"/>
                  <w:vAlign w:val="center"/>
                </w:tcPr>
                <w:p w14:paraId="4B44E371">
                  <w:pPr>
                    <w:jc w:val="center"/>
                    <w:rPr>
                      <w:color w:val="auto"/>
                      <w:sz w:val="24"/>
                    </w:rPr>
                  </w:pPr>
                  <w:r>
                    <w:rPr>
                      <w:color w:val="auto"/>
                      <w:spacing w:val="10"/>
                      <w:szCs w:val="21"/>
                    </w:rPr>
                    <w:t>12</w:t>
                  </w:r>
                  <w:r>
                    <w:rPr>
                      <w:rFonts w:hint="eastAsia"/>
                      <w:color w:val="auto"/>
                      <w:spacing w:val="10"/>
                      <w:szCs w:val="21"/>
                      <w:lang w:val="en-US" w:eastAsia="zh-CN"/>
                    </w:rPr>
                    <w:t>(</w:t>
                  </w:r>
                  <w:r>
                    <w:rPr>
                      <w:color w:val="auto"/>
                      <w:spacing w:val="10"/>
                      <w:szCs w:val="21"/>
                    </w:rPr>
                    <w:t>15</w:t>
                  </w:r>
                  <w:r>
                    <w:rPr>
                      <w:rFonts w:hint="eastAsia"/>
                      <w:color w:val="auto"/>
                      <w:spacing w:val="10"/>
                      <w:szCs w:val="21"/>
                      <w:lang w:val="en-US" w:eastAsia="zh-CN"/>
                    </w:rPr>
                    <w:t>)</w:t>
                  </w:r>
                  <w:r>
                    <w:rPr>
                      <w:color w:val="auto"/>
                      <w:szCs w:val="21"/>
                      <w:vertAlign w:val="superscript"/>
                    </w:rPr>
                    <w:t>[1]</w:t>
                  </w:r>
                </w:p>
              </w:tc>
              <w:tc>
                <w:tcPr>
                  <w:tcW w:w="930" w:type="dxa"/>
                  <w:vAlign w:val="center"/>
                </w:tcPr>
                <w:p w14:paraId="2CD64A62">
                  <w:pPr>
                    <w:jc w:val="center"/>
                    <w:rPr>
                      <w:color w:val="auto"/>
                      <w:sz w:val="24"/>
                    </w:rPr>
                  </w:pPr>
                  <w:r>
                    <w:rPr>
                      <w:color w:val="auto"/>
                      <w:spacing w:val="10"/>
                      <w:szCs w:val="21"/>
                    </w:rPr>
                    <w:t>0.3</w:t>
                  </w:r>
                </w:p>
              </w:tc>
            </w:tr>
            <w:tr w14:paraId="5B41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29" w:type="dxa"/>
                  <w:vAlign w:val="center"/>
                </w:tcPr>
                <w:p w14:paraId="6F69E42E">
                  <w:pPr>
                    <w:jc w:val="center"/>
                    <w:rPr>
                      <w:rFonts w:hint="eastAsia" w:eastAsia="宋体"/>
                      <w:color w:val="auto"/>
                      <w:spacing w:val="10"/>
                      <w:szCs w:val="21"/>
                      <w:lang w:val="en-US" w:eastAsia="zh-CN"/>
                    </w:rPr>
                  </w:pPr>
                  <w:r>
                    <w:rPr>
                      <w:rFonts w:hint="eastAsia"/>
                      <w:color w:val="auto"/>
                      <w:spacing w:val="10"/>
                      <w:szCs w:val="21"/>
                      <w:lang w:val="en-US" w:eastAsia="zh-CN"/>
                    </w:rPr>
                    <w:t>瞬时值</w:t>
                  </w:r>
                </w:p>
              </w:tc>
              <w:tc>
                <w:tcPr>
                  <w:tcW w:w="600" w:type="dxa"/>
                  <w:vAlign w:val="center"/>
                </w:tcPr>
                <w:p w14:paraId="58AB2FF4">
                  <w:pPr>
                    <w:jc w:val="center"/>
                    <w:rPr>
                      <w:color w:val="auto"/>
                      <w:spacing w:val="10"/>
                      <w:szCs w:val="21"/>
                    </w:rPr>
                  </w:pPr>
                  <w:r>
                    <w:rPr>
                      <w:color w:val="auto"/>
                      <w:spacing w:val="10"/>
                      <w:szCs w:val="21"/>
                    </w:rPr>
                    <w:t>6~9</w:t>
                  </w:r>
                </w:p>
              </w:tc>
              <w:tc>
                <w:tcPr>
                  <w:tcW w:w="780" w:type="dxa"/>
                  <w:vAlign w:val="center"/>
                </w:tcPr>
                <w:p w14:paraId="1FE86F88">
                  <w:pPr>
                    <w:jc w:val="center"/>
                    <w:rPr>
                      <w:rFonts w:hint="eastAsia" w:eastAsia="宋体"/>
                      <w:color w:val="auto"/>
                      <w:spacing w:val="10"/>
                      <w:szCs w:val="21"/>
                      <w:lang w:val="en-US" w:eastAsia="zh-CN"/>
                    </w:rPr>
                  </w:pPr>
                  <w:r>
                    <w:rPr>
                      <w:rFonts w:hint="eastAsia"/>
                      <w:color w:val="auto"/>
                      <w:spacing w:val="10"/>
                      <w:szCs w:val="21"/>
                      <w:lang w:val="en-US" w:eastAsia="zh-CN"/>
                    </w:rPr>
                    <w:t>/</w:t>
                  </w:r>
                </w:p>
              </w:tc>
              <w:tc>
                <w:tcPr>
                  <w:tcW w:w="564" w:type="dxa"/>
                  <w:vAlign w:val="center"/>
                </w:tcPr>
                <w:p w14:paraId="408EF417">
                  <w:pPr>
                    <w:jc w:val="center"/>
                    <w:rPr>
                      <w:rFonts w:hint="eastAsia" w:eastAsia="宋体"/>
                      <w:color w:val="auto"/>
                      <w:spacing w:val="10"/>
                      <w:szCs w:val="21"/>
                      <w:lang w:val="en-US" w:eastAsia="zh-CN"/>
                    </w:rPr>
                  </w:pPr>
                  <w:r>
                    <w:rPr>
                      <w:rFonts w:hint="eastAsia"/>
                      <w:color w:val="auto"/>
                      <w:spacing w:val="10"/>
                      <w:szCs w:val="21"/>
                      <w:lang w:val="en-US" w:eastAsia="zh-CN"/>
                    </w:rPr>
                    <w:t>/</w:t>
                  </w:r>
                </w:p>
              </w:tc>
              <w:tc>
                <w:tcPr>
                  <w:tcW w:w="720" w:type="dxa"/>
                  <w:vAlign w:val="center"/>
                </w:tcPr>
                <w:p w14:paraId="340CD40C">
                  <w:pPr>
                    <w:jc w:val="center"/>
                    <w:rPr>
                      <w:rFonts w:hint="eastAsia" w:eastAsia="宋体"/>
                      <w:color w:val="auto"/>
                      <w:spacing w:val="10"/>
                      <w:szCs w:val="21"/>
                      <w:lang w:val="en-US" w:eastAsia="zh-CN"/>
                    </w:rPr>
                  </w:pPr>
                  <w:r>
                    <w:rPr>
                      <w:rFonts w:hint="eastAsia"/>
                      <w:color w:val="auto"/>
                      <w:spacing w:val="10"/>
                      <w:szCs w:val="21"/>
                      <w:lang w:val="en-US" w:eastAsia="zh-CN"/>
                    </w:rPr>
                    <w:t>/</w:t>
                  </w:r>
                </w:p>
              </w:tc>
              <w:tc>
                <w:tcPr>
                  <w:tcW w:w="780" w:type="dxa"/>
                  <w:vAlign w:val="center"/>
                </w:tcPr>
                <w:p w14:paraId="0143E710">
                  <w:pPr>
                    <w:jc w:val="center"/>
                    <w:rPr>
                      <w:rFonts w:hint="eastAsia" w:eastAsia="宋体"/>
                      <w:color w:val="auto"/>
                      <w:spacing w:val="10"/>
                      <w:szCs w:val="21"/>
                      <w:lang w:val="en-US" w:eastAsia="zh-CN"/>
                    </w:rPr>
                  </w:pPr>
                  <w:r>
                    <w:rPr>
                      <w:rFonts w:hint="eastAsia"/>
                      <w:color w:val="auto"/>
                      <w:spacing w:val="10"/>
                      <w:szCs w:val="21"/>
                      <w:lang w:val="en-US" w:eastAsia="zh-CN"/>
                    </w:rPr>
                    <w:t>/</w:t>
                  </w:r>
                </w:p>
              </w:tc>
              <w:tc>
                <w:tcPr>
                  <w:tcW w:w="924" w:type="dxa"/>
                  <w:vAlign w:val="center"/>
                </w:tcPr>
                <w:p w14:paraId="6B445CE4">
                  <w:pPr>
                    <w:jc w:val="center"/>
                    <w:rPr>
                      <w:rFonts w:hint="default" w:eastAsia="宋体"/>
                      <w:color w:val="auto"/>
                      <w:spacing w:val="10"/>
                      <w:szCs w:val="21"/>
                      <w:lang w:val="en-US" w:eastAsia="zh-CN"/>
                    </w:rPr>
                  </w:pPr>
                  <w:r>
                    <w:rPr>
                      <w:rFonts w:hint="eastAsia"/>
                      <w:color w:val="auto"/>
                      <w:spacing w:val="10"/>
                      <w:szCs w:val="21"/>
                      <w:lang w:val="en-US" w:eastAsia="zh-CN"/>
                    </w:rPr>
                    <w:t>75</w:t>
                  </w:r>
                </w:p>
              </w:tc>
              <w:tc>
                <w:tcPr>
                  <w:tcW w:w="1140" w:type="dxa"/>
                  <w:vAlign w:val="center"/>
                </w:tcPr>
                <w:p w14:paraId="4CD94EB2">
                  <w:pPr>
                    <w:jc w:val="center"/>
                    <w:rPr>
                      <w:color w:val="auto"/>
                      <w:spacing w:val="10"/>
                      <w:szCs w:val="21"/>
                    </w:rPr>
                  </w:pPr>
                  <w:r>
                    <w:rPr>
                      <w:rFonts w:hint="eastAsia"/>
                      <w:color w:val="auto"/>
                      <w:szCs w:val="21"/>
                    </w:rPr>
                    <w:t>10</w:t>
                  </w:r>
                  <w:r>
                    <w:rPr>
                      <w:rFonts w:hint="eastAsia"/>
                      <w:color w:val="auto"/>
                      <w:szCs w:val="21"/>
                      <w:lang w:val="en-US" w:eastAsia="zh-CN"/>
                    </w:rPr>
                    <w:t>(</w:t>
                  </w:r>
                  <w:r>
                    <w:rPr>
                      <w:rFonts w:hint="eastAsia"/>
                      <w:color w:val="auto"/>
                      <w:szCs w:val="21"/>
                    </w:rPr>
                    <w:t>15</w:t>
                  </w:r>
                  <w:r>
                    <w:rPr>
                      <w:rFonts w:hint="eastAsia"/>
                      <w:color w:val="auto"/>
                      <w:szCs w:val="21"/>
                      <w:lang w:val="en-US" w:eastAsia="zh-CN"/>
                    </w:rPr>
                    <w:t>)</w:t>
                  </w:r>
                  <w:r>
                    <w:rPr>
                      <w:color w:val="auto"/>
                      <w:szCs w:val="21"/>
                      <w:vertAlign w:val="superscript"/>
                    </w:rPr>
                    <w:t>[</w:t>
                  </w:r>
                  <w:r>
                    <w:rPr>
                      <w:rFonts w:hint="eastAsia"/>
                      <w:color w:val="auto"/>
                      <w:szCs w:val="21"/>
                      <w:vertAlign w:val="superscript"/>
                    </w:rPr>
                    <w:t>2</w:t>
                  </w:r>
                  <w:r>
                    <w:rPr>
                      <w:color w:val="auto"/>
                      <w:szCs w:val="21"/>
                      <w:vertAlign w:val="superscript"/>
                    </w:rPr>
                    <w:t>]</w:t>
                  </w:r>
                </w:p>
              </w:tc>
              <w:tc>
                <w:tcPr>
                  <w:tcW w:w="1236" w:type="dxa"/>
                  <w:vAlign w:val="center"/>
                </w:tcPr>
                <w:p w14:paraId="3ECF1B45">
                  <w:pPr>
                    <w:jc w:val="center"/>
                    <w:rPr>
                      <w:rFonts w:hint="default" w:eastAsia="宋体"/>
                      <w:color w:val="auto"/>
                      <w:spacing w:val="10"/>
                      <w:szCs w:val="21"/>
                      <w:lang w:val="en-US" w:eastAsia="zh-CN"/>
                    </w:rPr>
                  </w:pPr>
                  <w:r>
                    <w:rPr>
                      <w:rFonts w:hint="eastAsia"/>
                      <w:color w:val="auto"/>
                      <w:spacing w:val="10"/>
                      <w:szCs w:val="21"/>
                      <w:lang w:val="en-US" w:eastAsia="zh-CN"/>
                    </w:rPr>
                    <w:t>20</w:t>
                  </w:r>
                </w:p>
              </w:tc>
              <w:tc>
                <w:tcPr>
                  <w:tcW w:w="930" w:type="dxa"/>
                  <w:vAlign w:val="center"/>
                </w:tcPr>
                <w:p w14:paraId="54796CF5">
                  <w:pPr>
                    <w:jc w:val="center"/>
                    <w:rPr>
                      <w:color w:val="auto"/>
                      <w:spacing w:val="10"/>
                      <w:szCs w:val="21"/>
                    </w:rPr>
                  </w:pPr>
                  <w:r>
                    <w:rPr>
                      <w:rFonts w:hint="eastAsia"/>
                      <w:color w:val="auto"/>
                      <w:szCs w:val="21"/>
                    </w:rPr>
                    <w:t>1.5</w:t>
                  </w:r>
                  <w:r>
                    <w:rPr>
                      <w:rFonts w:hint="eastAsia"/>
                      <w:color w:val="auto"/>
                      <w:szCs w:val="21"/>
                      <w:lang w:val="en-US" w:eastAsia="zh-CN"/>
                    </w:rPr>
                    <w:t>(</w:t>
                  </w:r>
                  <w:r>
                    <w:rPr>
                      <w:rFonts w:hint="eastAsia"/>
                      <w:color w:val="auto"/>
                      <w:szCs w:val="21"/>
                    </w:rPr>
                    <w:t>1</w:t>
                  </w:r>
                  <w:r>
                    <w:rPr>
                      <w:rFonts w:hint="eastAsia"/>
                      <w:color w:val="auto"/>
                      <w:szCs w:val="21"/>
                      <w:lang w:val="en-US" w:eastAsia="zh-CN"/>
                    </w:rPr>
                    <w:t>)</w:t>
                  </w:r>
                  <w:r>
                    <w:rPr>
                      <w:color w:val="auto"/>
                      <w:szCs w:val="21"/>
                      <w:vertAlign w:val="superscript"/>
                    </w:rPr>
                    <w:t>[</w:t>
                  </w:r>
                  <w:r>
                    <w:rPr>
                      <w:rFonts w:hint="eastAsia"/>
                      <w:color w:val="auto"/>
                      <w:szCs w:val="21"/>
                      <w:vertAlign w:val="superscript"/>
                      <w:lang w:val="en-US" w:eastAsia="zh-CN"/>
                    </w:rPr>
                    <w:t>3</w:t>
                  </w:r>
                  <w:r>
                    <w:rPr>
                      <w:color w:val="auto"/>
                      <w:szCs w:val="21"/>
                      <w:vertAlign w:val="superscript"/>
                    </w:rPr>
                    <w:t>]</w:t>
                  </w:r>
                </w:p>
              </w:tc>
            </w:tr>
            <w:tr w14:paraId="1F85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729" w:type="dxa"/>
                  <w:vAlign w:val="center"/>
                </w:tcPr>
                <w:p w14:paraId="24D5F396">
                  <w:pPr>
                    <w:jc w:val="center"/>
                    <w:rPr>
                      <w:color w:val="auto"/>
                      <w:spacing w:val="10"/>
                      <w:szCs w:val="21"/>
                    </w:rPr>
                  </w:pPr>
                  <w:r>
                    <w:rPr>
                      <w:color w:val="auto"/>
                      <w:spacing w:val="10"/>
                      <w:szCs w:val="21"/>
                    </w:rPr>
                    <w:t>标准</w:t>
                  </w:r>
                </w:p>
              </w:tc>
              <w:tc>
                <w:tcPr>
                  <w:tcW w:w="3444" w:type="dxa"/>
                  <w:gridSpan w:val="5"/>
                  <w:vAlign w:val="center"/>
                </w:tcPr>
                <w:p w14:paraId="3EEE7771">
                  <w:pPr>
                    <w:jc w:val="both"/>
                    <w:rPr>
                      <w:color w:val="auto"/>
                      <w:spacing w:val="10"/>
                      <w:szCs w:val="21"/>
                    </w:rPr>
                  </w:pPr>
                  <w:r>
                    <w:rPr>
                      <w:color w:val="auto"/>
                      <w:spacing w:val="10"/>
                      <w:szCs w:val="21"/>
                    </w:rPr>
                    <w:t>《城镇污水处理厂污染物排放标准》（GB18918-2002</w:t>
                  </w:r>
                  <w:r>
                    <w:rPr>
                      <w:rFonts w:hint="eastAsia"/>
                      <w:color w:val="auto"/>
                      <w:spacing w:val="10"/>
                      <w:szCs w:val="21"/>
                      <w:lang w:eastAsia="zh-CN"/>
                    </w:rPr>
                    <w:t>，含2006年、2025年修改单</w:t>
                  </w:r>
                  <w:r>
                    <w:rPr>
                      <w:color w:val="auto"/>
                      <w:spacing w:val="10"/>
                      <w:szCs w:val="21"/>
                    </w:rPr>
                    <w:t>）一级A标准</w:t>
                  </w:r>
                </w:p>
              </w:tc>
              <w:tc>
                <w:tcPr>
                  <w:tcW w:w="4230" w:type="dxa"/>
                  <w:gridSpan w:val="4"/>
                  <w:vAlign w:val="center"/>
                </w:tcPr>
                <w:p w14:paraId="42503BA0">
                  <w:pPr>
                    <w:jc w:val="both"/>
                    <w:rPr>
                      <w:rFonts w:hint="eastAsia"/>
                      <w:b/>
                      <w:bCs/>
                      <w:color w:val="auto"/>
                      <w:spacing w:val="10"/>
                      <w:szCs w:val="21"/>
                      <w:lang w:val="en-US" w:eastAsia="zh-CN"/>
                    </w:rPr>
                  </w:pPr>
                  <w:r>
                    <w:rPr>
                      <w:rFonts w:hint="eastAsia"/>
                      <w:b/>
                      <w:bCs/>
                      <w:color w:val="auto"/>
                      <w:spacing w:val="10"/>
                      <w:szCs w:val="21"/>
                      <w:lang w:val="en-US" w:eastAsia="zh-CN"/>
                    </w:rPr>
                    <w:t>日均值：</w:t>
                  </w:r>
                </w:p>
                <w:p w14:paraId="5D68FB7F">
                  <w:pPr>
                    <w:jc w:val="both"/>
                    <w:rPr>
                      <w:rFonts w:hint="eastAsia"/>
                      <w:color w:val="auto"/>
                      <w:spacing w:val="10"/>
                      <w:szCs w:val="21"/>
                      <w:lang w:eastAsia="zh-CN"/>
                    </w:rPr>
                  </w:pPr>
                  <w:r>
                    <w:rPr>
                      <w:color w:val="auto"/>
                      <w:spacing w:val="10"/>
                      <w:szCs w:val="21"/>
                    </w:rPr>
                    <w:t>《城镇污水处理厂主要水污染物排放标准》（DB33/2169-2018）表1</w:t>
                  </w:r>
                  <w:r>
                    <w:rPr>
                      <w:rFonts w:hint="eastAsia"/>
                      <w:color w:val="auto"/>
                      <w:spacing w:val="10"/>
                      <w:szCs w:val="21"/>
                      <w:lang w:eastAsia="zh-CN"/>
                    </w:rPr>
                    <w:t>。</w:t>
                  </w:r>
                </w:p>
                <w:p w14:paraId="5FA862F6">
                  <w:pPr>
                    <w:jc w:val="both"/>
                    <w:rPr>
                      <w:rFonts w:hint="eastAsia"/>
                      <w:b/>
                      <w:bCs/>
                      <w:color w:val="auto"/>
                      <w:spacing w:val="10"/>
                      <w:szCs w:val="21"/>
                      <w:lang w:val="en-US" w:eastAsia="zh-CN"/>
                    </w:rPr>
                  </w:pPr>
                  <w:r>
                    <w:rPr>
                      <w:rFonts w:hint="eastAsia"/>
                      <w:b/>
                      <w:bCs/>
                      <w:color w:val="auto"/>
                      <w:spacing w:val="10"/>
                      <w:szCs w:val="21"/>
                      <w:lang w:val="en-US" w:eastAsia="zh-CN"/>
                    </w:rPr>
                    <w:t>瞬时值：</w:t>
                  </w:r>
                </w:p>
                <w:p w14:paraId="728A5F29">
                  <w:pPr>
                    <w:jc w:val="both"/>
                    <w:rPr>
                      <w:color w:val="auto"/>
                      <w:spacing w:val="10"/>
                      <w:szCs w:val="21"/>
                    </w:rPr>
                  </w:pPr>
                  <w:r>
                    <w:rPr>
                      <w:color w:val="auto"/>
                      <w:spacing w:val="10"/>
                      <w:szCs w:val="21"/>
                    </w:rPr>
                    <w:t>《城镇污水处理厂污染物排放标准》（GB18918-2002</w:t>
                  </w:r>
                  <w:r>
                    <w:rPr>
                      <w:rFonts w:hint="eastAsia"/>
                      <w:color w:val="auto"/>
                      <w:spacing w:val="10"/>
                      <w:szCs w:val="21"/>
                      <w:lang w:eastAsia="zh-CN"/>
                    </w:rPr>
                    <w:t>，含2006年、2025年修改单）一级A标准。</w:t>
                  </w:r>
                </w:p>
              </w:tc>
            </w:tr>
            <w:tr w14:paraId="27CD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8403" w:type="dxa"/>
                  <w:gridSpan w:val="10"/>
                  <w:vAlign w:val="center"/>
                </w:tcPr>
                <w:p w14:paraId="2C034073">
                  <w:pPr>
                    <w:jc w:val="left"/>
                    <w:rPr>
                      <w:rFonts w:hint="eastAsia"/>
                      <w:color w:val="auto"/>
                      <w:spacing w:val="10"/>
                      <w:szCs w:val="21"/>
                    </w:rPr>
                  </w:pPr>
                  <w:r>
                    <w:rPr>
                      <w:color w:val="auto"/>
                      <w:spacing w:val="10"/>
                      <w:szCs w:val="21"/>
                    </w:rPr>
                    <w:t>注：</w:t>
                  </w:r>
                  <w:r>
                    <w:rPr>
                      <w:rFonts w:hint="eastAsia"/>
                      <w:color w:val="auto"/>
                      <w:spacing w:val="10"/>
                      <w:szCs w:val="21"/>
                    </w:rPr>
                    <w:t>[1]括号内数值为每年11月1日至次年3月31日执行。</w:t>
                  </w:r>
                </w:p>
                <w:p w14:paraId="6C124EAB">
                  <w:pPr>
                    <w:ind w:firstLine="460" w:firstLineChars="200"/>
                    <w:jc w:val="left"/>
                    <w:rPr>
                      <w:rFonts w:hint="eastAsia"/>
                      <w:color w:val="auto"/>
                      <w:spacing w:val="10"/>
                      <w:szCs w:val="21"/>
                    </w:rPr>
                  </w:pPr>
                  <w:r>
                    <w:rPr>
                      <w:rFonts w:hint="eastAsia"/>
                      <w:color w:val="auto"/>
                      <w:spacing w:val="10"/>
                      <w:szCs w:val="21"/>
                    </w:rPr>
                    <w:t>[2]括号外数值为水温&gt;12℃时的控制指标，括号内数值为水温≤12℃时的控制指标。</w:t>
                  </w:r>
                </w:p>
                <w:p w14:paraId="51759B22">
                  <w:pPr>
                    <w:ind w:firstLine="460" w:firstLineChars="200"/>
                    <w:jc w:val="left"/>
                    <w:rPr>
                      <w:color w:val="auto"/>
                      <w:spacing w:val="10"/>
                      <w:szCs w:val="21"/>
                    </w:rPr>
                  </w:pPr>
                  <w:r>
                    <w:rPr>
                      <w:rFonts w:hint="eastAsia"/>
                      <w:color w:val="auto"/>
                      <w:spacing w:val="10"/>
                      <w:szCs w:val="21"/>
                    </w:rPr>
                    <w:t>[3]括号外为2005年12月31日前建设的，括号内为2006年1月1日起建设的；2005年12月31日前建设的城镇污水处理厂，自2028年1月1日起，执行2006年1月1日起建设的城镇污水处理厂的排放限值。</w:t>
                  </w:r>
                </w:p>
              </w:tc>
            </w:tr>
          </w:tbl>
          <w:p w14:paraId="7FFAA76D">
            <w:pPr>
              <w:numPr>
                <w:ilvl w:val="0"/>
                <w:numId w:val="0"/>
              </w:numPr>
              <w:tabs>
                <w:tab w:val="left" w:pos="993"/>
              </w:tabs>
              <w:adjustRightInd w:val="0"/>
              <w:spacing w:line="360" w:lineRule="auto"/>
              <w:ind w:leftChars="0"/>
              <w:rPr>
                <w:b/>
                <w:bCs/>
                <w:color w:val="auto"/>
                <w:sz w:val="24"/>
              </w:rPr>
            </w:pPr>
          </w:p>
          <w:p w14:paraId="0BC2FE84">
            <w:pPr>
              <w:numPr>
                <w:ilvl w:val="0"/>
                <w:numId w:val="24"/>
              </w:numPr>
              <w:tabs>
                <w:tab w:val="left" w:pos="993"/>
              </w:tabs>
              <w:adjustRightInd w:val="0"/>
              <w:spacing w:line="360" w:lineRule="auto"/>
              <w:rPr>
                <w:b/>
                <w:bCs/>
                <w:color w:val="auto"/>
                <w:sz w:val="24"/>
              </w:rPr>
            </w:pPr>
            <w:r>
              <w:rPr>
                <w:b/>
                <w:bCs/>
                <w:color w:val="auto"/>
                <w:sz w:val="24"/>
              </w:rPr>
              <w:t>噪声</w:t>
            </w:r>
          </w:p>
          <w:p w14:paraId="52AAB990">
            <w:pPr>
              <w:tabs>
                <w:tab w:val="left" w:pos="1662"/>
                <w:tab w:val="left" w:pos="7628"/>
              </w:tabs>
              <w:spacing w:line="360" w:lineRule="auto"/>
              <w:ind w:firstLine="480" w:firstLineChars="200"/>
              <w:rPr>
                <w:color w:val="auto"/>
                <w:sz w:val="24"/>
                <w:lang w:val="zh-CN"/>
              </w:rPr>
            </w:pPr>
            <w:r>
              <w:rPr>
                <w:color w:val="auto"/>
                <w:sz w:val="24"/>
                <w:lang w:val="zh-CN"/>
              </w:rPr>
              <w:t>本项目位于</w:t>
            </w:r>
            <w:r>
              <w:rPr>
                <w:rFonts w:hint="eastAsia"/>
                <w:color w:val="auto"/>
                <w:sz w:val="24"/>
              </w:rPr>
              <w:t>浙江省湖州市南浔区练市镇水口村东堡工业区</w:t>
            </w:r>
            <w:r>
              <w:rPr>
                <w:color w:val="auto"/>
                <w:sz w:val="24"/>
                <w:lang w:val="zh-CN"/>
              </w:rPr>
              <w:t>，为工业、居住混杂区，营运期厂界噪声排放执行《工业企业厂界环境噪声排放标准》（GB12348-2008）中2类标准。具体标准详见下表。</w:t>
            </w:r>
          </w:p>
          <w:p w14:paraId="15FE0D76">
            <w:pPr>
              <w:numPr>
                <w:ilvl w:val="0"/>
                <w:numId w:val="23"/>
              </w:numPr>
              <w:adjustRightInd w:val="0"/>
              <w:snapToGrid w:val="0"/>
              <w:spacing w:before="48" w:beforeLines="20" w:after="48" w:afterLines="20" w:line="0" w:lineRule="atLeast"/>
              <w:jc w:val="center"/>
              <w:rPr>
                <w:b/>
                <w:bCs/>
                <w:color w:val="auto"/>
                <w:sz w:val="24"/>
              </w:rPr>
            </w:pPr>
            <w:r>
              <w:rPr>
                <w:b/>
                <w:bCs/>
                <w:color w:val="auto"/>
                <w:sz w:val="24"/>
              </w:rPr>
              <w:t>《工业企业厂界环境噪声排放标准》（GB12348-2008）</w:t>
            </w:r>
          </w:p>
          <w:p w14:paraId="4E5725C2">
            <w:pPr>
              <w:tabs>
                <w:tab w:val="left" w:pos="1662"/>
                <w:tab w:val="left" w:pos="7628"/>
              </w:tabs>
              <w:spacing w:line="360" w:lineRule="auto"/>
              <w:ind w:firstLine="425"/>
              <w:jc w:val="right"/>
              <w:rPr>
                <w:b/>
                <w:bCs/>
                <w:color w:val="auto"/>
                <w:sz w:val="24"/>
              </w:rPr>
            </w:pPr>
            <w:r>
              <w:rPr>
                <w:rFonts w:hint="eastAsia"/>
                <w:color w:val="auto"/>
                <w:sz w:val="24"/>
              </w:rPr>
              <w:t>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700"/>
              <w:gridCol w:w="1893"/>
              <w:gridCol w:w="700"/>
              <w:gridCol w:w="700"/>
              <w:gridCol w:w="1160"/>
            </w:tblGrid>
            <w:tr w14:paraId="2744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30" w:type="pct"/>
                  <w:vMerge w:val="restart"/>
                  <w:tcBorders>
                    <w:tl2br w:val="nil"/>
                    <w:tr2bl w:val="nil"/>
                  </w:tcBorders>
                  <w:vAlign w:val="center"/>
                </w:tcPr>
                <w:p w14:paraId="00505EAB">
                  <w:pPr>
                    <w:adjustRightInd w:val="0"/>
                    <w:snapToGrid w:val="0"/>
                    <w:jc w:val="center"/>
                    <w:rPr>
                      <w:b w:val="0"/>
                      <w:bCs w:val="0"/>
                      <w:color w:val="auto"/>
                      <w:szCs w:val="21"/>
                    </w:rPr>
                  </w:pPr>
                  <w:r>
                    <w:rPr>
                      <w:b w:val="0"/>
                      <w:bCs w:val="0"/>
                      <w:color w:val="auto"/>
                      <w:szCs w:val="21"/>
                    </w:rPr>
                    <w:t>标准名称</w:t>
                  </w:r>
                </w:p>
              </w:tc>
              <w:tc>
                <w:tcPr>
                  <w:tcW w:w="417" w:type="pct"/>
                  <w:vMerge w:val="restart"/>
                  <w:tcBorders>
                    <w:tl2br w:val="nil"/>
                    <w:tr2bl w:val="nil"/>
                  </w:tcBorders>
                  <w:vAlign w:val="center"/>
                </w:tcPr>
                <w:p w14:paraId="264C7BC6">
                  <w:pPr>
                    <w:adjustRightInd w:val="0"/>
                    <w:snapToGrid w:val="0"/>
                    <w:jc w:val="center"/>
                    <w:rPr>
                      <w:b w:val="0"/>
                      <w:bCs w:val="0"/>
                      <w:color w:val="auto"/>
                      <w:szCs w:val="21"/>
                    </w:rPr>
                  </w:pPr>
                  <w:r>
                    <w:rPr>
                      <w:b w:val="0"/>
                      <w:bCs w:val="0"/>
                      <w:color w:val="auto"/>
                      <w:szCs w:val="21"/>
                    </w:rPr>
                    <w:t>适用</w:t>
                  </w:r>
                </w:p>
                <w:p w14:paraId="5F351081">
                  <w:pPr>
                    <w:adjustRightInd w:val="0"/>
                    <w:snapToGrid w:val="0"/>
                    <w:jc w:val="center"/>
                    <w:rPr>
                      <w:b w:val="0"/>
                      <w:bCs w:val="0"/>
                      <w:color w:val="auto"/>
                      <w:szCs w:val="21"/>
                    </w:rPr>
                  </w:pPr>
                  <w:r>
                    <w:rPr>
                      <w:b w:val="0"/>
                      <w:bCs w:val="0"/>
                      <w:color w:val="auto"/>
                      <w:szCs w:val="21"/>
                    </w:rPr>
                    <w:t>类别</w:t>
                  </w:r>
                </w:p>
              </w:tc>
              <w:tc>
                <w:tcPr>
                  <w:tcW w:w="1128" w:type="pct"/>
                  <w:vMerge w:val="restart"/>
                  <w:tcBorders>
                    <w:tl2br w:val="nil"/>
                    <w:tr2bl w:val="nil"/>
                  </w:tcBorders>
                  <w:vAlign w:val="center"/>
                </w:tcPr>
                <w:p w14:paraId="11C70839">
                  <w:pPr>
                    <w:adjustRightInd w:val="0"/>
                    <w:snapToGrid w:val="0"/>
                    <w:jc w:val="center"/>
                    <w:rPr>
                      <w:b w:val="0"/>
                      <w:bCs w:val="0"/>
                      <w:color w:val="auto"/>
                      <w:szCs w:val="21"/>
                    </w:rPr>
                  </w:pPr>
                  <w:r>
                    <w:rPr>
                      <w:b w:val="0"/>
                      <w:bCs w:val="0"/>
                      <w:color w:val="auto"/>
                      <w:szCs w:val="21"/>
                    </w:rPr>
                    <w:t>参数名称</w:t>
                  </w:r>
                </w:p>
              </w:tc>
              <w:tc>
                <w:tcPr>
                  <w:tcW w:w="834" w:type="pct"/>
                  <w:gridSpan w:val="2"/>
                  <w:tcBorders>
                    <w:tl2br w:val="nil"/>
                    <w:tr2bl w:val="nil"/>
                  </w:tcBorders>
                  <w:vAlign w:val="center"/>
                </w:tcPr>
                <w:p w14:paraId="1B9320A4">
                  <w:pPr>
                    <w:adjustRightInd w:val="0"/>
                    <w:snapToGrid w:val="0"/>
                    <w:jc w:val="center"/>
                    <w:rPr>
                      <w:b w:val="0"/>
                      <w:bCs w:val="0"/>
                      <w:color w:val="auto"/>
                      <w:szCs w:val="21"/>
                    </w:rPr>
                  </w:pPr>
                  <w:r>
                    <w:rPr>
                      <w:b w:val="0"/>
                      <w:bCs w:val="0"/>
                      <w:color w:val="auto"/>
                      <w:szCs w:val="21"/>
                    </w:rPr>
                    <w:t>标准限值</w:t>
                  </w:r>
                </w:p>
              </w:tc>
              <w:tc>
                <w:tcPr>
                  <w:tcW w:w="691" w:type="pct"/>
                  <w:vMerge w:val="restart"/>
                  <w:tcBorders>
                    <w:tl2br w:val="nil"/>
                    <w:tr2bl w:val="nil"/>
                  </w:tcBorders>
                  <w:vAlign w:val="center"/>
                </w:tcPr>
                <w:p w14:paraId="7657F450">
                  <w:pPr>
                    <w:adjustRightInd w:val="0"/>
                    <w:snapToGrid w:val="0"/>
                    <w:jc w:val="center"/>
                    <w:rPr>
                      <w:b w:val="0"/>
                      <w:bCs w:val="0"/>
                      <w:color w:val="auto"/>
                      <w:szCs w:val="21"/>
                    </w:rPr>
                  </w:pPr>
                  <w:r>
                    <w:rPr>
                      <w:b w:val="0"/>
                      <w:bCs w:val="0"/>
                      <w:color w:val="auto"/>
                      <w:szCs w:val="21"/>
                    </w:rPr>
                    <w:t>评价对象</w:t>
                  </w:r>
                </w:p>
              </w:tc>
            </w:tr>
            <w:tr w14:paraId="5F74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30" w:type="pct"/>
                  <w:vMerge w:val="continue"/>
                  <w:tcBorders>
                    <w:tl2br w:val="nil"/>
                    <w:tr2bl w:val="nil"/>
                  </w:tcBorders>
                  <w:vAlign w:val="center"/>
                </w:tcPr>
                <w:p w14:paraId="0E8F8397">
                  <w:pPr>
                    <w:adjustRightInd w:val="0"/>
                    <w:snapToGrid w:val="0"/>
                    <w:jc w:val="center"/>
                    <w:rPr>
                      <w:color w:val="auto"/>
                      <w:szCs w:val="21"/>
                    </w:rPr>
                  </w:pPr>
                </w:p>
              </w:tc>
              <w:tc>
                <w:tcPr>
                  <w:tcW w:w="417" w:type="pct"/>
                  <w:vMerge w:val="continue"/>
                  <w:tcBorders>
                    <w:tl2br w:val="nil"/>
                    <w:tr2bl w:val="nil"/>
                  </w:tcBorders>
                  <w:vAlign w:val="center"/>
                </w:tcPr>
                <w:p w14:paraId="32B802A3">
                  <w:pPr>
                    <w:adjustRightInd w:val="0"/>
                    <w:snapToGrid w:val="0"/>
                    <w:jc w:val="center"/>
                    <w:rPr>
                      <w:color w:val="auto"/>
                      <w:szCs w:val="21"/>
                    </w:rPr>
                  </w:pPr>
                </w:p>
              </w:tc>
              <w:tc>
                <w:tcPr>
                  <w:tcW w:w="1128" w:type="pct"/>
                  <w:vMerge w:val="continue"/>
                  <w:tcBorders>
                    <w:tl2br w:val="nil"/>
                    <w:tr2bl w:val="nil"/>
                  </w:tcBorders>
                  <w:vAlign w:val="center"/>
                </w:tcPr>
                <w:p w14:paraId="5849E554">
                  <w:pPr>
                    <w:adjustRightInd w:val="0"/>
                    <w:snapToGrid w:val="0"/>
                    <w:jc w:val="center"/>
                    <w:rPr>
                      <w:color w:val="auto"/>
                      <w:szCs w:val="21"/>
                    </w:rPr>
                  </w:pPr>
                </w:p>
              </w:tc>
              <w:tc>
                <w:tcPr>
                  <w:tcW w:w="417" w:type="pct"/>
                  <w:tcBorders>
                    <w:tl2br w:val="nil"/>
                    <w:tr2bl w:val="nil"/>
                  </w:tcBorders>
                  <w:vAlign w:val="center"/>
                </w:tcPr>
                <w:p w14:paraId="25EFB79C">
                  <w:pPr>
                    <w:adjustRightInd w:val="0"/>
                    <w:snapToGrid w:val="0"/>
                    <w:jc w:val="center"/>
                    <w:rPr>
                      <w:b w:val="0"/>
                      <w:bCs w:val="0"/>
                      <w:color w:val="auto"/>
                      <w:szCs w:val="21"/>
                    </w:rPr>
                  </w:pPr>
                  <w:r>
                    <w:rPr>
                      <w:b w:val="0"/>
                      <w:bCs w:val="0"/>
                      <w:color w:val="auto"/>
                      <w:szCs w:val="21"/>
                    </w:rPr>
                    <w:t>昼间</w:t>
                  </w:r>
                </w:p>
              </w:tc>
              <w:tc>
                <w:tcPr>
                  <w:tcW w:w="417" w:type="pct"/>
                  <w:tcBorders>
                    <w:tl2br w:val="nil"/>
                    <w:tr2bl w:val="nil"/>
                  </w:tcBorders>
                  <w:vAlign w:val="center"/>
                </w:tcPr>
                <w:p w14:paraId="7863AB51">
                  <w:pPr>
                    <w:adjustRightInd w:val="0"/>
                    <w:snapToGrid w:val="0"/>
                    <w:jc w:val="center"/>
                    <w:rPr>
                      <w:b w:val="0"/>
                      <w:bCs w:val="0"/>
                      <w:color w:val="auto"/>
                      <w:szCs w:val="21"/>
                    </w:rPr>
                  </w:pPr>
                  <w:r>
                    <w:rPr>
                      <w:b w:val="0"/>
                      <w:bCs w:val="0"/>
                      <w:color w:val="auto"/>
                      <w:szCs w:val="21"/>
                    </w:rPr>
                    <w:t>夜间</w:t>
                  </w:r>
                </w:p>
              </w:tc>
              <w:tc>
                <w:tcPr>
                  <w:tcW w:w="691" w:type="pct"/>
                  <w:vMerge w:val="continue"/>
                  <w:tcBorders>
                    <w:tl2br w:val="nil"/>
                    <w:tr2bl w:val="nil"/>
                  </w:tcBorders>
                  <w:vAlign w:val="center"/>
                </w:tcPr>
                <w:p w14:paraId="22B045DA">
                  <w:pPr>
                    <w:adjustRightInd w:val="0"/>
                    <w:snapToGrid w:val="0"/>
                    <w:jc w:val="center"/>
                    <w:rPr>
                      <w:color w:val="auto"/>
                      <w:szCs w:val="21"/>
                    </w:rPr>
                  </w:pPr>
                </w:p>
              </w:tc>
            </w:tr>
            <w:tr w14:paraId="4DCF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30" w:type="pct"/>
                  <w:tcBorders>
                    <w:tl2br w:val="nil"/>
                    <w:tr2bl w:val="nil"/>
                  </w:tcBorders>
                  <w:vAlign w:val="center"/>
                </w:tcPr>
                <w:p w14:paraId="14624354">
                  <w:pPr>
                    <w:adjustRightInd w:val="0"/>
                    <w:snapToGrid w:val="0"/>
                    <w:jc w:val="center"/>
                    <w:rPr>
                      <w:color w:val="auto"/>
                      <w:szCs w:val="21"/>
                    </w:rPr>
                  </w:pPr>
                  <w:r>
                    <w:rPr>
                      <w:color w:val="auto"/>
                      <w:szCs w:val="21"/>
                    </w:rPr>
                    <w:t>《工业企业厂界环境噪声排放标准》（GB12348-2008）</w:t>
                  </w:r>
                </w:p>
              </w:tc>
              <w:tc>
                <w:tcPr>
                  <w:tcW w:w="417" w:type="pct"/>
                  <w:tcBorders>
                    <w:tl2br w:val="nil"/>
                    <w:tr2bl w:val="nil"/>
                  </w:tcBorders>
                  <w:vAlign w:val="center"/>
                </w:tcPr>
                <w:p w14:paraId="18BD9D3F">
                  <w:pPr>
                    <w:pStyle w:val="129"/>
                    <w:spacing w:line="240" w:lineRule="auto"/>
                    <w:rPr>
                      <w:rFonts w:ascii="Times New Roman" w:hAnsi="Times New Roman"/>
                      <w:color w:val="auto"/>
                      <w:szCs w:val="21"/>
                    </w:rPr>
                  </w:pPr>
                  <w:r>
                    <w:rPr>
                      <w:rFonts w:hint="eastAsia" w:ascii="Times New Roman" w:hAnsi="Times New Roman"/>
                      <w:color w:val="auto"/>
                      <w:szCs w:val="21"/>
                    </w:rPr>
                    <w:t>2</w:t>
                  </w:r>
                  <w:r>
                    <w:rPr>
                      <w:rFonts w:ascii="Times New Roman" w:hAnsi="Times New Roman"/>
                      <w:color w:val="auto"/>
                      <w:szCs w:val="21"/>
                    </w:rPr>
                    <w:t>类</w:t>
                  </w:r>
                </w:p>
              </w:tc>
              <w:tc>
                <w:tcPr>
                  <w:tcW w:w="1128" w:type="pct"/>
                  <w:tcBorders>
                    <w:tl2br w:val="nil"/>
                    <w:tr2bl w:val="nil"/>
                  </w:tcBorders>
                  <w:vAlign w:val="center"/>
                </w:tcPr>
                <w:p w14:paraId="3D464869">
                  <w:pPr>
                    <w:pStyle w:val="129"/>
                    <w:spacing w:line="240" w:lineRule="auto"/>
                    <w:rPr>
                      <w:rFonts w:ascii="Times New Roman" w:hAnsi="Times New Roman"/>
                      <w:color w:val="auto"/>
                      <w:szCs w:val="21"/>
                    </w:rPr>
                  </w:pPr>
                  <w:r>
                    <w:rPr>
                      <w:rFonts w:ascii="Times New Roman" w:hAnsi="Times New Roman"/>
                      <w:color w:val="auto"/>
                      <w:szCs w:val="21"/>
                    </w:rPr>
                    <w:t>等效连续A声级</w:t>
                  </w:r>
                </w:p>
              </w:tc>
              <w:tc>
                <w:tcPr>
                  <w:tcW w:w="417" w:type="pct"/>
                  <w:tcBorders>
                    <w:tl2br w:val="nil"/>
                    <w:tr2bl w:val="nil"/>
                  </w:tcBorders>
                  <w:vAlign w:val="center"/>
                </w:tcPr>
                <w:p w14:paraId="4C54CBC5">
                  <w:pPr>
                    <w:pStyle w:val="129"/>
                    <w:spacing w:line="240" w:lineRule="auto"/>
                    <w:rPr>
                      <w:rFonts w:ascii="Times New Roman" w:hAnsi="Times New Roman"/>
                      <w:color w:val="auto"/>
                      <w:szCs w:val="21"/>
                    </w:rPr>
                  </w:pPr>
                  <w:r>
                    <w:rPr>
                      <w:rFonts w:hint="eastAsia" w:ascii="Times New Roman" w:hAnsi="Times New Roman"/>
                      <w:color w:val="auto"/>
                      <w:szCs w:val="21"/>
                    </w:rPr>
                    <w:t>60</w:t>
                  </w:r>
                </w:p>
              </w:tc>
              <w:tc>
                <w:tcPr>
                  <w:tcW w:w="417" w:type="pct"/>
                  <w:tcBorders>
                    <w:tl2br w:val="nil"/>
                    <w:tr2bl w:val="nil"/>
                  </w:tcBorders>
                  <w:vAlign w:val="center"/>
                </w:tcPr>
                <w:p w14:paraId="6C1A266C">
                  <w:pPr>
                    <w:pStyle w:val="129"/>
                    <w:spacing w:line="240" w:lineRule="auto"/>
                    <w:rPr>
                      <w:rFonts w:ascii="Times New Roman" w:hAnsi="Times New Roman"/>
                      <w:color w:val="auto"/>
                      <w:szCs w:val="21"/>
                    </w:rPr>
                  </w:pPr>
                  <w:r>
                    <w:rPr>
                      <w:rFonts w:hint="eastAsia" w:ascii="Times New Roman" w:hAnsi="Times New Roman"/>
                      <w:color w:val="auto"/>
                      <w:szCs w:val="21"/>
                    </w:rPr>
                    <w:t>50</w:t>
                  </w:r>
                </w:p>
              </w:tc>
              <w:tc>
                <w:tcPr>
                  <w:tcW w:w="691" w:type="pct"/>
                  <w:tcBorders>
                    <w:tl2br w:val="nil"/>
                    <w:tr2bl w:val="nil"/>
                  </w:tcBorders>
                  <w:vAlign w:val="center"/>
                </w:tcPr>
                <w:p w14:paraId="4240DF9E">
                  <w:pPr>
                    <w:pStyle w:val="57"/>
                    <w:ind w:left="-107" w:leftChars="-51" w:right="-115" w:rightChars="-55"/>
                    <w:jc w:val="center"/>
                    <w:rPr>
                      <w:color w:val="auto"/>
                      <w:sz w:val="21"/>
                      <w:szCs w:val="21"/>
                    </w:rPr>
                  </w:pPr>
                  <w:r>
                    <w:rPr>
                      <w:color w:val="auto"/>
                      <w:sz w:val="21"/>
                      <w:szCs w:val="21"/>
                    </w:rPr>
                    <w:t>四周厂界</w:t>
                  </w:r>
                </w:p>
              </w:tc>
            </w:tr>
          </w:tbl>
          <w:p w14:paraId="2B117933">
            <w:pPr>
              <w:numPr>
                <w:ilvl w:val="0"/>
                <w:numId w:val="24"/>
              </w:numPr>
              <w:tabs>
                <w:tab w:val="left" w:pos="993"/>
              </w:tabs>
              <w:adjustRightInd w:val="0"/>
              <w:spacing w:line="360" w:lineRule="auto"/>
              <w:rPr>
                <w:b/>
                <w:bCs/>
                <w:color w:val="auto"/>
                <w:sz w:val="24"/>
              </w:rPr>
            </w:pPr>
            <w:r>
              <w:rPr>
                <w:b/>
                <w:bCs/>
                <w:color w:val="auto"/>
                <w:sz w:val="24"/>
              </w:rPr>
              <w:t>固体废物</w:t>
            </w:r>
          </w:p>
          <w:p w14:paraId="586367FA">
            <w:pPr>
              <w:tabs>
                <w:tab w:val="left" w:pos="1662"/>
                <w:tab w:val="left" w:pos="7628"/>
              </w:tabs>
              <w:spacing w:line="360" w:lineRule="auto"/>
              <w:ind w:firstLine="480" w:firstLineChars="200"/>
              <w:rPr>
                <w:color w:val="auto"/>
                <w:sz w:val="24"/>
                <w:lang w:val="zh-CN"/>
              </w:rPr>
            </w:pPr>
            <w:r>
              <w:rPr>
                <w:color w:val="auto"/>
                <w:sz w:val="24"/>
              </w:rPr>
              <w:t>固体废物处置依据《国家危险废物名录》（2025版）和</w:t>
            </w:r>
            <w:r>
              <w:rPr>
                <w:rFonts w:hint="eastAsia"/>
                <w:color w:val="auto"/>
                <w:sz w:val="24"/>
              </w:rPr>
              <w:t>《固体废物鉴别标准 通则》（GB 34330—2025）</w:t>
            </w:r>
            <w:r>
              <w:rPr>
                <w:color w:val="auto"/>
                <w:sz w:val="24"/>
              </w:rPr>
              <w:t>来鉴别一般工业废物和危险废物；一般工业固废执行《一般工业固体废物贮存和填埋污染控制标准》（GB18599-2020）相关要求，采用库房、包装工具（罐、桶、包装袋等）贮存一般工业固体废物过程的污染控制，不适用该标准，其贮存过程应满足相应防渗漏、防雨淋、防扬尘等环境保护要求；危险废物贮存执行《危险废物贮存污染控制标准》（GB18597-2023）。</w:t>
            </w:r>
          </w:p>
          <w:p w14:paraId="7898C27A">
            <w:pPr>
              <w:tabs>
                <w:tab w:val="left" w:pos="1662"/>
                <w:tab w:val="left" w:pos="7628"/>
              </w:tabs>
              <w:spacing w:line="360" w:lineRule="auto"/>
              <w:ind w:firstLine="480" w:firstLineChars="200"/>
              <w:rPr>
                <w:color w:val="auto"/>
                <w:sz w:val="24"/>
                <w:lang w:val="zh-CN"/>
              </w:rPr>
            </w:pPr>
          </w:p>
          <w:p w14:paraId="1769A84D">
            <w:pPr>
              <w:tabs>
                <w:tab w:val="left" w:pos="1662"/>
                <w:tab w:val="left" w:pos="7628"/>
              </w:tabs>
              <w:spacing w:line="360" w:lineRule="auto"/>
              <w:ind w:firstLine="480" w:firstLineChars="200"/>
              <w:rPr>
                <w:color w:val="auto"/>
                <w:sz w:val="24"/>
                <w:lang w:val="zh-CN"/>
              </w:rPr>
            </w:pPr>
          </w:p>
          <w:p w14:paraId="4B6A4DB1">
            <w:pPr>
              <w:tabs>
                <w:tab w:val="left" w:pos="1662"/>
                <w:tab w:val="left" w:pos="7628"/>
              </w:tabs>
              <w:spacing w:line="360" w:lineRule="auto"/>
              <w:rPr>
                <w:color w:val="auto"/>
                <w:sz w:val="24"/>
                <w:lang w:val="zh-CN"/>
              </w:rPr>
            </w:pPr>
          </w:p>
        </w:tc>
      </w:tr>
      <w:tr w14:paraId="5F114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0" w:hRule="atLeast"/>
          <w:jc w:val="center"/>
        </w:trPr>
        <w:tc>
          <w:tcPr>
            <w:tcW w:w="244" w:type="pct"/>
            <w:vAlign w:val="center"/>
          </w:tcPr>
          <w:p w14:paraId="73997B23">
            <w:pPr>
              <w:adjustRightInd w:val="0"/>
              <w:snapToGrid w:val="0"/>
              <w:jc w:val="center"/>
              <w:rPr>
                <w:color w:val="auto"/>
                <w:kern w:val="0"/>
                <w:sz w:val="24"/>
              </w:rPr>
            </w:pPr>
            <w:r>
              <w:rPr>
                <w:color w:val="auto"/>
                <w:kern w:val="0"/>
                <w:sz w:val="24"/>
              </w:rPr>
              <w:t>总量</w:t>
            </w:r>
          </w:p>
          <w:p w14:paraId="6215E526">
            <w:pPr>
              <w:adjustRightInd w:val="0"/>
              <w:snapToGrid w:val="0"/>
              <w:jc w:val="center"/>
              <w:rPr>
                <w:color w:val="auto"/>
                <w:kern w:val="0"/>
                <w:sz w:val="24"/>
              </w:rPr>
            </w:pPr>
            <w:r>
              <w:rPr>
                <w:color w:val="auto"/>
                <w:kern w:val="0"/>
                <w:sz w:val="24"/>
              </w:rPr>
              <w:t>控制</w:t>
            </w:r>
          </w:p>
          <w:p w14:paraId="7D04D152">
            <w:pPr>
              <w:adjustRightInd w:val="0"/>
              <w:snapToGrid w:val="0"/>
              <w:jc w:val="center"/>
              <w:rPr>
                <w:color w:val="auto"/>
                <w:kern w:val="0"/>
                <w:sz w:val="24"/>
              </w:rPr>
            </w:pPr>
            <w:r>
              <w:rPr>
                <w:color w:val="auto"/>
                <w:kern w:val="0"/>
                <w:sz w:val="24"/>
              </w:rPr>
              <w:t>指标</w:t>
            </w:r>
          </w:p>
        </w:tc>
        <w:tc>
          <w:tcPr>
            <w:tcW w:w="4755" w:type="pct"/>
            <w:vAlign w:val="center"/>
          </w:tcPr>
          <w:p w14:paraId="3CDF33EB">
            <w:pPr>
              <w:numPr>
                <w:ilvl w:val="0"/>
                <w:numId w:val="21"/>
              </w:numPr>
              <w:tabs>
                <w:tab w:val="left" w:pos="993"/>
              </w:tabs>
              <w:adjustRightInd w:val="0"/>
              <w:spacing w:line="360" w:lineRule="auto"/>
              <w:rPr>
                <w:b/>
                <w:bCs/>
                <w:color w:val="auto"/>
                <w:sz w:val="24"/>
              </w:rPr>
            </w:pPr>
            <w:r>
              <w:rPr>
                <w:b/>
                <w:bCs/>
                <w:color w:val="auto"/>
                <w:sz w:val="24"/>
              </w:rPr>
              <w:t>总量控制指标</w:t>
            </w:r>
          </w:p>
          <w:p w14:paraId="59D7A565">
            <w:pPr>
              <w:pStyle w:val="82"/>
              <w:spacing w:before="0" w:beforeAutospacing="0" w:after="0" w:afterAutospacing="0" w:line="420" w:lineRule="exact"/>
              <w:ind w:firstLine="425"/>
              <w:rPr>
                <w:rFonts w:ascii="Times New Roman" w:hAnsi="Times New Roman"/>
                <w:color w:val="auto"/>
              </w:rPr>
            </w:pPr>
            <w:r>
              <w:rPr>
                <w:rFonts w:ascii="Times New Roman" w:hAnsi="Times New Roman"/>
                <w:color w:val="auto"/>
              </w:rPr>
              <w:t>根据《建设项目主要污染物排放总量指标审核及管理暂行办法》（环发〔2014〕197号）、《关于印发〈浙江省工业污染防治“十三五”规划〉的通知》（浙环发〔2016〕46号）相关要求，浙江省列入总量控制指标的主要污染物为化学需氧量（COD）、氨氮（氨氮）、二氧化硫（SO</w:t>
            </w:r>
            <w:r>
              <w:rPr>
                <w:rFonts w:ascii="Times New Roman" w:hAnsi="Times New Roman"/>
                <w:color w:val="auto"/>
                <w:vertAlign w:val="subscript"/>
              </w:rPr>
              <w:t>2</w:t>
            </w:r>
            <w:r>
              <w:rPr>
                <w:rFonts w:ascii="Times New Roman" w:hAnsi="Times New Roman"/>
                <w:color w:val="auto"/>
              </w:rPr>
              <w:t>）、氮氧化物（NO</w:t>
            </w:r>
            <w:r>
              <w:rPr>
                <w:rFonts w:ascii="Times New Roman" w:hAnsi="Times New Roman"/>
                <w:color w:val="auto"/>
                <w:vertAlign w:val="subscript"/>
              </w:rPr>
              <w:t>x</w:t>
            </w:r>
            <w:r>
              <w:rPr>
                <w:rFonts w:ascii="Times New Roman" w:hAnsi="Times New Roman"/>
                <w:color w:val="auto"/>
              </w:rPr>
              <w:t>）、工业烟（粉）尘、挥发性有机物。根据工程分析，本项目排放的污染因子中，纳入总量控制指标要求的主要污染物为COD、氨氮、烟（粉）尘、VOCs。</w:t>
            </w:r>
          </w:p>
          <w:p w14:paraId="40F10A87">
            <w:pPr>
              <w:pStyle w:val="82"/>
              <w:spacing w:before="0" w:beforeAutospacing="0" w:after="0" w:afterAutospacing="0" w:line="420" w:lineRule="exact"/>
              <w:ind w:firstLine="425"/>
              <w:rPr>
                <w:rFonts w:ascii="Times New Roman" w:hAnsi="Times New Roman"/>
                <w:color w:val="auto"/>
              </w:rPr>
            </w:pPr>
            <w:r>
              <w:rPr>
                <w:rFonts w:ascii="Times New Roman" w:hAnsi="Times New Roman"/>
                <w:color w:val="auto"/>
              </w:rPr>
              <w:t>本项目仅排放生活污水，生活污水中COD、氨氮可不进行废水污染物区域替代削减。</w:t>
            </w:r>
            <w:r>
              <w:rPr>
                <w:rFonts w:hint="eastAsia" w:ascii="Times New Roman" w:hAnsi="Times New Roman"/>
                <w:color w:val="auto"/>
                <w:lang w:val="en-US" w:eastAsia="zh-CN"/>
              </w:rPr>
              <w:t>根据</w:t>
            </w:r>
            <w:r>
              <w:rPr>
                <w:rFonts w:hint="default" w:ascii="Times New Roman" w:hAnsi="Times New Roman" w:cs="Times New Roman"/>
                <w:color w:val="auto"/>
                <w:sz w:val="24"/>
              </w:rPr>
              <w:t>《湖州市生态环境局关于印发202</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年湖州市建设项目主要大气污染物总量调剂</w:t>
            </w:r>
            <w:r>
              <w:rPr>
                <w:rFonts w:hint="default" w:ascii="Times New Roman" w:hAnsi="Times New Roman" w:cs="Times New Roman"/>
                <w:color w:val="auto"/>
                <w:sz w:val="24"/>
                <w:lang w:val="en-US" w:eastAsia="zh-CN"/>
              </w:rPr>
              <w:t>指导意见</w:t>
            </w:r>
            <w:r>
              <w:rPr>
                <w:rFonts w:hint="default" w:ascii="Times New Roman" w:hAnsi="Times New Roman" w:cs="Times New Roman"/>
                <w:color w:val="auto"/>
                <w:sz w:val="24"/>
              </w:rPr>
              <w:t>的通知》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湖环函〔2026〕12号</w:t>
            </w:r>
            <w:r>
              <w:rPr>
                <w:rFonts w:hint="eastAsia" w:ascii="Times New Roman" w:hAnsi="Times New Roman" w:cs="Times New Roman"/>
                <w:color w:val="auto"/>
                <w:sz w:val="24"/>
                <w:lang w:eastAsia="zh-CN"/>
              </w:rPr>
              <w:t>）</w:t>
            </w:r>
            <w:r>
              <w:rPr>
                <w:rFonts w:ascii="Times New Roman" w:hAnsi="Times New Roman"/>
                <w:color w:val="auto"/>
              </w:rPr>
              <w:t>，项目工业烟粉尘（颗粒物）、VOCs新增排污总量的削减替代比例为1:</w:t>
            </w:r>
            <w:r>
              <w:rPr>
                <w:rFonts w:hint="eastAsia" w:ascii="Times New Roman" w:hAnsi="Times New Roman"/>
                <w:color w:val="auto"/>
                <w:lang w:val="en-US" w:eastAsia="zh-CN"/>
              </w:rPr>
              <w:t>3</w:t>
            </w:r>
            <w:r>
              <w:rPr>
                <w:rFonts w:ascii="Times New Roman" w:hAnsi="Times New Roman"/>
                <w:color w:val="auto"/>
              </w:rPr>
              <w:t>。综上，总量控制建议详见下表。</w:t>
            </w:r>
          </w:p>
          <w:p w14:paraId="7A2DBA07">
            <w:pPr>
              <w:numPr>
                <w:ilvl w:val="0"/>
                <w:numId w:val="23"/>
              </w:numPr>
              <w:adjustRightInd w:val="0"/>
              <w:snapToGrid w:val="0"/>
              <w:spacing w:before="48" w:beforeLines="20" w:after="48" w:afterLines="20" w:line="0" w:lineRule="atLeast"/>
              <w:jc w:val="center"/>
              <w:rPr>
                <w:b/>
                <w:bCs/>
                <w:color w:val="auto"/>
                <w:sz w:val="24"/>
              </w:rPr>
            </w:pPr>
            <w:r>
              <w:rPr>
                <w:b/>
                <w:bCs/>
                <w:color w:val="auto"/>
                <w:sz w:val="24"/>
              </w:rPr>
              <w:t>项目总量控制平衡方案</w:t>
            </w:r>
          </w:p>
          <w:p w14:paraId="47468857">
            <w:pPr>
              <w:adjustRightInd w:val="0"/>
              <w:snapToGrid w:val="0"/>
              <w:spacing w:before="48" w:beforeLines="20" w:after="48" w:afterLines="20" w:line="0" w:lineRule="atLeast"/>
              <w:jc w:val="right"/>
              <w:rPr>
                <w:color w:val="auto"/>
                <w:sz w:val="24"/>
              </w:rPr>
            </w:pPr>
            <w:r>
              <w:rPr>
                <w:color w:val="auto"/>
                <w:sz w:val="24"/>
              </w:rPr>
              <w:t>单位：t/a</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398"/>
              <w:gridCol w:w="1398"/>
              <w:gridCol w:w="1398"/>
              <w:gridCol w:w="1398"/>
              <w:gridCol w:w="1399"/>
            </w:tblGrid>
            <w:tr w14:paraId="4518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pct"/>
                  <w:tcBorders>
                    <w:tl2br w:val="nil"/>
                    <w:tr2bl w:val="nil"/>
                  </w:tcBorders>
                  <w:vAlign w:val="center"/>
                </w:tcPr>
                <w:p w14:paraId="77E95DB9">
                  <w:pPr>
                    <w:adjustRightInd w:val="0"/>
                    <w:snapToGrid w:val="0"/>
                    <w:jc w:val="center"/>
                    <w:rPr>
                      <w:color w:val="auto"/>
                      <w:szCs w:val="21"/>
                    </w:rPr>
                  </w:pPr>
                  <w:r>
                    <w:rPr>
                      <w:color w:val="auto"/>
                      <w:szCs w:val="21"/>
                    </w:rPr>
                    <w:t>污染物类型</w:t>
                  </w:r>
                </w:p>
              </w:tc>
              <w:tc>
                <w:tcPr>
                  <w:tcW w:w="833" w:type="pct"/>
                  <w:tcBorders>
                    <w:tl2br w:val="nil"/>
                    <w:tr2bl w:val="nil"/>
                  </w:tcBorders>
                  <w:vAlign w:val="center"/>
                </w:tcPr>
                <w:p w14:paraId="4EBD8688">
                  <w:pPr>
                    <w:adjustRightInd w:val="0"/>
                    <w:snapToGrid w:val="0"/>
                    <w:jc w:val="center"/>
                    <w:rPr>
                      <w:color w:val="auto"/>
                      <w:szCs w:val="21"/>
                    </w:rPr>
                  </w:pPr>
                  <w:r>
                    <w:rPr>
                      <w:color w:val="auto"/>
                      <w:szCs w:val="21"/>
                    </w:rPr>
                    <w:t>污染物名称</w:t>
                  </w:r>
                </w:p>
              </w:tc>
              <w:tc>
                <w:tcPr>
                  <w:tcW w:w="833" w:type="pct"/>
                  <w:tcBorders>
                    <w:tl2br w:val="nil"/>
                    <w:tr2bl w:val="nil"/>
                  </w:tcBorders>
                  <w:vAlign w:val="center"/>
                </w:tcPr>
                <w:p w14:paraId="57DEE0DA">
                  <w:pPr>
                    <w:adjustRightInd w:val="0"/>
                    <w:snapToGrid w:val="0"/>
                    <w:jc w:val="center"/>
                    <w:rPr>
                      <w:color w:val="auto"/>
                      <w:szCs w:val="21"/>
                    </w:rPr>
                  </w:pPr>
                  <w:r>
                    <w:rPr>
                      <w:color w:val="auto"/>
                      <w:szCs w:val="21"/>
                    </w:rPr>
                    <w:t>排放量</w:t>
                  </w:r>
                </w:p>
                <w:p w14:paraId="1C64F60C">
                  <w:pPr>
                    <w:adjustRightInd w:val="0"/>
                    <w:snapToGrid w:val="0"/>
                    <w:jc w:val="center"/>
                    <w:rPr>
                      <w:color w:val="auto"/>
                      <w:szCs w:val="21"/>
                    </w:rPr>
                  </w:pPr>
                  <w:r>
                    <w:rPr>
                      <w:color w:val="auto"/>
                      <w:szCs w:val="21"/>
                    </w:rPr>
                    <w:t>（排环境）</w:t>
                  </w:r>
                </w:p>
              </w:tc>
              <w:tc>
                <w:tcPr>
                  <w:tcW w:w="833" w:type="pct"/>
                  <w:tcBorders>
                    <w:tl2br w:val="nil"/>
                    <w:tr2bl w:val="nil"/>
                  </w:tcBorders>
                  <w:vAlign w:val="center"/>
                </w:tcPr>
                <w:p w14:paraId="683FDE95">
                  <w:pPr>
                    <w:adjustRightInd w:val="0"/>
                    <w:snapToGrid w:val="0"/>
                    <w:jc w:val="center"/>
                    <w:rPr>
                      <w:color w:val="auto"/>
                      <w:szCs w:val="21"/>
                    </w:rPr>
                  </w:pPr>
                  <w:r>
                    <w:rPr>
                      <w:color w:val="auto"/>
                      <w:szCs w:val="21"/>
                    </w:rPr>
                    <w:t>总量控制建议值</w:t>
                  </w:r>
                </w:p>
              </w:tc>
              <w:tc>
                <w:tcPr>
                  <w:tcW w:w="833" w:type="pct"/>
                  <w:tcBorders>
                    <w:tl2br w:val="nil"/>
                    <w:tr2bl w:val="nil"/>
                  </w:tcBorders>
                  <w:vAlign w:val="center"/>
                </w:tcPr>
                <w:p w14:paraId="754AEB1E">
                  <w:pPr>
                    <w:adjustRightInd w:val="0"/>
                    <w:snapToGrid w:val="0"/>
                    <w:jc w:val="center"/>
                    <w:rPr>
                      <w:color w:val="auto"/>
                      <w:szCs w:val="21"/>
                    </w:rPr>
                  </w:pPr>
                  <w:r>
                    <w:rPr>
                      <w:color w:val="auto"/>
                      <w:szCs w:val="21"/>
                    </w:rPr>
                    <w:t>替代比例</w:t>
                  </w:r>
                </w:p>
              </w:tc>
              <w:tc>
                <w:tcPr>
                  <w:tcW w:w="834" w:type="pct"/>
                  <w:tcBorders>
                    <w:tl2br w:val="nil"/>
                    <w:tr2bl w:val="nil"/>
                  </w:tcBorders>
                  <w:vAlign w:val="center"/>
                </w:tcPr>
                <w:p w14:paraId="562ADACE">
                  <w:pPr>
                    <w:adjustRightInd w:val="0"/>
                    <w:snapToGrid w:val="0"/>
                    <w:jc w:val="center"/>
                    <w:rPr>
                      <w:color w:val="auto"/>
                      <w:szCs w:val="21"/>
                    </w:rPr>
                  </w:pPr>
                  <w:r>
                    <w:rPr>
                      <w:color w:val="auto"/>
                      <w:szCs w:val="21"/>
                    </w:rPr>
                    <w:t>削减替代量</w:t>
                  </w:r>
                </w:p>
              </w:tc>
            </w:tr>
            <w:tr w14:paraId="4288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tcBorders>
                    <w:tl2br w:val="nil"/>
                    <w:tr2bl w:val="nil"/>
                  </w:tcBorders>
                  <w:vAlign w:val="center"/>
                </w:tcPr>
                <w:p w14:paraId="66C4CDF8">
                  <w:pPr>
                    <w:adjustRightInd w:val="0"/>
                    <w:snapToGrid w:val="0"/>
                    <w:jc w:val="center"/>
                    <w:rPr>
                      <w:color w:val="auto"/>
                      <w:szCs w:val="21"/>
                    </w:rPr>
                  </w:pPr>
                  <w:r>
                    <w:rPr>
                      <w:color w:val="auto"/>
                      <w:szCs w:val="21"/>
                    </w:rPr>
                    <w:t>废</w:t>
                  </w:r>
                  <w:r>
                    <w:rPr>
                      <w:rFonts w:hint="eastAsia"/>
                      <w:color w:val="auto"/>
                      <w:szCs w:val="21"/>
                    </w:rPr>
                    <w:t>水</w:t>
                  </w:r>
                </w:p>
              </w:tc>
              <w:tc>
                <w:tcPr>
                  <w:tcW w:w="833" w:type="pct"/>
                  <w:tcBorders>
                    <w:tl2br w:val="nil"/>
                    <w:tr2bl w:val="nil"/>
                  </w:tcBorders>
                  <w:vAlign w:val="center"/>
                </w:tcPr>
                <w:p w14:paraId="271E8314">
                  <w:pPr>
                    <w:adjustRightInd w:val="0"/>
                    <w:snapToGrid w:val="0"/>
                    <w:jc w:val="center"/>
                    <w:rPr>
                      <w:color w:val="auto"/>
                      <w:szCs w:val="21"/>
                    </w:rPr>
                  </w:pPr>
                  <w:r>
                    <w:rPr>
                      <w:rFonts w:hint="eastAsia"/>
                      <w:color w:val="auto"/>
                      <w:szCs w:val="21"/>
                    </w:rPr>
                    <w:t>水量</w:t>
                  </w:r>
                </w:p>
              </w:tc>
              <w:tc>
                <w:tcPr>
                  <w:tcW w:w="833" w:type="pct"/>
                  <w:tcBorders>
                    <w:tl2br w:val="nil"/>
                    <w:tr2bl w:val="nil"/>
                  </w:tcBorders>
                  <w:vAlign w:val="center"/>
                </w:tcPr>
                <w:p w14:paraId="589763E4">
                  <w:pPr>
                    <w:widowControl/>
                    <w:jc w:val="center"/>
                    <w:textAlignment w:val="center"/>
                    <w:rPr>
                      <w:color w:val="auto"/>
                      <w:szCs w:val="21"/>
                    </w:rPr>
                  </w:pPr>
                  <w:r>
                    <w:rPr>
                      <w:rFonts w:hint="eastAsia"/>
                      <w:color w:val="auto"/>
                      <w:kern w:val="0"/>
                      <w:szCs w:val="21"/>
                      <w:lang w:bidi="ar"/>
                    </w:rPr>
                    <w:t>768</w:t>
                  </w:r>
                </w:p>
              </w:tc>
              <w:tc>
                <w:tcPr>
                  <w:tcW w:w="833" w:type="pct"/>
                  <w:tcBorders>
                    <w:tl2br w:val="nil"/>
                    <w:tr2bl w:val="nil"/>
                  </w:tcBorders>
                  <w:vAlign w:val="center"/>
                </w:tcPr>
                <w:p w14:paraId="42E00290">
                  <w:pPr>
                    <w:widowControl/>
                    <w:jc w:val="center"/>
                    <w:textAlignment w:val="center"/>
                    <w:rPr>
                      <w:color w:val="auto"/>
                      <w:szCs w:val="21"/>
                    </w:rPr>
                  </w:pPr>
                  <w:r>
                    <w:rPr>
                      <w:rFonts w:hint="eastAsia"/>
                      <w:color w:val="auto"/>
                      <w:szCs w:val="21"/>
                    </w:rPr>
                    <w:t>768</w:t>
                  </w:r>
                </w:p>
              </w:tc>
              <w:tc>
                <w:tcPr>
                  <w:tcW w:w="833" w:type="pct"/>
                  <w:tcBorders>
                    <w:tl2br w:val="nil"/>
                    <w:tr2bl w:val="nil"/>
                  </w:tcBorders>
                  <w:vAlign w:val="center"/>
                </w:tcPr>
                <w:p w14:paraId="26CF14E6">
                  <w:pPr>
                    <w:widowControl/>
                    <w:jc w:val="center"/>
                    <w:textAlignment w:val="center"/>
                    <w:rPr>
                      <w:color w:val="auto"/>
                      <w:szCs w:val="21"/>
                    </w:rPr>
                  </w:pPr>
                  <w:r>
                    <w:rPr>
                      <w:rFonts w:hint="eastAsia"/>
                      <w:color w:val="auto"/>
                      <w:kern w:val="0"/>
                      <w:szCs w:val="21"/>
                      <w:lang w:bidi="ar"/>
                    </w:rPr>
                    <w:t>/</w:t>
                  </w:r>
                </w:p>
              </w:tc>
              <w:tc>
                <w:tcPr>
                  <w:tcW w:w="834" w:type="pct"/>
                  <w:tcBorders>
                    <w:tl2br w:val="nil"/>
                    <w:tr2bl w:val="nil"/>
                  </w:tcBorders>
                  <w:vAlign w:val="center"/>
                </w:tcPr>
                <w:p w14:paraId="71617313">
                  <w:pPr>
                    <w:adjustRightInd w:val="0"/>
                    <w:snapToGrid w:val="0"/>
                    <w:jc w:val="center"/>
                    <w:rPr>
                      <w:color w:val="auto"/>
                      <w:szCs w:val="21"/>
                    </w:rPr>
                  </w:pPr>
                  <w:r>
                    <w:rPr>
                      <w:rFonts w:hint="eastAsia"/>
                      <w:color w:val="auto"/>
                      <w:szCs w:val="21"/>
                    </w:rPr>
                    <w:t>/</w:t>
                  </w:r>
                </w:p>
              </w:tc>
            </w:tr>
            <w:tr w14:paraId="2760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tcBorders>
                    <w:tl2br w:val="nil"/>
                    <w:tr2bl w:val="nil"/>
                  </w:tcBorders>
                  <w:vAlign w:val="center"/>
                </w:tcPr>
                <w:p w14:paraId="0C1FF841">
                  <w:pPr>
                    <w:adjustRightInd w:val="0"/>
                    <w:snapToGrid w:val="0"/>
                    <w:jc w:val="center"/>
                    <w:rPr>
                      <w:color w:val="auto"/>
                      <w:szCs w:val="21"/>
                    </w:rPr>
                  </w:pPr>
                </w:p>
              </w:tc>
              <w:tc>
                <w:tcPr>
                  <w:tcW w:w="833" w:type="pct"/>
                  <w:tcBorders>
                    <w:tl2br w:val="nil"/>
                    <w:tr2bl w:val="nil"/>
                  </w:tcBorders>
                  <w:vAlign w:val="center"/>
                </w:tcPr>
                <w:p w14:paraId="418391B5">
                  <w:pPr>
                    <w:adjustRightInd w:val="0"/>
                    <w:snapToGrid w:val="0"/>
                    <w:jc w:val="center"/>
                    <w:rPr>
                      <w:color w:val="auto"/>
                      <w:szCs w:val="21"/>
                    </w:rPr>
                  </w:pPr>
                  <w:r>
                    <w:rPr>
                      <w:rFonts w:hint="eastAsia"/>
                      <w:color w:val="auto"/>
                      <w:szCs w:val="21"/>
                    </w:rPr>
                    <w:t>COD</w:t>
                  </w:r>
                </w:p>
              </w:tc>
              <w:tc>
                <w:tcPr>
                  <w:tcW w:w="833" w:type="pct"/>
                  <w:tcBorders>
                    <w:tl2br w:val="nil"/>
                    <w:tr2bl w:val="nil"/>
                  </w:tcBorders>
                  <w:vAlign w:val="center"/>
                </w:tcPr>
                <w:p w14:paraId="6F799A27">
                  <w:pPr>
                    <w:widowControl/>
                    <w:jc w:val="center"/>
                    <w:textAlignment w:val="center"/>
                    <w:rPr>
                      <w:color w:val="auto"/>
                      <w:szCs w:val="21"/>
                    </w:rPr>
                  </w:pPr>
                  <w:r>
                    <w:rPr>
                      <w:rFonts w:hint="eastAsia"/>
                      <w:color w:val="auto"/>
                      <w:kern w:val="0"/>
                      <w:szCs w:val="21"/>
                      <w:lang w:bidi="ar"/>
                    </w:rPr>
                    <w:t>0.031</w:t>
                  </w:r>
                </w:p>
              </w:tc>
              <w:tc>
                <w:tcPr>
                  <w:tcW w:w="833" w:type="pct"/>
                  <w:tcBorders>
                    <w:tl2br w:val="nil"/>
                    <w:tr2bl w:val="nil"/>
                  </w:tcBorders>
                  <w:vAlign w:val="center"/>
                </w:tcPr>
                <w:p w14:paraId="271BBC5C">
                  <w:pPr>
                    <w:widowControl/>
                    <w:jc w:val="center"/>
                    <w:textAlignment w:val="center"/>
                    <w:rPr>
                      <w:color w:val="auto"/>
                      <w:szCs w:val="21"/>
                    </w:rPr>
                  </w:pPr>
                  <w:r>
                    <w:rPr>
                      <w:rFonts w:hint="eastAsia"/>
                      <w:color w:val="auto"/>
                      <w:kern w:val="0"/>
                      <w:szCs w:val="21"/>
                      <w:lang w:bidi="ar"/>
                    </w:rPr>
                    <w:t>0.031</w:t>
                  </w:r>
                </w:p>
              </w:tc>
              <w:tc>
                <w:tcPr>
                  <w:tcW w:w="833" w:type="pct"/>
                  <w:tcBorders>
                    <w:tl2br w:val="nil"/>
                    <w:tr2bl w:val="nil"/>
                  </w:tcBorders>
                  <w:vAlign w:val="center"/>
                </w:tcPr>
                <w:p w14:paraId="6E15E85D">
                  <w:pPr>
                    <w:widowControl/>
                    <w:jc w:val="center"/>
                    <w:textAlignment w:val="center"/>
                    <w:rPr>
                      <w:color w:val="auto"/>
                      <w:szCs w:val="21"/>
                    </w:rPr>
                  </w:pPr>
                  <w:r>
                    <w:rPr>
                      <w:rFonts w:hint="eastAsia"/>
                      <w:color w:val="auto"/>
                      <w:kern w:val="0"/>
                      <w:szCs w:val="21"/>
                      <w:lang w:bidi="ar"/>
                    </w:rPr>
                    <w:t>/</w:t>
                  </w:r>
                </w:p>
              </w:tc>
              <w:tc>
                <w:tcPr>
                  <w:tcW w:w="834" w:type="pct"/>
                  <w:tcBorders>
                    <w:tl2br w:val="nil"/>
                    <w:tr2bl w:val="nil"/>
                  </w:tcBorders>
                  <w:vAlign w:val="center"/>
                </w:tcPr>
                <w:p w14:paraId="59803AE9">
                  <w:pPr>
                    <w:adjustRightInd w:val="0"/>
                    <w:snapToGrid w:val="0"/>
                    <w:jc w:val="center"/>
                    <w:rPr>
                      <w:color w:val="auto"/>
                      <w:szCs w:val="21"/>
                    </w:rPr>
                  </w:pPr>
                  <w:r>
                    <w:rPr>
                      <w:rFonts w:hint="eastAsia"/>
                      <w:color w:val="auto"/>
                      <w:szCs w:val="21"/>
                    </w:rPr>
                    <w:t>/</w:t>
                  </w:r>
                </w:p>
              </w:tc>
            </w:tr>
            <w:tr w14:paraId="4D26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tcBorders>
                    <w:tl2br w:val="nil"/>
                    <w:tr2bl w:val="nil"/>
                  </w:tcBorders>
                  <w:vAlign w:val="center"/>
                </w:tcPr>
                <w:p w14:paraId="48592CFF">
                  <w:pPr>
                    <w:adjustRightInd w:val="0"/>
                    <w:snapToGrid w:val="0"/>
                    <w:jc w:val="center"/>
                    <w:rPr>
                      <w:color w:val="auto"/>
                      <w:szCs w:val="21"/>
                    </w:rPr>
                  </w:pPr>
                </w:p>
              </w:tc>
              <w:tc>
                <w:tcPr>
                  <w:tcW w:w="833" w:type="pct"/>
                  <w:tcBorders>
                    <w:tl2br w:val="nil"/>
                    <w:tr2bl w:val="nil"/>
                  </w:tcBorders>
                  <w:vAlign w:val="center"/>
                </w:tcPr>
                <w:p w14:paraId="2020073C">
                  <w:pPr>
                    <w:adjustRightInd w:val="0"/>
                    <w:snapToGrid w:val="0"/>
                    <w:jc w:val="center"/>
                    <w:rPr>
                      <w:color w:val="auto"/>
                      <w:szCs w:val="21"/>
                    </w:rPr>
                  </w:pPr>
                  <w:r>
                    <w:rPr>
                      <w:rFonts w:hint="eastAsia"/>
                      <w:color w:val="auto"/>
                      <w:szCs w:val="21"/>
                    </w:rPr>
                    <w:t>氨氮</w:t>
                  </w:r>
                </w:p>
              </w:tc>
              <w:tc>
                <w:tcPr>
                  <w:tcW w:w="833" w:type="pct"/>
                  <w:tcBorders>
                    <w:tl2br w:val="nil"/>
                    <w:tr2bl w:val="nil"/>
                  </w:tcBorders>
                  <w:vAlign w:val="center"/>
                </w:tcPr>
                <w:p w14:paraId="07C23F0C">
                  <w:pPr>
                    <w:widowControl/>
                    <w:jc w:val="center"/>
                    <w:textAlignment w:val="center"/>
                    <w:rPr>
                      <w:color w:val="auto"/>
                      <w:kern w:val="0"/>
                      <w:szCs w:val="21"/>
                      <w:lang w:bidi="ar"/>
                    </w:rPr>
                  </w:pPr>
                  <w:r>
                    <w:rPr>
                      <w:rFonts w:hint="eastAsia"/>
                      <w:color w:val="auto"/>
                      <w:kern w:val="0"/>
                      <w:szCs w:val="21"/>
                      <w:lang w:bidi="ar"/>
                    </w:rPr>
                    <w:t>0.002</w:t>
                  </w:r>
                </w:p>
              </w:tc>
              <w:tc>
                <w:tcPr>
                  <w:tcW w:w="833" w:type="pct"/>
                  <w:tcBorders>
                    <w:tl2br w:val="nil"/>
                    <w:tr2bl w:val="nil"/>
                  </w:tcBorders>
                  <w:vAlign w:val="center"/>
                </w:tcPr>
                <w:p w14:paraId="41F97651">
                  <w:pPr>
                    <w:widowControl/>
                    <w:jc w:val="center"/>
                    <w:textAlignment w:val="center"/>
                    <w:rPr>
                      <w:color w:val="auto"/>
                      <w:kern w:val="0"/>
                      <w:szCs w:val="21"/>
                      <w:lang w:bidi="ar"/>
                    </w:rPr>
                  </w:pPr>
                  <w:r>
                    <w:rPr>
                      <w:rFonts w:hint="eastAsia"/>
                      <w:color w:val="auto"/>
                      <w:kern w:val="0"/>
                      <w:szCs w:val="21"/>
                      <w:lang w:bidi="ar"/>
                    </w:rPr>
                    <w:t>0.002</w:t>
                  </w:r>
                </w:p>
              </w:tc>
              <w:tc>
                <w:tcPr>
                  <w:tcW w:w="833" w:type="pct"/>
                  <w:tcBorders>
                    <w:tl2br w:val="nil"/>
                    <w:tr2bl w:val="nil"/>
                  </w:tcBorders>
                  <w:vAlign w:val="center"/>
                </w:tcPr>
                <w:p w14:paraId="1A3CDBCB">
                  <w:pPr>
                    <w:widowControl/>
                    <w:jc w:val="center"/>
                    <w:textAlignment w:val="center"/>
                    <w:rPr>
                      <w:color w:val="auto"/>
                      <w:kern w:val="0"/>
                      <w:szCs w:val="21"/>
                      <w:lang w:bidi="ar"/>
                    </w:rPr>
                  </w:pPr>
                  <w:r>
                    <w:rPr>
                      <w:rFonts w:hint="eastAsia"/>
                      <w:color w:val="auto"/>
                      <w:kern w:val="0"/>
                      <w:szCs w:val="21"/>
                      <w:lang w:bidi="ar"/>
                    </w:rPr>
                    <w:t>/</w:t>
                  </w:r>
                </w:p>
              </w:tc>
              <w:tc>
                <w:tcPr>
                  <w:tcW w:w="834" w:type="pct"/>
                  <w:tcBorders>
                    <w:tl2br w:val="nil"/>
                    <w:tr2bl w:val="nil"/>
                  </w:tcBorders>
                  <w:vAlign w:val="center"/>
                </w:tcPr>
                <w:p w14:paraId="2BC8B079">
                  <w:pPr>
                    <w:adjustRightInd w:val="0"/>
                    <w:snapToGrid w:val="0"/>
                    <w:jc w:val="center"/>
                    <w:rPr>
                      <w:color w:val="auto"/>
                      <w:szCs w:val="21"/>
                    </w:rPr>
                  </w:pPr>
                  <w:r>
                    <w:rPr>
                      <w:rFonts w:hint="eastAsia"/>
                      <w:color w:val="auto"/>
                      <w:szCs w:val="21"/>
                    </w:rPr>
                    <w:t>/</w:t>
                  </w:r>
                </w:p>
              </w:tc>
            </w:tr>
            <w:tr w14:paraId="1DF4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tcBorders>
                    <w:tl2br w:val="nil"/>
                    <w:tr2bl w:val="nil"/>
                  </w:tcBorders>
                  <w:vAlign w:val="center"/>
                </w:tcPr>
                <w:p w14:paraId="64CCD559">
                  <w:pPr>
                    <w:adjustRightInd w:val="0"/>
                    <w:snapToGrid w:val="0"/>
                    <w:jc w:val="center"/>
                    <w:rPr>
                      <w:color w:val="auto"/>
                      <w:szCs w:val="21"/>
                    </w:rPr>
                  </w:pPr>
                  <w:r>
                    <w:rPr>
                      <w:rFonts w:hint="eastAsia"/>
                      <w:color w:val="auto"/>
                      <w:szCs w:val="21"/>
                    </w:rPr>
                    <w:t>废气</w:t>
                  </w:r>
                </w:p>
              </w:tc>
              <w:tc>
                <w:tcPr>
                  <w:tcW w:w="833" w:type="pct"/>
                  <w:tcBorders>
                    <w:tl2br w:val="nil"/>
                    <w:tr2bl w:val="nil"/>
                  </w:tcBorders>
                  <w:vAlign w:val="center"/>
                </w:tcPr>
                <w:p w14:paraId="212190CC">
                  <w:pPr>
                    <w:adjustRightInd w:val="0"/>
                    <w:snapToGrid w:val="0"/>
                    <w:jc w:val="center"/>
                    <w:rPr>
                      <w:color w:val="auto"/>
                      <w:szCs w:val="21"/>
                    </w:rPr>
                  </w:pPr>
                  <w:r>
                    <w:rPr>
                      <w:color w:val="auto"/>
                      <w:szCs w:val="21"/>
                    </w:rPr>
                    <w:t>工业烟粉尘（颗粒物）</w:t>
                  </w:r>
                </w:p>
              </w:tc>
              <w:tc>
                <w:tcPr>
                  <w:tcW w:w="833" w:type="pct"/>
                  <w:tcBorders>
                    <w:tl2br w:val="nil"/>
                    <w:tr2bl w:val="nil"/>
                  </w:tcBorders>
                  <w:vAlign w:val="center"/>
                </w:tcPr>
                <w:p w14:paraId="1FBCB74E">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0.773</w:t>
                  </w:r>
                </w:p>
              </w:tc>
              <w:tc>
                <w:tcPr>
                  <w:tcW w:w="833" w:type="pct"/>
                  <w:tcBorders>
                    <w:tl2br w:val="nil"/>
                    <w:tr2bl w:val="nil"/>
                  </w:tcBorders>
                  <w:vAlign w:val="center"/>
                </w:tcPr>
                <w:p w14:paraId="25D0F2F8">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0.773</w:t>
                  </w:r>
                </w:p>
              </w:tc>
              <w:tc>
                <w:tcPr>
                  <w:tcW w:w="833" w:type="pct"/>
                  <w:tcBorders>
                    <w:tl2br w:val="nil"/>
                    <w:tr2bl w:val="nil"/>
                  </w:tcBorders>
                  <w:vAlign w:val="center"/>
                </w:tcPr>
                <w:p w14:paraId="5C05E072">
                  <w:pPr>
                    <w:widowControl/>
                    <w:jc w:val="center"/>
                    <w:textAlignment w:val="center"/>
                    <w:rPr>
                      <w:rFonts w:hint="eastAsia" w:eastAsia="宋体"/>
                      <w:color w:val="auto"/>
                      <w:kern w:val="0"/>
                      <w:szCs w:val="21"/>
                      <w:lang w:eastAsia="zh-CN" w:bidi="ar"/>
                    </w:rPr>
                  </w:pPr>
                  <w:r>
                    <w:rPr>
                      <w:rFonts w:hint="eastAsia"/>
                      <w:color w:val="auto"/>
                      <w:kern w:val="0"/>
                      <w:szCs w:val="21"/>
                      <w:lang w:bidi="ar"/>
                    </w:rPr>
                    <w:t>1∶</w:t>
                  </w:r>
                  <w:r>
                    <w:rPr>
                      <w:rFonts w:hint="eastAsia"/>
                      <w:color w:val="auto"/>
                      <w:kern w:val="0"/>
                      <w:szCs w:val="21"/>
                      <w:lang w:val="en-US" w:eastAsia="zh-CN" w:bidi="ar"/>
                    </w:rPr>
                    <w:t>3</w:t>
                  </w:r>
                </w:p>
              </w:tc>
              <w:tc>
                <w:tcPr>
                  <w:tcW w:w="834" w:type="pct"/>
                  <w:tcBorders>
                    <w:tl2br w:val="nil"/>
                    <w:tr2bl w:val="nil"/>
                  </w:tcBorders>
                  <w:vAlign w:val="center"/>
                </w:tcPr>
                <w:p w14:paraId="688052C6">
                  <w:pPr>
                    <w:adjustRightInd w:val="0"/>
                    <w:snapToGrid w:val="0"/>
                    <w:jc w:val="center"/>
                    <w:rPr>
                      <w:rFonts w:hint="default" w:eastAsia="宋体"/>
                      <w:color w:val="auto"/>
                      <w:szCs w:val="21"/>
                      <w:lang w:val="en-US" w:eastAsia="zh-CN"/>
                    </w:rPr>
                  </w:pPr>
                  <w:r>
                    <w:rPr>
                      <w:rFonts w:hint="eastAsia"/>
                      <w:color w:val="auto"/>
                      <w:szCs w:val="21"/>
                      <w:lang w:val="en-US" w:eastAsia="zh-CN"/>
                    </w:rPr>
                    <w:t>2.319</w:t>
                  </w:r>
                </w:p>
              </w:tc>
            </w:tr>
            <w:tr w14:paraId="4F42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tcBorders>
                    <w:tl2br w:val="nil"/>
                    <w:tr2bl w:val="nil"/>
                  </w:tcBorders>
                  <w:vAlign w:val="center"/>
                </w:tcPr>
                <w:p w14:paraId="428234C5">
                  <w:pPr>
                    <w:adjustRightInd w:val="0"/>
                    <w:snapToGrid w:val="0"/>
                    <w:jc w:val="center"/>
                    <w:rPr>
                      <w:color w:val="auto"/>
                      <w:szCs w:val="21"/>
                    </w:rPr>
                  </w:pPr>
                </w:p>
              </w:tc>
              <w:tc>
                <w:tcPr>
                  <w:tcW w:w="833" w:type="pct"/>
                  <w:tcBorders>
                    <w:tl2br w:val="nil"/>
                    <w:tr2bl w:val="nil"/>
                  </w:tcBorders>
                  <w:vAlign w:val="center"/>
                </w:tcPr>
                <w:p w14:paraId="182F4967">
                  <w:pPr>
                    <w:adjustRightInd w:val="0"/>
                    <w:snapToGrid w:val="0"/>
                    <w:jc w:val="center"/>
                    <w:rPr>
                      <w:color w:val="auto"/>
                      <w:szCs w:val="21"/>
                    </w:rPr>
                  </w:pPr>
                  <w:r>
                    <w:rPr>
                      <w:rFonts w:hint="eastAsia"/>
                      <w:color w:val="auto"/>
                      <w:szCs w:val="21"/>
                    </w:rPr>
                    <w:t>VOCs</w:t>
                  </w:r>
                </w:p>
              </w:tc>
              <w:tc>
                <w:tcPr>
                  <w:tcW w:w="833" w:type="pct"/>
                  <w:tcBorders>
                    <w:tl2br w:val="nil"/>
                    <w:tr2bl w:val="nil"/>
                  </w:tcBorders>
                  <w:vAlign w:val="center"/>
                </w:tcPr>
                <w:p w14:paraId="691FB41B">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0.544</w:t>
                  </w:r>
                </w:p>
              </w:tc>
              <w:tc>
                <w:tcPr>
                  <w:tcW w:w="833" w:type="pct"/>
                  <w:tcBorders>
                    <w:tl2br w:val="nil"/>
                    <w:tr2bl w:val="nil"/>
                  </w:tcBorders>
                  <w:vAlign w:val="center"/>
                </w:tcPr>
                <w:p w14:paraId="004D58CA">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0.544</w:t>
                  </w:r>
                </w:p>
              </w:tc>
              <w:tc>
                <w:tcPr>
                  <w:tcW w:w="833" w:type="pct"/>
                  <w:tcBorders>
                    <w:tl2br w:val="nil"/>
                    <w:tr2bl w:val="nil"/>
                  </w:tcBorders>
                  <w:vAlign w:val="center"/>
                </w:tcPr>
                <w:p w14:paraId="3253DCDB">
                  <w:pPr>
                    <w:widowControl/>
                    <w:jc w:val="center"/>
                    <w:textAlignment w:val="center"/>
                    <w:rPr>
                      <w:rFonts w:hint="eastAsia" w:eastAsia="宋体"/>
                      <w:color w:val="auto"/>
                      <w:kern w:val="0"/>
                      <w:szCs w:val="21"/>
                      <w:lang w:eastAsia="zh-CN" w:bidi="ar"/>
                    </w:rPr>
                  </w:pPr>
                  <w:r>
                    <w:rPr>
                      <w:rFonts w:hint="eastAsia"/>
                      <w:color w:val="auto"/>
                      <w:kern w:val="0"/>
                      <w:szCs w:val="21"/>
                      <w:lang w:bidi="ar"/>
                    </w:rPr>
                    <w:t>1∶</w:t>
                  </w:r>
                  <w:r>
                    <w:rPr>
                      <w:rFonts w:hint="eastAsia"/>
                      <w:color w:val="auto"/>
                      <w:kern w:val="0"/>
                      <w:szCs w:val="21"/>
                      <w:lang w:val="en-US" w:eastAsia="zh-CN" w:bidi="ar"/>
                    </w:rPr>
                    <w:t>3</w:t>
                  </w:r>
                </w:p>
              </w:tc>
              <w:tc>
                <w:tcPr>
                  <w:tcW w:w="834" w:type="pct"/>
                  <w:tcBorders>
                    <w:tl2br w:val="nil"/>
                    <w:tr2bl w:val="nil"/>
                  </w:tcBorders>
                  <w:vAlign w:val="center"/>
                </w:tcPr>
                <w:p w14:paraId="564C7C20">
                  <w:pPr>
                    <w:adjustRightInd w:val="0"/>
                    <w:snapToGrid w:val="0"/>
                    <w:jc w:val="center"/>
                    <w:rPr>
                      <w:rFonts w:hint="default" w:eastAsia="宋体"/>
                      <w:color w:val="auto"/>
                      <w:szCs w:val="21"/>
                      <w:lang w:val="en-US" w:eastAsia="zh-CN"/>
                    </w:rPr>
                  </w:pPr>
                  <w:r>
                    <w:rPr>
                      <w:rFonts w:hint="eastAsia"/>
                      <w:color w:val="auto"/>
                      <w:szCs w:val="21"/>
                      <w:lang w:val="en-US" w:eastAsia="zh-CN"/>
                    </w:rPr>
                    <w:t>1.632</w:t>
                  </w:r>
                </w:p>
              </w:tc>
            </w:tr>
          </w:tbl>
          <w:p w14:paraId="4CE110ED">
            <w:pPr>
              <w:tabs>
                <w:tab w:val="left" w:pos="1662"/>
                <w:tab w:val="left" w:pos="7628"/>
              </w:tabs>
              <w:spacing w:line="460" w:lineRule="exact"/>
              <w:ind w:firstLine="425"/>
              <w:rPr>
                <w:color w:val="auto"/>
                <w:sz w:val="24"/>
              </w:rPr>
            </w:pPr>
            <w:r>
              <w:rPr>
                <w:color w:val="auto"/>
                <w:sz w:val="24"/>
              </w:rPr>
              <w:t>建设单位在建设项目投产前，应当向当地生态环境主管部门提交总量指标相关资料，取得总量指标，完成排污权交易</w:t>
            </w:r>
            <w:r>
              <w:rPr>
                <w:rFonts w:hint="eastAsia"/>
                <w:color w:val="auto"/>
                <w:sz w:val="24"/>
              </w:rPr>
              <w:t>。</w:t>
            </w:r>
          </w:p>
          <w:p w14:paraId="715341CA">
            <w:pPr>
              <w:tabs>
                <w:tab w:val="left" w:pos="1662"/>
                <w:tab w:val="left" w:pos="7628"/>
              </w:tabs>
              <w:spacing w:line="460" w:lineRule="exact"/>
              <w:ind w:firstLine="425"/>
              <w:rPr>
                <w:color w:val="auto"/>
                <w:sz w:val="24"/>
              </w:rPr>
            </w:pPr>
          </w:p>
          <w:p w14:paraId="220FDF97">
            <w:pPr>
              <w:tabs>
                <w:tab w:val="left" w:pos="1662"/>
                <w:tab w:val="left" w:pos="7628"/>
              </w:tabs>
              <w:spacing w:line="460" w:lineRule="exact"/>
              <w:ind w:firstLine="425"/>
              <w:rPr>
                <w:color w:val="auto"/>
                <w:sz w:val="24"/>
              </w:rPr>
            </w:pPr>
          </w:p>
          <w:p w14:paraId="56016B69">
            <w:pPr>
              <w:tabs>
                <w:tab w:val="left" w:pos="1662"/>
                <w:tab w:val="left" w:pos="7628"/>
              </w:tabs>
              <w:spacing w:line="460" w:lineRule="exact"/>
              <w:ind w:firstLine="425"/>
              <w:rPr>
                <w:color w:val="auto"/>
                <w:sz w:val="24"/>
              </w:rPr>
            </w:pPr>
          </w:p>
          <w:p w14:paraId="0F8286E5">
            <w:pPr>
              <w:tabs>
                <w:tab w:val="left" w:pos="1662"/>
                <w:tab w:val="left" w:pos="7628"/>
              </w:tabs>
              <w:spacing w:line="460" w:lineRule="exact"/>
              <w:ind w:firstLine="425"/>
              <w:rPr>
                <w:color w:val="auto"/>
                <w:sz w:val="24"/>
              </w:rPr>
            </w:pPr>
          </w:p>
          <w:p w14:paraId="1D7DBA50">
            <w:pPr>
              <w:tabs>
                <w:tab w:val="left" w:pos="1662"/>
                <w:tab w:val="left" w:pos="7628"/>
              </w:tabs>
              <w:spacing w:line="460" w:lineRule="exact"/>
              <w:ind w:firstLine="425"/>
              <w:rPr>
                <w:color w:val="auto"/>
                <w:sz w:val="24"/>
              </w:rPr>
            </w:pPr>
          </w:p>
          <w:p w14:paraId="7B614E99">
            <w:pPr>
              <w:tabs>
                <w:tab w:val="left" w:pos="1662"/>
                <w:tab w:val="left" w:pos="7628"/>
              </w:tabs>
              <w:spacing w:line="460" w:lineRule="exact"/>
              <w:rPr>
                <w:color w:val="auto"/>
                <w:kern w:val="0"/>
                <w:sz w:val="24"/>
              </w:rPr>
            </w:pPr>
          </w:p>
        </w:tc>
      </w:tr>
    </w:tbl>
    <w:p w14:paraId="349045B3">
      <w:pPr>
        <w:pStyle w:val="82"/>
        <w:jc w:val="center"/>
        <w:outlineLvl w:val="0"/>
        <w:rPr>
          <w:rFonts w:ascii="Times New Roman" w:hAnsi="Times New Roman"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bookmarkStart w:id="10" w:name="_Toc67930373"/>
    </w:p>
    <w:p w14:paraId="1DCEA8D0">
      <w:pPr>
        <w:pStyle w:val="8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bookmarkEnd w:id="10"/>
    </w:p>
    <w:tbl>
      <w:tblPr>
        <w:tblStyle w:val="88"/>
        <w:tblW w:w="51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8"/>
        <w:gridCol w:w="9010"/>
      </w:tblGrid>
      <w:tr w14:paraId="12653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6" w:hRule="atLeast"/>
          <w:jc w:val="center"/>
        </w:trPr>
        <w:tc>
          <w:tcPr>
            <w:tcW w:w="160" w:type="pct"/>
            <w:tcMar>
              <w:left w:w="28" w:type="dxa"/>
              <w:right w:w="28" w:type="dxa"/>
            </w:tcMar>
            <w:vAlign w:val="center"/>
          </w:tcPr>
          <w:p w14:paraId="1C2F03AA">
            <w:pPr>
              <w:rPr>
                <w:color w:val="auto"/>
              </w:rPr>
            </w:pPr>
            <w:r>
              <w:rPr>
                <w:snapToGrid w:val="0"/>
                <w:color w:val="auto"/>
                <w:sz w:val="30"/>
                <w:szCs w:val="30"/>
              </w:rPr>
              <w:br w:type="page"/>
            </w:r>
            <w:r>
              <w:rPr>
                <w:color w:val="auto"/>
              </w:rPr>
              <w:t>施工</w:t>
            </w:r>
          </w:p>
          <w:p w14:paraId="52AC4AE7">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36C257F6">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58B53C40">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3BD552D2">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w:t>
            </w:r>
          </w:p>
        </w:tc>
        <w:tc>
          <w:tcPr>
            <w:tcW w:w="4839" w:type="pct"/>
            <w:vAlign w:val="center"/>
          </w:tcPr>
          <w:p w14:paraId="01D70787">
            <w:pPr>
              <w:numPr>
                <w:ilvl w:val="0"/>
                <w:numId w:val="25"/>
              </w:numPr>
              <w:tabs>
                <w:tab w:val="left" w:pos="993"/>
              </w:tabs>
              <w:adjustRightInd w:val="0"/>
              <w:spacing w:line="360" w:lineRule="auto"/>
              <w:rPr>
                <w:b/>
                <w:bCs/>
                <w:color w:val="auto"/>
                <w:sz w:val="24"/>
              </w:rPr>
            </w:pPr>
            <w:r>
              <w:rPr>
                <w:b/>
                <w:bCs/>
                <w:color w:val="auto"/>
                <w:sz w:val="24"/>
              </w:rPr>
              <w:t>施工期环境保护措施</w:t>
            </w:r>
          </w:p>
          <w:p w14:paraId="3148733A">
            <w:pPr>
              <w:wordWrap w:val="0"/>
              <w:autoSpaceDE w:val="0"/>
              <w:autoSpaceDN w:val="0"/>
              <w:adjustRightInd w:val="0"/>
              <w:snapToGrid w:val="0"/>
              <w:spacing w:line="460" w:lineRule="exact"/>
              <w:ind w:firstLine="425"/>
              <w:jc w:val="left"/>
              <w:rPr>
                <w:color w:val="auto"/>
                <w:sz w:val="24"/>
              </w:rPr>
            </w:pPr>
            <w:r>
              <w:rPr>
                <w:color w:val="auto"/>
                <w:sz w:val="24"/>
              </w:rPr>
              <w:t>本项目</w:t>
            </w:r>
            <w:r>
              <w:rPr>
                <w:rFonts w:hint="eastAsia"/>
                <w:color w:val="auto"/>
                <w:sz w:val="24"/>
              </w:rPr>
              <w:t>租用现有</w:t>
            </w:r>
            <w:r>
              <w:rPr>
                <w:color w:val="auto"/>
                <w:sz w:val="24"/>
              </w:rPr>
              <w:t>厂房进行生产，建筑物均已建设完成，</w:t>
            </w:r>
            <w:r>
              <w:rPr>
                <w:rFonts w:hint="eastAsia"/>
                <w:color w:val="auto"/>
                <w:sz w:val="24"/>
              </w:rPr>
              <w:t>施工期主要内容为生产设备的安装，</w:t>
            </w:r>
            <w:r>
              <w:rPr>
                <w:color w:val="auto"/>
                <w:sz w:val="24"/>
              </w:rPr>
              <w:t>故本环评不再对其建设期环境影响</w:t>
            </w:r>
            <w:r>
              <w:rPr>
                <w:rFonts w:hint="eastAsia"/>
                <w:color w:val="auto"/>
                <w:sz w:val="24"/>
              </w:rPr>
              <w:t>展开评价。</w:t>
            </w:r>
          </w:p>
          <w:p w14:paraId="43793FDB">
            <w:pPr>
              <w:wordWrap w:val="0"/>
              <w:autoSpaceDE w:val="0"/>
              <w:autoSpaceDN w:val="0"/>
              <w:adjustRightInd w:val="0"/>
              <w:snapToGrid w:val="0"/>
              <w:spacing w:line="460" w:lineRule="exact"/>
              <w:ind w:firstLine="425"/>
              <w:jc w:val="left"/>
              <w:rPr>
                <w:color w:val="auto"/>
              </w:rPr>
            </w:pPr>
          </w:p>
          <w:p w14:paraId="1D937F7D">
            <w:pPr>
              <w:wordWrap w:val="0"/>
              <w:autoSpaceDE w:val="0"/>
              <w:autoSpaceDN w:val="0"/>
              <w:adjustRightInd w:val="0"/>
              <w:snapToGrid w:val="0"/>
              <w:spacing w:line="460" w:lineRule="exact"/>
              <w:ind w:firstLine="425"/>
              <w:jc w:val="left"/>
              <w:rPr>
                <w:color w:val="auto"/>
              </w:rPr>
            </w:pPr>
          </w:p>
          <w:p w14:paraId="3E8EAA76">
            <w:pPr>
              <w:wordWrap w:val="0"/>
              <w:autoSpaceDE w:val="0"/>
              <w:autoSpaceDN w:val="0"/>
              <w:adjustRightInd w:val="0"/>
              <w:snapToGrid w:val="0"/>
              <w:spacing w:line="460" w:lineRule="exact"/>
              <w:ind w:firstLine="425"/>
              <w:jc w:val="left"/>
              <w:rPr>
                <w:color w:val="auto"/>
              </w:rPr>
            </w:pPr>
          </w:p>
          <w:p w14:paraId="022E58B9">
            <w:pPr>
              <w:wordWrap w:val="0"/>
              <w:autoSpaceDE w:val="0"/>
              <w:autoSpaceDN w:val="0"/>
              <w:adjustRightInd w:val="0"/>
              <w:snapToGrid w:val="0"/>
              <w:spacing w:line="460" w:lineRule="exact"/>
              <w:ind w:firstLine="425"/>
              <w:jc w:val="left"/>
              <w:rPr>
                <w:color w:val="auto"/>
              </w:rPr>
            </w:pPr>
          </w:p>
          <w:p w14:paraId="470E5B3E">
            <w:pPr>
              <w:wordWrap w:val="0"/>
              <w:autoSpaceDE w:val="0"/>
              <w:autoSpaceDN w:val="0"/>
              <w:adjustRightInd w:val="0"/>
              <w:snapToGrid w:val="0"/>
              <w:spacing w:line="460" w:lineRule="exact"/>
              <w:ind w:firstLine="425"/>
              <w:jc w:val="left"/>
              <w:rPr>
                <w:color w:val="auto"/>
              </w:rPr>
            </w:pPr>
          </w:p>
          <w:p w14:paraId="0CCF2F8C">
            <w:pPr>
              <w:wordWrap w:val="0"/>
              <w:autoSpaceDE w:val="0"/>
              <w:autoSpaceDN w:val="0"/>
              <w:adjustRightInd w:val="0"/>
              <w:snapToGrid w:val="0"/>
              <w:spacing w:line="460" w:lineRule="exact"/>
              <w:ind w:firstLine="425"/>
              <w:jc w:val="left"/>
              <w:rPr>
                <w:color w:val="auto"/>
              </w:rPr>
            </w:pPr>
          </w:p>
          <w:p w14:paraId="035FC60F">
            <w:pPr>
              <w:wordWrap w:val="0"/>
              <w:autoSpaceDE w:val="0"/>
              <w:autoSpaceDN w:val="0"/>
              <w:adjustRightInd w:val="0"/>
              <w:snapToGrid w:val="0"/>
              <w:spacing w:line="460" w:lineRule="exact"/>
              <w:ind w:firstLine="425"/>
              <w:jc w:val="left"/>
              <w:rPr>
                <w:color w:val="auto"/>
              </w:rPr>
            </w:pPr>
          </w:p>
          <w:p w14:paraId="0C3DE9C5">
            <w:pPr>
              <w:wordWrap w:val="0"/>
              <w:autoSpaceDE w:val="0"/>
              <w:autoSpaceDN w:val="0"/>
              <w:adjustRightInd w:val="0"/>
              <w:snapToGrid w:val="0"/>
              <w:spacing w:line="460" w:lineRule="exact"/>
              <w:ind w:firstLine="425"/>
              <w:jc w:val="left"/>
              <w:rPr>
                <w:color w:val="auto"/>
              </w:rPr>
            </w:pPr>
          </w:p>
          <w:p w14:paraId="3E3DE682">
            <w:pPr>
              <w:wordWrap w:val="0"/>
              <w:autoSpaceDE w:val="0"/>
              <w:autoSpaceDN w:val="0"/>
              <w:adjustRightInd w:val="0"/>
              <w:snapToGrid w:val="0"/>
              <w:spacing w:line="460" w:lineRule="exact"/>
              <w:ind w:firstLine="425"/>
              <w:jc w:val="left"/>
              <w:rPr>
                <w:color w:val="auto"/>
              </w:rPr>
            </w:pPr>
          </w:p>
          <w:p w14:paraId="67C0EF0D">
            <w:pPr>
              <w:wordWrap w:val="0"/>
              <w:autoSpaceDE w:val="0"/>
              <w:autoSpaceDN w:val="0"/>
              <w:adjustRightInd w:val="0"/>
              <w:snapToGrid w:val="0"/>
              <w:spacing w:line="460" w:lineRule="exact"/>
              <w:ind w:firstLine="425"/>
              <w:jc w:val="left"/>
              <w:rPr>
                <w:color w:val="auto"/>
              </w:rPr>
            </w:pPr>
          </w:p>
          <w:p w14:paraId="6F9FC027">
            <w:pPr>
              <w:wordWrap w:val="0"/>
              <w:autoSpaceDE w:val="0"/>
              <w:autoSpaceDN w:val="0"/>
              <w:adjustRightInd w:val="0"/>
              <w:snapToGrid w:val="0"/>
              <w:spacing w:line="460" w:lineRule="exact"/>
              <w:ind w:firstLine="425"/>
              <w:jc w:val="left"/>
              <w:rPr>
                <w:color w:val="auto"/>
              </w:rPr>
            </w:pPr>
          </w:p>
          <w:p w14:paraId="5E9B90BA">
            <w:pPr>
              <w:wordWrap w:val="0"/>
              <w:autoSpaceDE w:val="0"/>
              <w:autoSpaceDN w:val="0"/>
              <w:adjustRightInd w:val="0"/>
              <w:snapToGrid w:val="0"/>
              <w:spacing w:line="460" w:lineRule="exact"/>
              <w:ind w:firstLine="425"/>
              <w:jc w:val="left"/>
              <w:rPr>
                <w:color w:val="auto"/>
              </w:rPr>
            </w:pPr>
          </w:p>
          <w:p w14:paraId="110C1374">
            <w:pPr>
              <w:wordWrap w:val="0"/>
              <w:autoSpaceDE w:val="0"/>
              <w:autoSpaceDN w:val="0"/>
              <w:adjustRightInd w:val="0"/>
              <w:snapToGrid w:val="0"/>
              <w:spacing w:line="460" w:lineRule="exact"/>
              <w:ind w:firstLine="425"/>
              <w:jc w:val="left"/>
              <w:rPr>
                <w:color w:val="auto"/>
              </w:rPr>
            </w:pPr>
          </w:p>
          <w:p w14:paraId="1753017D">
            <w:pPr>
              <w:wordWrap w:val="0"/>
              <w:autoSpaceDE w:val="0"/>
              <w:autoSpaceDN w:val="0"/>
              <w:adjustRightInd w:val="0"/>
              <w:snapToGrid w:val="0"/>
              <w:spacing w:line="460" w:lineRule="exact"/>
              <w:ind w:firstLine="425"/>
              <w:jc w:val="left"/>
              <w:rPr>
                <w:color w:val="auto"/>
              </w:rPr>
            </w:pPr>
          </w:p>
          <w:p w14:paraId="666CE2A9">
            <w:pPr>
              <w:wordWrap w:val="0"/>
              <w:autoSpaceDE w:val="0"/>
              <w:autoSpaceDN w:val="0"/>
              <w:adjustRightInd w:val="0"/>
              <w:snapToGrid w:val="0"/>
              <w:spacing w:line="460" w:lineRule="exact"/>
              <w:ind w:firstLine="425"/>
              <w:jc w:val="left"/>
              <w:rPr>
                <w:color w:val="auto"/>
              </w:rPr>
            </w:pPr>
          </w:p>
          <w:p w14:paraId="7A406DD2">
            <w:pPr>
              <w:wordWrap w:val="0"/>
              <w:autoSpaceDE w:val="0"/>
              <w:autoSpaceDN w:val="0"/>
              <w:adjustRightInd w:val="0"/>
              <w:snapToGrid w:val="0"/>
              <w:spacing w:line="460" w:lineRule="exact"/>
              <w:ind w:firstLine="425"/>
              <w:jc w:val="left"/>
              <w:rPr>
                <w:color w:val="auto"/>
              </w:rPr>
            </w:pPr>
          </w:p>
          <w:p w14:paraId="14C1F7DE">
            <w:pPr>
              <w:wordWrap w:val="0"/>
              <w:autoSpaceDE w:val="0"/>
              <w:autoSpaceDN w:val="0"/>
              <w:adjustRightInd w:val="0"/>
              <w:snapToGrid w:val="0"/>
              <w:spacing w:line="460" w:lineRule="exact"/>
              <w:ind w:firstLine="425"/>
              <w:jc w:val="left"/>
              <w:rPr>
                <w:color w:val="auto"/>
              </w:rPr>
            </w:pPr>
          </w:p>
          <w:p w14:paraId="704ECCBF">
            <w:pPr>
              <w:wordWrap w:val="0"/>
              <w:autoSpaceDE w:val="0"/>
              <w:autoSpaceDN w:val="0"/>
              <w:adjustRightInd w:val="0"/>
              <w:snapToGrid w:val="0"/>
              <w:spacing w:line="460" w:lineRule="exact"/>
              <w:ind w:firstLine="425"/>
              <w:jc w:val="left"/>
              <w:rPr>
                <w:color w:val="auto"/>
              </w:rPr>
            </w:pPr>
          </w:p>
          <w:p w14:paraId="1A11B812">
            <w:pPr>
              <w:wordWrap w:val="0"/>
              <w:autoSpaceDE w:val="0"/>
              <w:autoSpaceDN w:val="0"/>
              <w:adjustRightInd w:val="0"/>
              <w:snapToGrid w:val="0"/>
              <w:spacing w:line="460" w:lineRule="exact"/>
              <w:ind w:firstLine="425"/>
              <w:jc w:val="left"/>
              <w:rPr>
                <w:color w:val="auto"/>
              </w:rPr>
            </w:pPr>
          </w:p>
          <w:p w14:paraId="34CF479B">
            <w:pPr>
              <w:wordWrap w:val="0"/>
              <w:autoSpaceDE w:val="0"/>
              <w:autoSpaceDN w:val="0"/>
              <w:adjustRightInd w:val="0"/>
              <w:snapToGrid w:val="0"/>
              <w:spacing w:line="460" w:lineRule="exact"/>
              <w:ind w:firstLine="425"/>
              <w:jc w:val="left"/>
              <w:rPr>
                <w:color w:val="auto"/>
              </w:rPr>
            </w:pPr>
          </w:p>
          <w:p w14:paraId="0EFAE093">
            <w:pPr>
              <w:wordWrap w:val="0"/>
              <w:autoSpaceDE w:val="0"/>
              <w:autoSpaceDN w:val="0"/>
              <w:adjustRightInd w:val="0"/>
              <w:snapToGrid w:val="0"/>
              <w:spacing w:line="460" w:lineRule="exact"/>
              <w:ind w:firstLine="425"/>
              <w:jc w:val="left"/>
              <w:rPr>
                <w:color w:val="auto"/>
              </w:rPr>
            </w:pPr>
          </w:p>
          <w:p w14:paraId="49862405">
            <w:pPr>
              <w:wordWrap w:val="0"/>
              <w:autoSpaceDE w:val="0"/>
              <w:autoSpaceDN w:val="0"/>
              <w:adjustRightInd w:val="0"/>
              <w:snapToGrid w:val="0"/>
              <w:spacing w:line="460" w:lineRule="exact"/>
              <w:ind w:firstLine="425"/>
              <w:jc w:val="left"/>
              <w:rPr>
                <w:color w:val="auto"/>
              </w:rPr>
            </w:pPr>
          </w:p>
          <w:p w14:paraId="3A20ABA2">
            <w:pPr>
              <w:wordWrap w:val="0"/>
              <w:autoSpaceDE w:val="0"/>
              <w:autoSpaceDN w:val="0"/>
              <w:adjustRightInd w:val="0"/>
              <w:snapToGrid w:val="0"/>
              <w:spacing w:line="460" w:lineRule="exact"/>
              <w:jc w:val="left"/>
              <w:rPr>
                <w:color w:val="auto"/>
              </w:rPr>
            </w:pPr>
          </w:p>
        </w:tc>
      </w:tr>
    </w:tbl>
    <w:p w14:paraId="509CC2BB">
      <w:pPr>
        <w:pStyle w:val="82"/>
        <w:adjustRightInd w:val="0"/>
        <w:snapToGrid w:val="0"/>
        <w:spacing w:before="0" w:beforeAutospacing="0" w:after="0" w:afterAutospacing="0"/>
        <w:jc w:val="center"/>
        <w:rPr>
          <w:rFonts w:ascii="Times New Roman" w:hAnsi="Times New Roman"/>
          <w:color w:val="auto"/>
          <w:kern w:val="2"/>
          <w:szCs w:val="24"/>
        </w:rPr>
        <w:sectPr>
          <w:pgSz w:w="11907" w:h="16840"/>
          <w:pgMar w:top="2126"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2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9"/>
        <w:gridCol w:w="9102"/>
      </w:tblGrid>
      <w:tr w14:paraId="3BEDDC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6" w:hRule="atLeast"/>
          <w:jc w:val="center"/>
        </w:trPr>
        <w:tc>
          <w:tcPr>
            <w:tcW w:w="159" w:type="pct"/>
            <w:tcMar>
              <w:left w:w="28" w:type="dxa"/>
              <w:right w:w="28" w:type="dxa"/>
            </w:tcMar>
            <w:vAlign w:val="center"/>
          </w:tcPr>
          <w:p w14:paraId="28E76A69">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运营</w:t>
            </w:r>
          </w:p>
          <w:p w14:paraId="50E9F5E4">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3A8B0B10">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境影</w:t>
            </w:r>
          </w:p>
          <w:p w14:paraId="0334397C">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响和</w:t>
            </w:r>
          </w:p>
          <w:p w14:paraId="058E0744">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保护</w:t>
            </w:r>
          </w:p>
          <w:p w14:paraId="34B97E8B">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措施</w:t>
            </w:r>
          </w:p>
        </w:tc>
        <w:tc>
          <w:tcPr>
            <w:tcW w:w="4840" w:type="pct"/>
            <w:vAlign w:val="center"/>
          </w:tcPr>
          <w:p w14:paraId="4B3865DD">
            <w:pPr>
              <w:numPr>
                <w:ilvl w:val="0"/>
                <w:numId w:val="25"/>
              </w:numPr>
              <w:tabs>
                <w:tab w:val="left" w:pos="993"/>
              </w:tabs>
              <w:adjustRightInd w:val="0"/>
              <w:spacing w:line="360" w:lineRule="auto"/>
              <w:rPr>
                <w:b/>
                <w:bCs/>
                <w:color w:val="auto"/>
                <w:sz w:val="24"/>
              </w:rPr>
            </w:pPr>
            <w:r>
              <w:rPr>
                <w:b/>
                <w:bCs/>
                <w:color w:val="auto"/>
                <w:sz w:val="24"/>
              </w:rPr>
              <w:t>运营期环境影响和保护措施</w:t>
            </w:r>
          </w:p>
          <w:p w14:paraId="4DA8B5E6">
            <w:pPr>
              <w:numPr>
                <w:ilvl w:val="0"/>
                <w:numId w:val="26"/>
              </w:numPr>
              <w:tabs>
                <w:tab w:val="left" w:pos="993"/>
                <w:tab w:val="clear" w:pos="0"/>
              </w:tabs>
              <w:adjustRightInd w:val="0"/>
              <w:spacing w:line="360" w:lineRule="auto"/>
              <w:rPr>
                <w:b/>
                <w:bCs/>
                <w:color w:val="auto"/>
                <w:sz w:val="24"/>
              </w:rPr>
            </w:pPr>
            <w:r>
              <w:rPr>
                <w:b/>
                <w:bCs/>
                <w:color w:val="auto"/>
                <w:sz w:val="24"/>
              </w:rPr>
              <w:t>废气</w:t>
            </w:r>
          </w:p>
          <w:p w14:paraId="5C571C35">
            <w:pPr>
              <w:adjustRightInd w:val="0"/>
              <w:snapToGrid w:val="0"/>
              <w:spacing w:line="460" w:lineRule="exact"/>
              <w:ind w:firstLine="425"/>
              <w:rPr>
                <w:color w:val="auto"/>
                <w:sz w:val="24"/>
              </w:rPr>
            </w:pPr>
            <w:r>
              <w:rPr>
                <w:rFonts w:hint="eastAsia"/>
                <w:color w:val="auto"/>
                <w:sz w:val="24"/>
              </w:rPr>
              <w:t>本项目废气主要为配料粉尘和挤出废气</w:t>
            </w:r>
          </w:p>
          <w:p w14:paraId="14E20D6D">
            <w:pPr>
              <w:adjustRightInd w:val="0"/>
              <w:snapToGrid w:val="0"/>
              <w:spacing w:line="460" w:lineRule="exact"/>
              <w:ind w:firstLine="425"/>
              <w:rPr>
                <w:color w:val="auto"/>
                <w:sz w:val="24"/>
              </w:rPr>
            </w:pPr>
            <w:r>
              <w:rPr>
                <w:rFonts w:hint="eastAsia"/>
                <w:color w:val="auto"/>
                <w:sz w:val="24"/>
              </w:rPr>
              <w:t>1、产污环节及污染源强</w:t>
            </w:r>
          </w:p>
          <w:p w14:paraId="3F29BEDA">
            <w:pPr>
              <w:adjustRightInd w:val="0"/>
              <w:snapToGrid w:val="0"/>
              <w:spacing w:line="460" w:lineRule="exact"/>
              <w:ind w:firstLine="425"/>
              <w:rPr>
                <w:color w:val="auto"/>
                <w:sz w:val="24"/>
              </w:rPr>
            </w:pPr>
            <w:r>
              <w:rPr>
                <w:rFonts w:hint="eastAsia"/>
                <w:color w:val="auto"/>
                <w:sz w:val="24"/>
              </w:rPr>
              <w:t>（1）</w:t>
            </w:r>
            <w:r>
              <w:rPr>
                <w:rFonts w:hint="eastAsia"/>
                <w:color w:val="auto"/>
                <w:sz w:val="24"/>
                <w:lang w:val="en-US" w:eastAsia="zh-CN"/>
              </w:rPr>
              <w:t>投料、混料</w:t>
            </w:r>
            <w:r>
              <w:rPr>
                <w:rFonts w:hint="eastAsia"/>
                <w:color w:val="auto"/>
                <w:sz w:val="24"/>
              </w:rPr>
              <w:t>粉尘</w:t>
            </w:r>
          </w:p>
          <w:p w14:paraId="281C138C">
            <w:pPr>
              <w:adjustRightInd w:val="0"/>
              <w:snapToGrid w:val="0"/>
              <w:spacing w:line="460" w:lineRule="exact"/>
              <w:ind w:firstLine="425"/>
              <w:rPr>
                <w:rFonts w:hint="default" w:eastAsia="宋体"/>
                <w:color w:val="auto"/>
                <w:sz w:val="24"/>
                <w:lang w:val="en-US" w:eastAsia="zh-CN"/>
              </w:rPr>
            </w:pPr>
            <w:r>
              <w:rPr>
                <w:rFonts w:hint="eastAsia"/>
                <w:color w:val="auto"/>
                <w:sz w:val="24"/>
              </w:rPr>
              <w:t>本项目</w:t>
            </w:r>
            <w:r>
              <w:rPr>
                <w:rFonts w:hint="eastAsia"/>
                <w:color w:val="auto"/>
                <w:sz w:val="24"/>
                <w:lang w:val="en-US" w:eastAsia="zh-CN"/>
              </w:rPr>
              <w:t>投料</w:t>
            </w:r>
            <w:r>
              <w:rPr>
                <w:rFonts w:hint="eastAsia"/>
                <w:color w:val="auto"/>
                <w:sz w:val="24"/>
              </w:rPr>
              <w:t>、混料工序过程中会产生粉尘，根据《排放源统计调查产排污核算方法和系数手册》（生态环境部公告2021年第24号）中“292塑料制品行业系数手册”中2922塑料板、管、型材制造行业系数表，配料、混合工序颗粒物产污系数6.0千克/吨-产品，本项目木塑门产量为</w:t>
            </w:r>
            <w:r>
              <w:rPr>
                <w:rFonts w:hint="eastAsia"/>
                <w:color w:val="auto"/>
                <w:sz w:val="24"/>
                <w:lang w:val="en-US" w:eastAsia="zh-CN"/>
              </w:rPr>
              <w:t>5500</w:t>
            </w:r>
            <w:r>
              <w:rPr>
                <w:rFonts w:hint="eastAsia"/>
                <w:color w:val="auto"/>
                <w:sz w:val="24"/>
              </w:rPr>
              <w:t>t/a，木塑线条产量为</w:t>
            </w:r>
            <w:r>
              <w:rPr>
                <w:rFonts w:hint="eastAsia"/>
                <w:color w:val="auto"/>
                <w:sz w:val="24"/>
                <w:lang w:val="en-US" w:eastAsia="zh-CN"/>
              </w:rPr>
              <w:t>1000</w:t>
            </w:r>
            <w:r>
              <w:rPr>
                <w:rFonts w:hint="eastAsia"/>
                <w:color w:val="auto"/>
                <w:sz w:val="24"/>
              </w:rPr>
              <w:t>t/a，合计为</w:t>
            </w:r>
            <w:r>
              <w:rPr>
                <w:rFonts w:hint="eastAsia"/>
                <w:color w:val="auto"/>
                <w:sz w:val="24"/>
                <w:lang w:val="en-US" w:eastAsia="zh-CN"/>
              </w:rPr>
              <w:t>6500</w:t>
            </w:r>
            <w:r>
              <w:rPr>
                <w:rFonts w:hint="eastAsia"/>
                <w:color w:val="auto"/>
                <w:sz w:val="24"/>
              </w:rPr>
              <w:t>t/a，则配料粉尘（颗粒物）产生量约为</w:t>
            </w:r>
            <w:r>
              <w:rPr>
                <w:rFonts w:hint="eastAsia"/>
                <w:color w:val="auto"/>
                <w:sz w:val="24"/>
                <w:lang w:val="en-US" w:eastAsia="zh-CN"/>
              </w:rPr>
              <w:t>39</w:t>
            </w:r>
            <w:r>
              <w:rPr>
                <w:rFonts w:hint="eastAsia"/>
                <w:color w:val="auto"/>
                <w:sz w:val="24"/>
              </w:rPr>
              <w:t>t/a。</w:t>
            </w:r>
            <w:r>
              <w:rPr>
                <w:rFonts w:hint="eastAsia"/>
                <w:color w:val="auto"/>
                <w:sz w:val="24"/>
                <w:lang w:val="en-US" w:eastAsia="zh-CN"/>
              </w:rPr>
              <w:t>本项目在投料、混料区设置密闭车间，投料、混料时保持全程密闭，废气经整体微负压进行收集，收集后的废气送入布袋除尘装置处理，净化后的气体在密闭车间内循环。</w:t>
            </w:r>
          </w:p>
          <w:p w14:paraId="7316BB3B">
            <w:pPr>
              <w:adjustRightInd w:val="0"/>
              <w:snapToGrid w:val="0"/>
              <w:spacing w:line="460" w:lineRule="exact"/>
              <w:ind w:firstLine="480" w:firstLineChars="200"/>
              <w:rPr>
                <w:color w:val="auto"/>
                <w:sz w:val="24"/>
              </w:rPr>
            </w:pPr>
            <w:r>
              <w:rPr>
                <w:rFonts w:hint="eastAsia"/>
                <w:color w:val="auto"/>
                <w:sz w:val="24"/>
              </w:rPr>
              <w:t>（2）</w:t>
            </w:r>
            <w:r>
              <w:rPr>
                <w:rFonts w:hint="eastAsia"/>
                <w:color w:val="auto"/>
                <w:sz w:val="24"/>
                <w:lang w:val="en-US" w:eastAsia="zh-CN"/>
              </w:rPr>
              <w:t>呼吸</w:t>
            </w:r>
            <w:r>
              <w:rPr>
                <w:rFonts w:hint="eastAsia"/>
                <w:color w:val="auto"/>
                <w:sz w:val="24"/>
              </w:rPr>
              <w:t>废气</w:t>
            </w:r>
          </w:p>
          <w:p w14:paraId="660DA2F8">
            <w:pPr>
              <w:adjustRightInd w:val="0"/>
              <w:snapToGrid w:val="0"/>
              <w:spacing w:line="460" w:lineRule="exact"/>
              <w:ind w:firstLine="480" w:firstLineChars="200"/>
              <w:rPr>
                <w:rFonts w:hint="default" w:eastAsia="宋体"/>
                <w:color w:val="auto"/>
                <w:sz w:val="24"/>
                <w:lang w:val="en-US" w:eastAsia="zh-CN"/>
              </w:rPr>
            </w:pPr>
            <w:r>
              <w:rPr>
                <w:rFonts w:hint="eastAsia"/>
                <w:color w:val="auto"/>
                <w:sz w:val="24"/>
                <w:lang w:val="en-US" w:eastAsia="zh-CN"/>
              </w:rPr>
              <w:t>项目PVC粉、钙粉等物料混合后储存于储料罐，本项目设有10个储料罐，储料罐仅在进料时绞龙输送物料过程中会产生粉尘废气。废气产生量约占原料用量的0.01%，项目原料用量6624t/a，则呼吸废气的产生量为0.662t/a，本项目在储料罐上方设置集气管道，将</w:t>
            </w:r>
            <w:r>
              <w:rPr>
                <w:rFonts w:hint="default" w:ascii="Times New Roman" w:hAnsi="Times New Roman" w:eastAsia="Segoe UI" w:cs="Times New Roman"/>
                <w:i w:val="0"/>
                <w:iCs w:val="0"/>
                <w:caps w:val="0"/>
                <w:color w:val="auto"/>
                <w:spacing w:val="0"/>
                <w:sz w:val="24"/>
                <w:szCs w:val="24"/>
                <w:shd w:val="clear" w:color="auto" w:fill="FFFFFF"/>
              </w:rPr>
              <w:t>含尘气体收集后</w:t>
            </w:r>
            <w:r>
              <w:rPr>
                <w:rFonts w:hint="eastAsia" w:eastAsia="宋体" w:cs="Times New Roman"/>
                <w:i w:val="0"/>
                <w:iCs w:val="0"/>
                <w:caps w:val="0"/>
                <w:color w:val="auto"/>
                <w:spacing w:val="0"/>
                <w:sz w:val="24"/>
                <w:szCs w:val="24"/>
                <w:shd w:val="clear" w:color="auto" w:fill="FFFFFF"/>
                <w:lang w:val="en-US" w:eastAsia="zh-CN"/>
              </w:rPr>
              <w:t>并入除尘系统集中处理。</w:t>
            </w:r>
          </w:p>
          <w:p w14:paraId="673F2B7E">
            <w:pPr>
              <w:adjustRightInd w:val="0"/>
              <w:snapToGrid w:val="0"/>
              <w:spacing w:line="460" w:lineRule="exact"/>
              <w:ind w:firstLine="480" w:firstLineChars="200"/>
              <w:rPr>
                <w:color w:val="auto"/>
                <w:sz w:val="24"/>
              </w:rPr>
            </w:pPr>
            <w:r>
              <w:rPr>
                <w:rFonts w:hint="eastAsia"/>
                <w:color w:val="auto"/>
                <w:sz w:val="24"/>
              </w:rPr>
              <w:t>（</w:t>
            </w:r>
            <w:r>
              <w:rPr>
                <w:rFonts w:hint="eastAsia"/>
                <w:color w:val="auto"/>
                <w:sz w:val="24"/>
                <w:lang w:val="en-US" w:eastAsia="zh-CN"/>
              </w:rPr>
              <w:t>3</w:t>
            </w:r>
            <w:r>
              <w:rPr>
                <w:rFonts w:hint="eastAsia"/>
                <w:color w:val="auto"/>
                <w:sz w:val="24"/>
              </w:rPr>
              <w:t>）挤出废气</w:t>
            </w:r>
          </w:p>
          <w:p w14:paraId="7D746540">
            <w:pPr>
              <w:spacing w:line="440" w:lineRule="exact"/>
              <w:ind w:firstLine="480" w:firstLineChars="200"/>
              <w:jc w:val="left"/>
              <w:rPr>
                <w:color w:val="auto"/>
                <w:sz w:val="24"/>
                <w:u w:color="000000"/>
                <w:lang w:val="zh-CN" w:bidi="ar"/>
              </w:rPr>
            </w:pPr>
            <w:r>
              <w:rPr>
                <w:rFonts w:hint="eastAsia"/>
                <w:color w:val="auto"/>
                <w:sz w:val="24"/>
              </w:rPr>
              <w:t>本项目挤出工序采用电加热，挤出</w:t>
            </w:r>
            <w:r>
              <w:rPr>
                <w:color w:val="auto"/>
                <w:sz w:val="24"/>
              </w:rPr>
              <w:t>加热温度约180℃</w:t>
            </w:r>
            <w:r>
              <w:rPr>
                <w:rFonts w:hint="eastAsia"/>
                <w:color w:val="auto"/>
                <w:sz w:val="24"/>
              </w:rPr>
              <w:t>。</w:t>
            </w:r>
            <w:r>
              <w:rPr>
                <w:rFonts w:hint="eastAsia"/>
                <w:color w:val="auto"/>
                <w:sz w:val="24"/>
                <w:lang w:val="zh-CN"/>
              </w:rPr>
              <w:t>根据调查资料，PVC树脂一般在170ºC左右开始热分解，分解会产生氯化氢、氯乙烯和其他挥发性有机物等，在添加了PVC环保稳定剂之后，可大大提高PVC树脂的热稳定性，使得PVC树脂的热分解温度达到230℃以上，从而减少PVC树脂热分解。</w:t>
            </w:r>
            <w:r>
              <w:rPr>
                <w:rFonts w:hint="eastAsia"/>
                <w:color w:val="auto"/>
                <w:sz w:val="24"/>
              </w:rPr>
              <w:t>本项目使用钙锌稳定剂，</w:t>
            </w:r>
            <w:r>
              <w:rPr>
                <w:rFonts w:hint="eastAsia"/>
                <w:color w:val="auto"/>
                <w:sz w:val="24"/>
                <w:lang w:val="zh-CN"/>
              </w:rPr>
              <w:t>故理论上该挤出加热温度下PVC树脂</w:t>
            </w:r>
            <w:r>
              <w:rPr>
                <w:rFonts w:hint="eastAsia"/>
                <w:color w:val="auto"/>
                <w:sz w:val="24"/>
              </w:rPr>
              <w:t>基本</w:t>
            </w:r>
            <w:r>
              <w:rPr>
                <w:rFonts w:hint="eastAsia"/>
                <w:color w:val="auto"/>
                <w:sz w:val="24"/>
                <w:lang w:val="zh-CN"/>
              </w:rPr>
              <w:t>不会热分解，但在实际过程中</w:t>
            </w:r>
            <w:r>
              <w:rPr>
                <w:rFonts w:hint="eastAsia"/>
                <w:color w:val="auto"/>
                <w:sz w:val="24"/>
              </w:rPr>
              <w:t>仍会产生少量的挥发性有机废气（以非甲烷总烃计）及极少量的</w:t>
            </w:r>
            <w:r>
              <w:rPr>
                <w:rFonts w:hint="eastAsia"/>
                <w:color w:val="auto"/>
                <w:sz w:val="24"/>
                <w:lang w:val="zh-CN"/>
              </w:rPr>
              <w:t>氯化氢</w:t>
            </w:r>
            <w:r>
              <w:rPr>
                <w:rFonts w:hint="eastAsia"/>
                <w:color w:val="auto"/>
                <w:sz w:val="24"/>
              </w:rPr>
              <w:t>和</w:t>
            </w:r>
            <w:r>
              <w:rPr>
                <w:rFonts w:hint="eastAsia"/>
                <w:color w:val="auto"/>
                <w:sz w:val="24"/>
                <w:lang w:val="zh-CN"/>
              </w:rPr>
              <w:t>氯乙烯。</w:t>
            </w:r>
          </w:p>
          <w:p w14:paraId="755D3857">
            <w:pPr>
              <w:spacing w:line="440" w:lineRule="exact"/>
              <w:ind w:firstLine="480" w:firstLineChars="200"/>
              <w:jc w:val="left"/>
              <w:rPr>
                <w:color w:val="auto"/>
                <w:sz w:val="24"/>
              </w:rPr>
            </w:pPr>
            <w:r>
              <w:rPr>
                <w:rFonts w:hint="eastAsia"/>
                <w:color w:val="auto"/>
                <w:sz w:val="24"/>
              </w:rPr>
              <w:t>①非甲烷总烃</w:t>
            </w:r>
          </w:p>
          <w:p w14:paraId="1447579F">
            <w:pPr>
              <w:spacing w:line="440" w:lineRule="exact"/>
              <w:ind w:firstLine="480" w:firstLineChars="200"/>
              <w:jc w:val="left"/>
              <w:rPr>
                <w:color w:val="auto"/>
                <w:sz w:val="24"/>
              </w:rPr>
            </w:pPr>
            <w:r>
              <w:rPr>
                <w:rFonts w:hint="eastAsia"/>
                <w:color w:val="auto"/>
                <w:sz w:val="24"/>
              </w:rPr>
              <w:t>本项目挤出废气中挥发性有机物（以非甲烷总烃计）产生量</w:t>
            </w:r>
            <w:r>
              <w:rPr>
                <w:rFonts w:hint="eastAsia"/>
                <w:color w:val="auto"/>
                <w:sz w:val="24"/>
                <w:lang w:val="eu"/>
              </w:rPr>
              <w:t>参考《浙江省重点行业VOCs污染排放源</w:t>
            </w:r>
            <w:r>
              <w:rPr>
                <w:rFonts w:hint="eastAsia"/>
                <w:color w:val="auto"/>
                <w:sz w:val="24"/>
              </w:rPr>
              <w:t>排放量</w:t>
            </w:r>
            <w:r>
              <w:rPr>
                <w:rFonts w:hint="eastAsia"/>
                <w:color w:val="auto"/>
                <w:sz w:val="24"/>
                <w:lang w:val="eu"/>
              </w:rPr>
              <w:t>计算方法》（1.1版，新增塑料行业、印染行业算法，修正废水站VOCs排放）中“塑料皮、板、管材制造工序”排放系数表，</w:t>
            </w:r>
            <w:r>
              <w:rPr>
                <w:rFonts w:hint="eastAsia"/>
                <w:color w:val="auto"/>
                <w:sz w:val="24"/>
              </w:rPr>
              <w:t>其</w:t>
            </w:r>
            <w:r>
              <w:rPr>
                <w:rFonts w:hint="eastAsia"/>
                <w:color w:val="auto"/>
                <w:sz w:val="24"/>
                <w:lang w:val="eu"/>
              </w:rPr>
              <w:t>挥发性有机物产污系数为0.539kg/t原料</w:t>
            </w:r>
            <w:r>
              <w:rPr>
                <w:rFonts w:hint="eastAsia"/>
                <w:color w:val="auto"/>
                <w:sz w:val="24"/>
              </w:rPr>
              <w:t>。本项目</w:t>
            </w:r>
            <w:r>
              <w:rPr>
                <w:rFonts w:hint="eastAsia"/>
                <w:color w:val="auto"/>
                <w:sz w:val="24"/>
                <w:lang w:val="en-US" w:eastAsia="zh-CN"/>
              </w:rPr>
              <w:t>含VOCs原料</w:t>
            </w:r>
            <w:r>
              <w:rPr>
                <w:rFonts w:hint="eastAsia"/>
                <w:color w:val="auto"/>
                <w:sz w:val="24"/>
              </w:rPr>
              <w:t>用量</w:t>
            </w:r>
            <w:r>
              <w:rPr>
                <w:rFonts w:hint="eastAsia"/>
                <w:color w:val="auto"/>
                <w:sz w:val="24"/>
                <w:lang w:val="en-US" w:eastAsia="zh-CN"/>
              </w:rPr>
              <w:t>2784</w:t>
            </w:r>
            <w:r>
              <w:rPr>
                <w:rFonts w:hint="eastAsia"/>
                <w:color w:val="auto"/>
                <w:sz w:val="24"/>
              </w:rPr>
              <w:t>t/a（此处原料指含VOCs的原辅料，包括PVC、</w:t>
            </w:r>
            <w:r>
              <w:rPr>
                <w:rFonts w:hint="eastAsia"/>
                <w:color w:val="auto"/>
                <w:sz w:val="24"/>
                <w:lang w:val="en-US" w:eastAsia="zh-CN"/>
              </w:rPr>
              <w:t>助剂HL-100</w:t>
            </w:r>
            <w:r>
              <w:rPr>
                <w:rFonts w:hint="eastAsia"/>
                <w:color w:val="auto"/>
                <w:sz w:val="24"/>
              </w:rPr>
              <w:t>、</w:t>
            </w:r>
            <w:r>
              <w:rPr>
                <w:rFonts w:hint="eastAsia"/>
                <w:color w:val="auto"/>
                <w:sz w:val="24"/>
                <w:lang w:val="en-US" w:eastAsia="zh-CN"/>
              </w:rPr>
              <w:t>钙锌稳定剂</w:t>
            </w:r>
            <w:r>
              <w:rPr>
                <w:rFonts w:hint="eastAsia"/>
                <w:color w:val="auto"/>
                <w:sz w:val="24"/>
              </w:rPr>
              <w:t>、</w:t>
            </w:r>
            <w:r>
              <w:rPr>
                <w:rFonts w:hint="eastAsia"/>
                <w:color w:val="auto"/>
                <w:sz w:val="24"/>
                <w:lang w:val="en-US" w:eastAsia="zh-CN"/>
              </w:rPr>
              <w:t>PE蜡</w:t>
            </w:r>
            <w:r>
              <w:rPr>
                <w:rFonts w:hint="eastAsia"/>
                <w:color w:val="auto"/>
                <w:sz w:val="24"/>
              </w:rPr>
              <w:t>，不包括钙粉）</w:t>
            </w:r>
            <w:r>
              <w:rPr>
                <w:rFonts w:hint="eastAsia"/>
                <w:color w:val="auto"/>
                <w:sz w:val="24"/>
                <w:lang w:eastAsia="zh-CN"/>
              </w:rPr>
              <w:t>，</w:t>
            </w:r>
            <w:r>
              <w:rPr>
                <w:rFonts w:hint="eastAsia"/>
                <w:color w:val="auto"/>
                <w:sz w:val="24"/>
              </w:rPr>
              <w:t>则PVC挤出废气中非甲烷总烃产生量约</w:t>
            </w:r>
            <w:r>
              <w:rPr>
                <w:rFonts w:hint="eastAsia"/>
                <w:color w:val="auto"/>
                <w:sz w:val="24"/>
                <w:lang w:val="en-US" w:eastAsia="zh-CN"/>
              </w:rPr>
              <w:t>1.501</w:t>
            </w:r>
            <w:r>
              <w:rPr>
                <w:rFonts w:hint="eastAsia"/>
                <w:color w:val="auto"/>
                <w:sz w:val="24"/>
              </w:rPr>
              <w:t>t/a。</w:t>
            </w:r>
          </w:p>
          <w:p w14:paraId="0FF9258A">
            <w:pPr>
              <w:adjustRightInd w:val="0"/>
              <w:snapToGrid w:val="0"/>
              <w:spacing w:line="460" w:lineRule="exact"/>
              <w:ind w:firstLine="425"/>
              <w:rPr>
                <w:color w:val="auto"/>
                <w:sz w:val="24"/>
              </w:rPr>
            </w:pPr>
            <w:r>
              <w:rPr>
                <w:rFonts w:hint="eastAsia"/>
                <w:color w:val="auto"/>
                <w:sz w:val="24"/>
              </w:rPr>
              <w:t>②氯化氢、氯乙烯</w:t>
            </w:r>
          </w:p>
          <w:p w14:paraId="3D6A71BF">
            <w:pPr>
              <w:adjustRightInd w:val="0"/>
              <w:snapToGrid w:val="0"/>
              <w:spacing w:line="460" w:lineRule="exact"/>
              <w:ind w:firstLine="425"/>
              <w:rPr>
                <w:color w:val="auto"/>
                <w:sz w:val="24"/>
                <w:u w:color="000000"/>
                <w:lang w:bidi="ar"/>
              </w:rPr>
            </w:pPr>
            <w:r>
              <w:rPr>
                <w:color w:val="auto"/>
                <w:sz w:val="24"/>
              </w:rPr>
              <w:t>项目PVC</w:t>
            </w:r>
            <w:r>
              <w:rPr>
                <w:rFonts w:hint="eastAsia"/>
                <w:color w:val="auto"/>
                <w:sz w:val="24"/>
              </w:rPr>
              <w:t>线</w:t>
            </w:r>
            <w:r>
              <w:rPr>
                <w:color w:val="auto"/>
                <w:sz w:val="24"/>
              </w:rPr>
              <w:t>挤出加热温度约1</w:t>
            </w:r>
            <w:r>
              <w:rPr>
                <w:rFonts w:hint="eastAsia"/>
                <w:color w:val="auto"/>
                <w:sz w:val="24"/>
              </w:rPr>
              <w:t>80</w:t>
            </w:r>
            <w:r>
              <w:rPr>
                <w:color w:val="auto"/>
                <w:sz w:val="24"/>
              </w:rPr>
              <w:t>℃，根据林华影等人在《中国卫生检验</w:t>
            </w:r>
            <w:r>
              <w:rPr>
                <w:rFonts w:hint="eastAsia"/>
                <w:color w:val="auto"/>
                <w:sz w:val="24"/>
                <w:lang w:eastAsia="zh-CN"/>
              </w:rPr>
              <w:t>杂志</w:t>
            </w:r>
            <w:r>
              <w:rPr>
                <w:color w:val="auto"/>
                <w:sz w:val="24"/>
              </w:rPr>
              <w:t>》发表的《气相色谱-</w:t>
            </w:r>
            <w:r>
              <w:rPr>
                <w:rFonts w:hint="eastAsia"/>
                <w:color w:val="auto"/>
                <w:sz w:val="24"/>
                <w:lang w:eastAsia="zh-CN"/>
              </w:rPr>
              <w:t>质谱法</w:t>
            </w:r>
            <w:r>
              <w:rPr>
                <w:color w:val="auto"/>
                <w:sz w:val="24"/>
              </w:rPr>
              <w:t>分析聚氯乙烯加热分解产物》，该文献试验中称取25g纯聚氯乙烯粉末，置于250ml木塞碘量瓶中，在90~250℃区间逐步升温，在不同温度下恒温0.5h后，对热解气体进行分析，结果表明在90～190℃温度区间内，分解出的氯化氢浓度范围为0.95~16.83mg/m</w:t>
            </w:r>
            <w:r>
              <w:rPr>
                <w:color w:val="auto"/>
                <w:sz w:val="24"/>
                <w:vertAlign w:val="superscript"/>
              </w:rPr>
              <w:t>3</w:t>
            </w:r>
            <w:r>
              <w:rPr>
                <w:color w:val="auto"/>
                <w:sz w:val="24"/>
              </w:rPr>
              <w:t>，按最不利情况进行氯化氢的源强计算，即氯化氢16.83mg/m</w:t>
            </w:r>
            <w:r>
              <w:rPr>
                <w:color w:val="auto"/>
                <w:sz w:val="24"/>
                <w:vertAlign w:val="superscript"/>
              </w:rPr>
              <w:t>3</w:t>
            </w:r>
            <w:r>
              <w:rPr>
                <w:color w:val="auto"/>
                <w:sz w:val="24"/>
              </w:rPr>
              <w:t>，再根据实验样品重量得出氯化氢的产污系数为168.3mg/t-PVC；在90～190℃温度区间内，分解出的氯乙烯浓度范围为1.03~18.23mg/m</w:t>
            </w:r>
            <w:r>
              <w:rPr>
                <w:color w:val="auto"/>
                <w:sz w:val="24"/>
                <w:vertAlign w:val="superscript"/>
              </w:rPr>
              <w:t>3</w:t>
            </w:r>
            <w:r>
              <w:rPr>
                <w:color w:val="auto"/>
                <w:sz w:val="24"/>
              </w:rPr>
              <w:t>，按最不利情况进行氯乙烯的源强计算，即氯乙烯18.23mg/m</w:t>
            </w:r>
            <w:r>
              <w:rPr>
                <w:color w:val="auto"/>
                <w:sz w:val="24"/>
                <w:vertAlign w:val="superscript"/>
              </w:rPr>
              <w:t>3</w:t>
            </w:r>
            <w:r>
              <w:rPr>
                <w:color w:val="auto"/>
                <w:sz w:val="24"/>
              </w:rPr>
              <w:t>，再根据实验样品重量得出氯乙烯的产污系数为182.3mg/t-PVC。本项目</w:t>
            </w:r>
            <w:r>
              <w:rPr>
                <w:rFonts w:hint="eastAsia"/>
                <w:color w:val="auto"/>
                <w:sz w:val="24"/>
                <w:lang w:val="en-US" w:eastAsia="zh-CN"/>
              </w:rPr>
              <w:t>可能产生氯化氢和氯乙烯的原辅料为聚氯乙烯</w:t>
            </w:r>
            <w:r>
              <w:rPr>
                <w:color w:val="auto"/>
                <w:sz w:val="24"/>
              </w:rPr>
              <w:t>（PVC）</w:t>
            </w:r>
            <w:r>
              <w:rPr>
                <w:rFonts w:hint="eastAsia"/>
                <w:color w:val="auto"/>
                <w:sz w:val="24"/>
                <w:lang w:val="en-US" w:eastAsia="zh-CN"/>
              </w:rPr>
              <w:t>和助剂HL-100（含有氯化聚乙烯，氯化聚乙烯分解产生氯化氢和氯乙烯的产污系数参照聚氯乙烯）；本项目</w:t>
            </w:r>
            <w:r>
              <w:rPr>
                <w:color w:val="auto"/>
                <w:sz w:val="24"/>
              </w:rPr>
              <w:t>聚氯乙烯（PVC）用量</w:t>
            </w:r>
            <w:r>
              <w:rPr>
                <w:rFonts w:hint="eastAsia"/>
                <w:color w:val="auto"/>
                <w:sz w:val="24"/>
              </w:rPr>
              <w:t>为</w:t>
            </w:r>
            <w:r>
              <w:rPr>
                <w:rFonts w:hint="eastAsia"/>
                <w:color w:val="auto"/>
                <w:sz w:val="24"/>
                <w:lang w:val="en-US" w:eastAsia="zh-CN"/>
              </w:rPr>
              <w:t>2560</w:t>
            </w:r>
            <w:r>
              <w:rPr>
                <w:color w:val="auto"/>
                <w:sz w:val="24"/>
              </w:rPr>
              <w:t>t/a</w:t>
            </w:r>
            <w:r>
              <w:rPr>
                <w:rFonts w:hint="eastAsia"/>
                <w:color w:val="auto"/>
                <w:sz w:val="24"/>
              </w:rPr>
              <w:t>，</w:t>
            </w:r>
            <w:r>
              <w:rPr>
                <w:rFonts w:hint="eastAsia"/>
                <w:color w:val="auto"/>
                <w:sz w:val="24"/>
                <w:lang w:val="en-US" w:eastAsia="zh-CN"/>
              </w:rPr>
              <w:t>氯化聚乙烯用量为44.8t/a（本项目原辅料助剂中含有35%氯化聚乙烯，助剂用量为128t/a）</w:t>
            </w:r>
            <w:r>
              <w:rPr>
                <w:color w:val="auto"/>
                <w:sz w:val="24"/>
              </w:rPr>
              <w:t>则挤出废气中</w:t>
            </w:r>
            <w:r>
              <w:rPr>
                <w:color w:val="auto"/>
                <w:sz w:val="24"/>
                <w:u w:color="000000"/>
                <w:lang w:bidi="ar"/>
              </w:rPr>
              <w:t>氯化氢产生量约</w:t>
            </w:r>
            <w:r>
              <w:rPr>
                <w:rFonts w:hint="eastAsia"/>
                <w:color w:val="auto"/>
                <w:sz w:val="24"/>
                <w:u w:color="000000"/>
                <w:lang w:val="en-US" w:eastAsia="zh-CN" w:bidi="ar"/>
              </w:rPr>
              <w:t>0.438</w:t>
            </w:r>
            <w:r>
              <w:rPr>
                <w:rFonts w:hint="eastAsia"/>
                <w:color w:val="auto"/>
                <w:sz w:val="24"/>
                <w:u w:color="000000"/>
                <w:lang w:bidi="ar"/>
              </w:rPr>
              <w:t>kg</w:t>
            </w:r>
            <w:r>
              <w:rPr>
                <w:color w:val="auto"/>
                <w:sz w:val="24"/>
                <w:u w:color="000000"/>
                <w:lang w:bidi="ar"/>
              </w:rPr>
              <w:t>/a</w:t>
            </w:r>
            <w:r>
              <w:rPr>
                <w:rFonts w:hint="eastAsia"/>
                <w:color w:val="auto"/>
                <w:sz w:val="24"/>
                <w:u w:color="000000"/>
                <w:lang w:bidi="ar"/>
              </w:rPr>
              <w:t>，</w:t>
            </w:r>
            <w:r>
              <w:rPr>
                <w:color w:val="auto"/>
                <w:sz w:val="24"/>
                <w:u w:color="000000"/>
                <w:lang w:bidi="ar"/>
              </w:rPr>
              <w:t>氯乙烯产生量约</w:t>
            </w:r>
            <w:r>
              <w:rPr>
                <w:rFonts w:hint="eastAsia"/>
                <w:color w:val="auto"/>
                <w:sz w:val="24"/>
                <w:u w:color="000000"/>
                <w:lang w:val="en-US" w:eastAsia="zh-CN" w:bidi="ar"/>
              </w:rPr>
              <w:t>0.475</w:t>
            </w:r>
            <w:r>
              <w:rPr>
                <w:rFonts w:hint="eastAsia"/>
                <w:color w:val="auto"/>
                <w:sz w:val="24"/>
                <w:u w:color="000000"/>
                <w:lang w:bidi="ar"/>
              </w:rPr>
              <w:t>kg</w:t>
            </w:r>
            <w:r>
              <w:rPr>
                <w:color w:val="auto"/>
                <w:sz w:val="24"/>
                <w:u w:color="000000"/>
                <w:lang w:bidi="ar"/>
              </w:rPr>
              <w:t>/a。</w:t>
            </w:r>
            <w:r>
              <w:rPr>
                <w:rFonts w:hint="eastAsia"/>
                <w:color w:val="auto"/>
                <w:sz w:val="24"/>
                <w:u w:color="000000"/>
                <w:lang w:val="en-US" w:eastAsia="zh-CN" w:bidi="ar"/>
              </w:rPr>
              <w:t>由于</w:t>
            </w:r>
            <w:r>
              <w:rPr>
                <w:rFonts w:hint="eastAsia"/>
                <w:color w:val="auto"/>
                <w:sz w:val="24"/>
                <w:u w:color="000000"/>
                <w:lang w:bidi="ar"/>
              </w:rPr>
              <w:t>本项目挤出废气中的氯化氢和氯乙烯的产生量极少，经处理后排放量更少，本报告不作定量分析。</w:t>
            </w:r>
          </w:p>
          <w:p w14:paraId="6421CA24">
            <w:pPr>
              <w:adjustRightInd w:val="0"/>
              <w:snapToGrid w:val="0"/>
              <w:spacing w:line="460" w:lineRule="exact"/>
              <w:ind w:firstLine="425"/>
              <w:rPr>
                <w:color w:val="auto"/>
                <w:sz w:val="24"/>
              </w:rPr>
            </w:pPr>
            <w:r>
              <w:rPr>
                <w:rFonts w:hint="eastAsia"/>
                <w:color w:val="auto"/>
                <w:sz w:val="24"/>
              </w:rPr>
              <w:t>项目挤出废气经收集后进入一套二级活性炭吸附装置处理后通过15m高排气筒（DA00</w:t>
            </w:r>
            <w:r>
              <w:rPr>
                <w:rFonts w:hint="eastAsia"/>
                <w:color w:val="auto"/>
                <w:sz w:val="24"/>
                <w:lang w:val="en-US" w:eastAsia="zh-CN"/>
              </w:rPr>
              <w:t>1</w:t>
            </w:r>
            <w:r>
              <w:rPr>
                <w:rFonts w:hint="eastAsia"/>
                <w:color w:val="auto"/>
                <w:sz w:val="24"/>
              </w:rPr>
              <w:t>）高空排放。</w:t>
            </w:r>
          </w:p>
          <w:p w14:paraId="7F54AAF4">
            <w:pPr>
              <w:adjustRightInd w:val="0"/>
              <w:snapToGrid w:val="0"/>
              <w:spacing w:line="460" w:lineRule="exact"/>
              <w:ind w:firstLine="425"/>
              <w:rPr>
                <w:color w:val="auto"/>
                <w:sz w:val="24"/>
              </w:rPr>
            </w:pPr>
            <w:r>
              <w:rPr>
                <w:rFonts w:hint="eastAsia"/>
                <w:color w:val="auto"/>
                <w:sz w:val="24"/>
              </w:rPr>
              <w:t>③恶臭</w:t>
            </w:r>
          </w:p>
          <w:p w14:paraId="6E2F57B6">
            <w:pPr>
              <w:adjustRightInd w:val="0"/>
              <w:snapToGrid w:val="0"/>
              <w:spacing w:line="460" w:lineRule="exact"/>
              <w:ind w:firstLine="425"/>
              <w:rPr>
                <w:color w:val="auto"/>
                <w:sz w:val="24"/>
              </w:rPr>
            </w:pPr>
            <w:r>
              <w:rPr>
                <w:rFonts w:hint="eastAsia"/>
                <w:color w:val="auto"/>
                <w:sz w:val="24"/>
              </w:rPr>
              <w:t>本项目有机废气更多地表现为恶臭。恶臭为人们对恶臭物质所感知的一种污染指标，其主要物质种类达上万种之多。由于各种物质之间的相互作用（相加、协同、抵消及掩饰作用等），加之人类的嗅觉功能和恶臭物质取样分析等因素，迄今还难以对大多数恶臭物质作出浓度标准。</w:t>
            </w:r>
          </w:p>
          <w:p w14:paraId="2944D1BC">
            <w:pPr>
              <w:adjustRightInd w:val="0"/>
              <w:snapToGrid w:val="0"/>
              <w:spacing w:line="460" w:lineRule="exact"/>
              <w:ind w:firstLine="425"/>
              <w:rPr>
                <w:color w:val="auto"/>
                <w:sz w:val="24"/>
              </w:rPr>
            </w:pPr>
            <w:r>
              <w:rPr>
                <w:rFonts w:hint="eastAsia"/>
                <w:color w:val="auto"/>
                <w:sz w:val="24"/>
              </w:rPr>
              <w:t>目前，国外对恶臭强度的分级和测定多以人的嗅觉感官作为基础得到，如德国的臭气强度5级分级（1958年）；日本的臭气强度6级分级（1972年）等。这种测定方法以经过训练合格的5-8名臭气监测员以自身的恶臭感知能力对恶臭进行强度监测。北京环境监测中心在吸取国外经验的基础上提出了恶臭6级分级法，具体见下表，该分级法以感受器一嗅觉的感觉和人的主观感觉特征两个方面来描述各级特征，既明确了各级的差别，也提高了分级准确程度。</w:t>
            </w:r>
          </w:p>
          <w:p w14:paraId="502EF36F">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恶臭6级分级法</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6229"/>
            </w:tblGrid>
            <w:tr w14:paraId="2C15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343DD6DF">
                  <w:pPr>
                    <w:jc w:val="center"/>
                    <w:rPr>
                      <w:b w:val="0"/>
                      <w:bCs/>
                      <w:color w:val="auto"/>
                    </w:rPr>
                  </w:pPr>
                  <w:r>
                    <w:rPr>
                      <w:b w:val="0"/>
                      <w:bCs/>
                      <w:color w:val="auto"/>
                    </w:rPr>
                    <w:t>恶臭强度</w:t>
                  </w:r>
                </w:p>
              </w:tc>
              <w:tc>
                <w:tcPr>
                  <w:tcW w:w="6229" w:type="dxa"/>
                  <w:vAlign w:val="center"/>
                </w:tcPr>
                <w:p w14:paraId="4368F1EB">
                  <w:pPr>
                    <w:jc w:val="center"/>
                    <w:rPr>
                      <w:b w:val="0"/>
                      <w:bCs/>
                      <w:color w:val="auto"/>
                    </w:rPr>
                  </w:pPr>
                  <w:r>
                    <w:rPr>
                      <w:b w:val="0"/>
                      <w:bCs/>
                      <w:color w:val="auto"/>
                    </w:rPr>
                    <w:t>特征</w:t>
                  </w:r>
                </w:p>
              </w:tc>
            </w:tr>
            <w:tr w14:paraId="4777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52DF40BF">
                  <w:pPr>
                    <w:jc w:val="center"/>
                    <w:rPr>
                      <w:color w:val="auto"/>
                    </w:rPr>
                  </w:pPr>
                  <w:r>
                    <w:rPr>
                      <w:color w:val="auto"/>
                    </w:rPr>
                    <w:t>0</w:t>
                  </w:r>
                </w:p>
              </w:tc>
              <w:tc>
                <w:tcPr>
                  <w:tcW w:w="6229" w:type="dxa"/>
                  <w:vAlign w:val="center"/>
                </w:tcPr>
                <w:p w14:paraId="59C3CC08">
                  <w:pPr>
                    <w:jc w:val="center"/>
                    <w:rPr>
                      <w:color w:val="auto"/>
                    </w:rPr>
                  </w:pPr>
                  <w:r>
                    <w:rPr>
                      <w:color w:val="auto"/>
                    </w:rPr>
                    <w:t>未闻到有任何气味，无任何反应</w:t>
                  </w:r>
                </w:p>
              </w:tc>
            </w:tr>
            <w:tr w14:paraId="5C98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43909FF8">
                  <w:pPr>
                    <w:pStyle w:val="194"/>
                    <w:jc w:val="center"/>
                    <w:rPr>
                      <w:rFonts w:ascii="Times New Roman" w:hAnsi="Times New Roman" w:cs="Times New Roman"/>
                      <w:color w:val="auto"/>
                    </w:rPr>
                  </w:pPr>
                  <w:r>
                    <w:rPr>
                      <w:rFonts w:ascii="Times New Roman" w:hAnsi="Times New Roman" w:cs="Times New Roman"/>
                      <w:color w:val="auto"/>
                    </w:rPr>
                    <w:t>1</w:t>
                  </w:r>
                </w:p>
              </w:tc>
              <w:tc>
                <w:tcPr>
                  <w:tcW w:w="6229" w:type="dxa"/>
                  <w:vAlign w:val="center"/>
                </w:tcPr>
                <w:p w14:paraId="1E55CCA1">
                  <w:pPr>
                    <w:jc w:val="center"/>
                    <w:rPr>
                      <w:color w:val="auto"/>
                    </w:rPr>
                  </w:pPr>
                  <w:r>
                    <w:rPr>
                      <w:color w:val="auto"/>
                    </w:rPr>
                    <w:t>勉强闻到有气味，但不宜辨认气味性质（感觉阈值）认为无所谓</w:t>
                  </w:r>
                </w:p>
              </w:tc>
            </w:tr>
            <w:tr w14:paraId="1C85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484" w:type="dxa"/>
                  <w:vAlign w:val="center"/>
                </w:tcPr>
                <w:p w14:paraId="4F44A137">
                  <w:pPr>
                    <w:pStyle w:val="194"/>
                    <w:jc w:val="center"/>
                    <w:rPr>
                      <w:rFonts w:ascii="Times New Roman" w:hAnsi="Times New Roman" w:cs="Times New Roman"/>
                      <w:color w:val="auto"/>
                    </w:rPr>
                  </w:pPr>
                  <w:r>
                    <w:rPr>
                      <w:rFonts w:ascii="Times New Roman" w:hAnsi="Times New Roman" w:cs="Times New Roman"/>
                      <w:color w:val="auto"/>
                    </w:rPr>
                    <w:t>2</w:t>
                  </w:r>
                </w:p>
              </w:tc>
              <w:tc>
                <w:tcPr>
                  <w:tcW w:w="6229" w:type="dxa"/>
                  <w:vAlign w:val="center"/>
                </w:tcPr>
                <w:p w14:paraId="16E9A5AE">
                  <w:pPr>
                    <w:jc w:val="center"/>
                    <w:rPr>
                      <w:color w:val="auto"/>
                    </w:rPr>
                  </w:pPr>
                  <w:r>
                    <w:rPr>
                      <w:color w:val="auto"/>
                    </w:rPr>
                    <w:t>能闻到气味，且能辨认气味的性质（识别阈值），但感到很正常</w:t>
                  </w:r>
                </w:p>
              </w:tc>
            </w:tr>
            <w:tr w14:paraId="5684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54AA8128">
                  <w:pPr>
                    <w:pStyle w:val="194"/>
                    <w:jc w:val="center"/>
                    <w:rPr>
                      <w:rFonts w:ascii="Times New Roman" w:hAnsi="Times New Roman" w:cs="Times New Roman"/>
                      <w:color w:val="auto"/>
                    </w:rPr>
                  </w:pPr>
                  <w:r>
                    <w:rPr>
                      <w:rFonts w:ascii="Times New Roman" w:hAnsi="Times New Roman" w:cs="Times New Roman"/>
                      <w:color w:val="auto"/>
                    </w:rPr>
                    <w:t>3</w:t>
                  </w:r>
                </w:p>
              </w:tc>
              <w:tc>
                <w:tcPr>
                  <w:tcW w:w="6229" w:type="dxa"/>
                  <w:vAlign w:val="center"/>
                </w:tcPr>
                <w:p w14:paraId="2C29B153">
                  <w:pPr>
                    <w:jc w:val="center"/>
                    <w:rPr>
                      <w:color w:val="auto"/>
                    </w:rPr>
                  </w:pPr>
                  <w:r>
                    <w:rPr>
                      <w:color w:val="auto"/>
                    </w:rPr>
                    <w:t>很容易闻到气味，有所不快，但也不反感</w:t>
                  </w:r>
                </w:p>
              </w:tc>
            </w:tr>
            <w:tr w14:paraId="53CD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3781C15E">
                  <w:pPr>
                    <w:jc w:val="center"/>
                    <w:rPr>
                      <w:color w:val="auto"/>
                    </w:rPr>
                  </w:pPr>
                  <w:r>
                    <w:rPr>
                      <w:color w:val="auto"/>
                    </w:rPr>
                    <w:t>4</w:t>
                  </w:r>
                </w:p>
              </w:tc>
              <w:tc>
                <w:tcPr>
                  <w:tcW w:w="6229" w:type="dxa"/>
                  <w:vAlign w:val="center"/>
                </w:tcPr>
                <w:p w14:paraId="07E41383">
                  <w:pPr>
                    <w:jc w:val="center"/>
                    <w:rPr>
                      <w:color w:val="auto"/>
                    </w:rPr>
                  </w:pPr>
                  <w:r>
                    <w:rPr>
                      <w:color w:val="auto"/>
                    </w:rPr>
                    <w:t>有很强的气味，而且很反感，想离开</w:t>
                  </w:r>
                </w:p>
              </w:tc>
            </w:tr>
            <w:tr w14:paraId="6985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4" w:type="dxa"/>
                  <w:vAlign w:val="center"/>
                </w:tcPr>
                <w:p w14:paraId="012A8503">
                  <w:pPr>
                    <w:jc w:val="center"/>
                    <w:rPr>
                      <w:color w:val="auto"/>
                    </w:rPr>
                  </w:pPr>
                  <w:r>
                    <w:rPr>
                      <w:color w:val="auto"/>
                    </w:rPr>
                    <w:t>5</w:t>
                  </w:r>
                </w:p>
              </w:tc>
              <w:tc>
                <w:tcPr>
                  <w:tcW w:w="6229" w:type="dxa"/>
                  <w:vAlign w:val="center"/>
                </w:tcPr>
                <w:p w14:paraId="573D662E">
                  <w:pPr>
                    <w:jc w:val="center"/>
                    <w:rPr>
                      <w:color w:val="auto"/>
                    </w:rPr>
                  </w:pPr>
                  <w:r>
                    <w:rPr>
                      <w:color w:val="auto"/>
                    </w:rPr>
                    <w:t>有极强的气味，无法忍受，立即逃跑</w:t>
                  </w:r>
                </w:p>
              </w:tc>
            </w:tr>
          </w:tbl>
          <w:p w14:paraId="50BC8F8D">
            <w:pPr>
              <w:adjustRightInd w:val="0"/>
              <w:snapToGrid w:val="0"/>
              <w:spacing w:line="460" w:lineRule="exact"/>
              <w:ind w:firstLine="425"/>
              <w:rPr>
                <w:color w:val="auto"/>
                <w:sz w:val="24"/>
              </w:rPr>
            </w:pPr>
            <w:r>
              <w:rPr>
                <w:rFonts w:hint="eastAsia"/>
                <w:color w:val="auto"/>
                <w:sz w:val="24"/>
              </w:rPr>
              <w:t>企业设计阶段优化车间布局，恶臭产生点位主要为生产车间的挤出区域，针对恶臭产生点位已采取了相应的控制措施，配套废气处理装置，企业恶臭污染物排放量极小，厂界可达到0级或1级的恶臭级别，对周围环境影响不大。</w:t>
            </w:r>
          </w:p>
          <w:p w14:paraId="6CDBF69A">
            <w:pPr>
              <w:adjustRightInd w:val="0"/>
              <w:snapToGrid w:val="0"/>
              <w:spacing w:line="460" w:lineRule="exact"/>
              <w:ind w:firstLine="425"/>
              <w:rPr>
                <w:color w:val="auto"/>
                <w:sz w:val="24"/>
              </w:rPr>
            </w:pPr>
            <w:r>
              <w:rPr>
                <w:rFonts w:hint="eastAsia"/>
                <w:color w:val="auto"/>
                <w:sz w:val="24"/>
              </w:rPr>
              <w:t>本项目废气污染物产排情况汇总见下表。</w:t>
            </w:r>
          </w:p>
          <w:p w14:paraId="4D905EBE">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项目废气产排情况汇总表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887"/>
              <w:gridCol w:w="887"/>
              <w:gridCol w:w="887"/>
              <w:gridCol w:w="888"/>
              <w:gridCol w:w="888"/>
              <w:gridCol w:w="944"/>
              <w:gridCol w:w="832"/>
              <w:gridCol w:w="956"/>
              <w:gridCol w:w="820"/>
            </w:tblGrid>
            <w:tr w14:paraId="2B6C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restart"/>
                  <w:vAlign w:val="center"/>
                </w:tcPr>
                <w:p w14:paraId="368F6EF9">
                  <w:pPr>
                    <w:pStyle w:val="136"/>
                    <w:spacing w:line="240" w:lineRule="auto"/>
                    <w:rPr>
                      <w:bCs/>
                      <w:color w:val="auto"/>
                      <w:lang w:val="en-US"/>
                    </w:rPr>
                  </w:pPr>
                  <w:r>
                    <w:rPr>
                      <w:bCs/>
                      <w:color w:val="auto"/>
                      <w:lang w:val="en-US"/>
                    </w:rPr>
                    <w:t>排气筒编号</w:t>
                  </w:r>
                </w:p>
              </w:tc>
              <w:tc>
                <w:tcPr>
                  <w:tcW w:w="887" w:type="dxa"/>
                  <w:vMerge w:val="restart"/>
                  <w:vAlign w:val="center"/>
                </w:tcPr>
                <w:p w14:paraId="37A11907">
                  <w:pPr>
                    <w:pStyle w:val="136"/>
                    <w:spacing w:line="240" w:lineRule="auto"/>
                    <w:rPr>
                      <w:bCs/>
                      <w:color w:val="auto"/>
                      <w:lang w:val="en-US"/>
                    </w:rPr>
                  </w:pPr>
                  <w:r>
                    <w:rPr>
                      <w:bCs/>
                      <w:color w:val="auto"/>
                    </w:rPr>
                    <w:t>污染因子</w:t>
                  </w:r>
                </w:p>
              </w:tc>
              <w:tc>
                <w:tcPr>
                  <w:tcW w:w="887" w:type="dxa"/>
                  <w:vMerge w:val="restart"/>
                  <w:vAlign w:val="center"/>
                </w:tcPr>
                <w:p w14:paraId="3A4A01D4">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产生量t/a</w:t>
                  </w:r>
                </w:p>
              </w:tc>
              <w:tc>
                <w:tcPr>
                  <w:tcW w:w="887" w:type="dxa"/>
                  <w:vMerge w:val="restart"/>
                  <w:vAlign w:val="center"/>
                </w:tcPr>
                <w:p w14:paraId="4434E527">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削减量t/a</w:t>
                  </w:r>
                </w:p>
              </w:tc>
              <w:tc>
                <w:tcPr>
                  <w:tcW w:w="5328" w:type="dxa"/>
                  <w:gridSpan w:val="6"/>
                  <w:vAlign w:val="center"/>
                </w:tcPr>
                <w:p w14:paraId="3C47D96B">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排放情况</w:t>
                  </w:r>
                </w:p>
              </w:tc>
            </w:tr>
            <w:tr w14:paraId="3106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continue"/>
                  <w:vAlign w:val="center"/>
                </w:tcPr>
                <w:p w14:paraId="02275171">
                  <w:pPr>
                    <w:widowControl/>
                    <w:jc w:val="left"/>
                    <w:rPr>
                      <w:bCs/>
                      <w:color w:val="auto"/>
                    </w:rPr>
                  </w:pPr>
                </w:p>
              </w:tc>
              <w:tc>
                <w:tcPr>
                  <w:tcW w:w="887" w:type="dxa"/>
                  <w:vMerge w:val="continue"/>
                  <w:vAlign w:val="center"/>
                </w:tcPr>
                <w:p w14:paraId="396C20B0">
                  <w:pPr>
                    <w:widowControl/>
                    <w:jc w:val="left"/>
                    <w:rPr>
                      <w:bCs/>
                      <w:color w:val="auto"/>
                    </w:rPr>
                  </w:pPr>
                </w:p>
              </w:tc>
              <w:tc>
                <w:tcPr>
                  <w:tcW w:w="887" w:type="dxa"/>
                  <w:vMerge w:val="continue"/>
                  <w:vAlign w:val="center"/>
                </w:tcPr>
                <w:p w14:paraId="042EC21B">
                  <w:pPr>
                    <w:pStyle w:val="119"/>
                    <w:snapToGrid w:val="0"/>
                    <w:spacing w:before="0" w:line="240" w:lineRule="auto"/>
                    <w:ind w:firstLine="0" w:firstLineChars="0"/>
                    <w:rPr>
                      <w:rFonts w:ascii="Times New Roman"/>
                      <w:bCs/>
                      <w:color w:val="auto"/>
                      <w:lang w:val="en-US"/>
                    </w:rPr>
                  </w:pPr>
                </w:p>
              </w:tc>
              <w:tc>
                <w:tcPr>
                  <w:tcW w:w="887" w:type="dxa"/>
                  <w:vMerge w:val="continue"/>
                  <w:vAlign w:val="center"/>
                </w:tcPr>
                <w:p w14:paraId="10D938D7">
                  <w:pPr>
                    <w:pStyle w:val="119"/>
                    <w:snapToGrid w:val="0"/>
                    <w:spacing w:before="0" w:line="240" w:lineRule="auto"/>
                    <w:ind w:firstLine="0" w:firstLineChars="0"/>
                    <w:rPr>
                      <w:rFonts w:ascii="Times New Roman"/>
                      <w:bCs/>
                      <w:color w:val="auto"/>
                      <w:lang w:val="en-US"/>
                    </w:rPr>
                  </w:pPr>
                </w:p>
              </w:tc>
              <w:tc>
                <w:tcPr>
                  <w:tcW w:w="2720" w:type="dxa"/>
                  <w:gridSpan w:val="3"/>
                  <w:vAlign w:val="center"/>
                </w:tcPr>
                <w:p w14:paraId="786637F7">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有组织排放</w:t>
                  </w:r>
                </w:p>
              </w:tc>
              <w:tc>
                <w:tcPr>
                  <w:tcW w:w="1788" w:type="dxa"/>
                  <w:gridSpan w:val="2"/>
                  <w:vAlign w:val="center"/>
                </w:tcPr>
                <w:p w14:paraId="047DF0DA">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无组织排放</w:t>
                  </w:r>
                </w:p>
              </w:tc>
              <w:tc>
                <w:tcPr>
                  <w:tcW w:w="820" w:type="dxa"/>
                  <w:vMerge w:val="restart"/>
                  <w:vAlign w:val="center"/>
                </w:tcPr>
                <w:p w14:paraId="6E8D80E2">
                  <w:pPr>
                    <w:pStyle w:val="119"/>
                    <w:snapToGrid w:val="0"/>
                    <w:spacing w:before="0" w:line="240" w:lineRule="auto"/>
                    <w:ind w:firstLine="0" w:firstLineChars="0"/>
                    <w:rPr>
                      <w:rFonts w:ascii="Times New Roman"/>
                      <w:bCs/>
                      <w:snapToGrid w:val="0"/>
                      <w:color w:val="auto"/>
                      <w:kern w:val="2"/>
                      <w:sz w:val="21"/>
                      <w:szCs w:val="21"/>
                    </w:rPr>
                  </w:pPr>
                  <w:r>
                    <w:rPr>
                      <w:rFonts w:ascii="Times New Roman"/>
                      <w:bCs/>
                      <w:snapToGrid w:val="0"/>
                      <w:color w:val="auto"/>
                      <w:kern w:val="2"/>
                      <w:sz w:val="21"/>
                      <w:szCs w:val="21"/>
                    </w:rPr>
                    <w:t>合计</w:t>
                  </w:r>
                </w:p>
                <w:p w14:paraId="459645F4">
                  <w:pPr>
                    <w:pStyle w:val="119"/>
                    <w:snapToGrid w:val="0"/>
                    <w:spacing w:before="0" w:line="240" w:lineRule="auto"/>
                    <w:ind w:firstLine="0" w:firstLineChars="0"/>
                    <w:rPr>
                      <w:rFonts w:ascii="Times New Roman"/>
                      <w:bCs/>
                      <w:color w:val="auto"/>
                      <w:lang w:val="en-US"/>
                    </w:rPr>
                  </w:pPr>
                  <w:r>
                    <w:rPr>
                      <w:rFonts w:ascii="Times New Roman"/>
                      <w:bCs/>
                      <w:snapToGrid w:val="0"/>
                      <w:color w:val="auto"/>
                      <w:kern w:val="2"/>
                      <w:sz w:val="21"/>
                      <w:szCs w:val="21"/>
                    </w:rPr>
                    <w:t>排放量t/a</w:t>
                  </w:r>
                </w:p>
              </w:tc>
            </w:tr>
            <w:tr w14:paraId="7346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continue"/>
                </w:tcPr>
                <w:p w14:paraId="5F577F64">
                  <w:pPr>
                    <w:pStyle w:val="194"/>
                    <w:jc w:val="center"/>
                    <w:rPr>
                      <w:rFonts w:ascii="Times New Roman" w:hAnsi="Times New Roman" w:cs="Times New Roman"/>
                      <w:color w:val="auto"/>
                    </w:rPr>
                  </w:pPr>
                </w:p>
              </w:tc>
              <w:tc>
                <w:tcPr>
                  <w:tcW w:w="887" w:type="dxa"/>
                  <w:vMerge w:val="continue"/>
                </w:tcPr>
                <w:p w14:paraId="3ABF0502">
                  <w:pPr>
                    <w:pStyle w:val="194"/>
                    <w:jc w:val="center"/>
                    <w:rPr>
                      <w:rFonts w:ascii="Times New Roman" w:hAnsi="Times New Roman" w:cs="Times New Roman"/>
                      <w:color w:val="auto"/>
                    </w:rPr>
                  </w:pPr>
                </w:p>
              </w:tc>
              <w:tc>
                <w:tcPr>
                  <w:tcW w:w="887" w:type="dxa"/>
                  <w:vMerge w:val="continue"/>
                </w:tcPr>
                <w:p w14:paraId="4D2FE3DC">
                  <w:pPr>
                    <w:pStyle w:val="194"/>
                    <w:jc w:val="center"/>
                    <w:rPr>
                      <w:rFonts w:ascii="Times New Roman" w:hAnsi="Times New Roman" w:cs="Times New Roman"/>
                      <w:color w:val="auto"/>
                    </w:rPr>
                  </w:pPr>
                </w:p>
              </w:tc>
              <w:tc>
                <w:tcPr>
                  <w:tcW w:w="887" w:type="dxa"/>
                  <w:vMerge w:val="continue"/>
                </w:tcPr>
                <w:p w14:paraId="4145495C">
                  <w:pPr>
                    <w:pStyle w:val="194"/>
                    <w:jc w:val="center"/>
                    <w:rPr>
                      <w:rFonts w:ascii="Times New Roman" w:hAnsi="Times New Roman" w:cs="Times New Roman"/>
                      <w:color w:val="auto"/>
                    </w:rPr>
                  </w:pPr>
                </w:p>
              </w:tc>
              <w:tc>
                <w:tcPr>
                  <w:tcW w:w="888" w:type="dxa"/>
                  <w:vAlign w:val="center"/>
                </w:tcPr>
                <w:p w14:paraId="1A1C317B">
                  <w:pPr>
                    <w:pStyle w:val="119"/>
                    <w:snapToGrid w:val="0"/>
                    <w:spacing w:before="0" w:line="240" w:lineRule="auto"/>
                    <w:ind w:firstLine="0" w:firstLineChars="0"/>
                    <w:rPr>
                      <w:rFonts w:ascii="Times New Roman"/>
                      <w:color w:val="auto"/>
                      <w:lang w:val="en-US"/>
                    </w:rPr>
                  </w:pPr>
                  <w:r>
                    <w:rPr>
                      <w:rFonts w:ascii="Times New Roman"/>
                      <w:snapToGrid w:val="0"/>
                      <w:color w:val="auto"/>
                      <w:kern w:val="2"/>
                      <w:sz w:val="21"/>
                      <w:szCs w:val="21"/>
                    </w:rPr>
                    <w:t>排放量t/a</w:t>
                  </w:r>
                </w:p>
              </w:tc>
              <w:tc>
                <w:tcPr>
                  <w:tcW w:w="888" w:type="dxa"/>
                  <w:vAlign w:val="center"/>
                </w:tcPr>
                <w:p w14:paraId="46A2F41B">
                  <w:pPr>
                    <w:pStyle w:val="119"/>
                    <w:snapToGrid w:val="0"/>
                    <w:spacing w:before="0" w:line="240" w:lineRule="auto"/>
                    <w:ind w:firstLine="0" w:firstLineChars="0"/>
                    <w:rPr>
                      <w:rFonts w:ascii="Times New Roman"/>
                      <w:snapToGrid w:val="0"/>
                      <w:color w:val="auto"/>
                      <w:kern w:val="2"/>
                      <w:sz w:val="21"/>
                      <w:szCs w:val="21"/>
                    </w:rPr>
                  </w:pPr>
                  <w:r>
                    <w:rPr>
                      <w:rFonts w:ascii="Times New Roman"/>
                      <w:snapToGrid w:val="0"/>
                      <w:color w:val="auto"/>
                      <w:kern w:val="2"/>
                      <w:sz w:val="21"/>
                      <w:szCs w:val="21"/>
                    </w:rPr>
                    <w:t>速率</w:t>
                  </w:r>
                </w:p>
                <w:p w14:paraId="747B8107">
                  <w:pPr>
                    <w:pStyle w:val="119"/>
                    <w:snapToGrid w:val="0"/>
                    <w:spacing w:before="0" w:line="240" w:lineRule="auto"/>
                    <w:ind w:firstLine="0" w:firstLineChars="0"/>
                    <w:rPr>
                      <w:rFonts w:ascii="Times New Roman"/>
                      <w:color w:val="auto"/>
                      <w:lang w:val="en-US"/>
                    </w:rPr>
                  </w:pPr>
                  <w:r>
                    <w:rPr>
                      <w:rFonts w:ascii="Times New Roman"/>
                      <w:snapToGrid w:val="0"/>
                      <w:color w:val="auto"/>
                      <w:kern w:val="2"/>
                      <w:sz w:val="21"/>
                      <w:szCs w:val="21"/>
                    </w:rPr>
                    <w:t>kg/h</w:t>
                  </w:r>
                </w:p>
              </w:tc>
              <w:tc>
                <w:tcPr>
                  <w:tcW w:w="944" w:type="dxa"/>
                  <w:vAlign w:val="center"/>
                </w:tcPr>
                <w:p w14:paraId="4111E5D9">
                  <w:pPr>
                    <w:pStyle w:val="119"/>
                    <w:snapToGrid w:val="0"/>
                    <w:spacing w:before="0" w:line="240" w:lineRule="auto"/>
                    <w:ind w:firstLine="0" w:firstLineChars="0"/>
                    <w:rPr>
                      <w:rFonts w:ascii="Times New Roman"/>
                      <w:snapToGrid w:val="0"/>
                      <w:color w:val="auto"/>
                      <w:kern w:val="2"/>
                      <w:sz w:val="21"/>
                      <w:szCs w:val="21"/>
                    </w:rPr>
                  </w:pPr>
                  <w:r>
                    <w:rPr>
                      <w:rFonts w:ascii="Times New Roman"/>
                      <w:snapToGrid w:val="0"/>
                      <w:color w:val="auto"/>
                      <w:kern w:val="2"/>
                      <w:sz w:val="21"/>
                      <w:szCs w:val="21"/>
                    </w:rPr>
                    <w:t>浓度</w:t>
                  </w:r>
                </w:p>
                <w:p w14:paraId="66AB9CDB">
                  <w:pPr>
                    <w:pStyle w:val="119"/>
                    <w:snapToGrid w:val="0"/>
                    <w:spacing w:before="0" w:line="240" w:lineRule="auto"/>
                    <w:ind w:firstLine="0" w:firstLineChars="0"/>
                    <w:rPr>
                      <w:rFonts w:ascii="Times New Roman"/>
                      <w:color w:val="auto"/>
                      <w:lang w:val="en-US"/>
                    </w:rPr>
                  </w:pPr>
                  <w:r>
                    <w:rPr>
                      <w:rFonts w:ascii="Times New Roman"/>
                      <w:snapToGrid w:val="0"/>
                      <w:color w:val="auto"/>
                      <w:kern w:val="2"/>
                      <w:sz w:val="21"/>
                      <w:szCs w:val="21"/>
                    </w:rPr>
                    <w:t>mg/m</w:t>
                  </w:r>
                  <w:r>
                    <w:rPr>
                      <w:rFonts w:ascii="Times New Roman"/>
                      <w:snapToGrid w:val="0"/>
                      <w:color w:val="auto"/>
                      <w:kern w:val="2"/>
                      <w:sz w:val="21"/>
                      <w:szCs w:val="21"/>
                      <w:vertAlign w:val="superscript"/>
                    </w:rPr>
                    <w:t>3</w:t>
                  </w:r>
                </w:p>
              </w:tc>
              <w:tc>
                <w:tcPr>
                  <w:tcW w:w="832" w:type="dxa"/>
                  <w:vAlign w:val="center"/>
                </w:tcPr>
                <w:p w14:paraId="60AD7465">
                  <w:pPr>
                    <w:pStyle w:val="119"/>
                    <w:snapToGrid w:val="0"/>
                    <w:spacing w:before="0" w:line="240" w:lineRule="auto"/>
                    <w:ind w:firstLine="0" w:firstLineChars="0"/>
                    <w:rPr>
                      <w:rFonts w:ascii="Times New Roman"/>
                      <w:color w:val="auto"/>
                      <w:lang w:val="en-US"/>
                    </w:rPr>
                  </w:pPr>
                  <w:r>
                    <w:rPr>
                      <w:rFonts w:ascii="Times New Roman"/>
                      <w:snapToGrid w:val="0"/>
                      <w:color w:val="auto"/>
                      <w:kern w:val="2"/>
                      <w:sz w:val="21"/>
                      <w:szCs w:val="21"/>
                    </w:rPr>
                    <w:t>排放量t/a</w:t>
                  </w:r>
                </w:p>
              </w:tc>
              <w:tc>
                <w:tcPr>
                  <w:tcW w:w="956" w:type="dxa"/>
                  <w:vAlign w:val="center"/>
                </w:tcPr>
                <w:p w14:paraId="795723AD">
                  <w:pPr>
                    <w:pStyle w:val="119"/>
                    <w:snapToGrid w:val="0"/>
                    <w:spacing w:before="0" w:line="240" w:lineRule="auto"/>
                    <w:ind w:firstLine="0" w:firstLineChars="0"/>
                    <w:rPr>
                      <w:rFonts w:ascii="Times New Roman"/>
                      <w:color w:val="auto"/>
                      <w:lang w:val="en-US"/>
                    </w:rPr>
                  </w:pPr>
                  <w:r>
                    <w:rPr>
                      <w:rFonts w:ascii="Times New Roman"/>
                      <w:snapToGrid w:val="0"/>
                      <w:color w:val="auto"/>
                      <w:kern w:val="2"/>
                      <w:sz w:val="21"/>
                      <w:szCs w:val="21"/>
                    </w:rPr>
                    <w:t>速率kg/h</w:t>
                  </w:r>
                </w:p>
              </w:tc>
              <w:tc>
                <w:tcPr>
                  <w:tcW w:w="820" w:type="dxa"/>
                  <w:vMerge w:val="continue"/>
                </w:tcPr>
                <w:p w14:paraId="1F008DA6">
                  <w:pPr>
                    <w:pStyle w:val="194"/>
                    <w:jc w:val="center"/>
                    <w:rPr>
                      <w:rFonts w:ascii="Times New Roman" w:hAnsi="Times New Roman" w:cs="Times New Roman"/>
                      <w:color w:val="auto"/>
                    </w:rPr>
                  </w:pPr>
                </w:p>
              </w:tc>
            </w:tr>
            <w:tr w14:paraId="3ABD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Align w:val="center"/>
                </w:tcPr>
                <w:p w14:paraId="00E846C7">
                  <w:pPr>
                    <w:jc w:val="center"/>
                    <w:rPr>
                      <w:rFonts w:hint="eastAsia" w:eastAsia="宋体"/>
                      <w:color w:val="auto"/>
                      <w:lang w:eastAsia="zh-CN"/>
                    </w:rPr>
                  </w:pPr>
                  <w:r>
                    <w:rPr>
                      <w:rFonts w:hint="eastAsia"/>
                      <w:color w:val="auto"/>
                      <w:lang w:val="en-US" w:eastAsia="zh-CN"/>
                    </w:rPr>
                    <w:t>/</w:t>
                  </w:r>
                </w:p>
              </w:tc>
              <w:tc>
                <w:tcPr>
                  <w:tcW w:w="887" w:type="dxa"/>
                  <w:vAlign w:val="center"/>
                </w:tcPr>
                <w:p w14:paraId="69EFEB60">
                  <w:pPr>
                    <w:keepNext/>
                    <w:keepLines/>
                    <w:jc w:val="center"/>
                    <w:rPr>
                      <w:color w:val="auto"/>
                    </w:rPr>
                  </w:pPr>
                  <w:r>
                    <w:rPr>
                      <w:color w:val="auto"/>
                    </w:rPr>
                    <w:t>颗粒物</w:t>
                  </w:r>
                </w:p>
              </w:tc>
              <w:tc>
                <w:tcPr>
                  <w:tcW w:w="887" w:type="dxa"/>
                  <w:vAlign w:val="center"/>
                </w:tcPr>
                <w:p w14:paraId="3425ACBA">
                  <w:pPr>
                    <w:widowControl/>
                    <w:jc w:val="center"/>
                    <w:textAlignment w:val="center"/>
                    <w:rPr>
                      <w:rFonts w:hint="default" w:ascii="Times New Roman" w:hAnsi="Times New Roman" w:eastAsia="宋体" w:cs="Times New Roman"/>
                      <w:color w:val="auto"/>
                      <w:lang w:val="en-US" w:eastAsia="zh-CN"/>
                    </w:rPr>
                  </w:pPr>
                  <w:r>
                    <w:rPr>
                      <w:rFonts w:hint="eastAsia"/>
                      <w:color w:val="auto"/>
                      <w:szCs w:val="21"/>
                      <w:lang w:val="en-US" w:eastAsia="zh-CN"/>
                    </w:rPr>
                    <w:t>39.662</w:t>
                  </w:r>
                </w:p>
              </w:tc>
              <w:tc>
                <w:tcPr>
                  <w:tcW w:w="887" w:type="dxa"/>
                  <w:vAlign w:val="center"/>
                </w:tcPr>
                <w:p w14:paraId="24601B43">
                  <w:pPr>
                    <w:widowControl/>
                    <w:jc w:val="center"/>
                    <w:textAlignment w:val="center"/>
                    <w:rPr>
                      <w:rFonts w:hint="default" w:eastAsia="宋体"/>
                      <w:color w:val="auto"/>
                      <w:lang w:val="en-US" w:eastAsia="zh-CN"/>
                    </w:rPr>
                  </w:pPr>
                  <w:r>
                    <w:rPr>
                      <w:rFonts w:hint="eastAsia"/>
                      <w:color w:val="auto"/>
                      <w:kern w:val="0"/>
                      <w:szCs w:val="21"/>
                      <w:lang w:val="en-US" w:eastAsia="zh-CN" w:bidi="ar"/>
                    </w:rPr>
                    <w:t>38.889</w:t>
                  </w:r>
                </w:p>
              </w:tc>
              <w:tc>
                <w:tcPr>
                  <w:tcW w:w="888" w:type="dxa"/>
                  <w:vAlign w:val="center"/>
                </w:tcPr>
                <w:p w14:paraId="16029BF4">
                  <w:pPr>
                    <w:widowControl/>
                    <w:jc w:val="center"/>
                    <w:textAlignment w:val="center"/>
                    <w:rPr>
                      <w:rFonts w:hint="default" w:eastAsia="宋体"/>
                      <w:color w:val="auto"/>
                      <w:lang w:val="en-US" w:eastAsia="zh-CN"/>
                    </w:rPr>
                  </w:pPr>
                  <w:r>
                    <w:rPr>
                      <w:rFonts w:hint="eastAsia"/>
                      <w:color w:val="auto"/>
                      <w:kern w:val="0"/>
                      <w:szCs w:val="21"/>
                      <w:lang w:val="en-US" w:eastAsia="zh-CN" w:bidi="ar"/>
                    </w:rPr>
                    <w:t>/</w:t>
                  </w:r>
                </w:p>
              </w:tc>
              <w:tc>
                <w:tcPr>
                  <w:tcW w:w="888" w:type="dxa"/>
                  <w:vAlign w:val="center"/>
                </w:tcPr>
                <w:p w14:paraId="7D25A57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944" w:type="dxa"/>
                  <w:vAlign w:val="center"/>
                </w:tcPr>
                <w:p w14:paraId="2849F7E3">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832" w:type="dxa"/>
                  <w:vAlign w:val="center"/>
                </w:tcPr>
                <w:p w14:paraId="38B78CB7">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0.773</w:t>
                  </w:r>
                </w:p>
              </w:tc>
              <w:tc>
                <w:tcPr>
                  <w:tcW w:w="956" w:type="dxa"/>
                  <w:vAlign w:val="center"/>
                </w:tcPr>
                <w:p w14:paraId="749E2CBB">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0.242</w:t>
                  </w:r>
                </w:p>
              </w:tc>
              <w:tc>
                <w:tcPr>
                  <w:tcW w:w="820" w:type="dxa"/>
                  <w:vAlign w:val="center"/>
                </w:tcPr>
                <w:p w14:paraId="7327037B">
                  <w:pPr>
                    <w:widowControl/>
                    <w:jc w:val="center"/>
                    <w:textAlignment w:val="center"/>
                    <w:rPr>
                      <w:rFonts w:hint="default" w:eastAsia="宋体"/>
                      <w:color w:val="auto"/>
                      <w:lang w:val="en-US" w:eastAsia="zh-CN"/>
                    </w:rPr>
                  </w:pPr>
                  <w:r>
                    <w:rPr>
                      <w:rFonts w:hint="eastAsia"/>
                      <w:color w:val="auto"/>
                      <w:kern w:val="0"/>
                      <w:szCs w:val="21"/>
                      <w:lang w:val="en-US" w:eastAsia="zh-CN" w:bidi="ar"/>
                    </w:rPr>
                    <w:t>0.773</w:t>
                  </w:r>
                </w:p>
              </w:tc>
            </w:tr>
            <w:tr w14:paraId="4874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restart"/>
                  <w:vAlign w:val="center"/>
                </w:tcPr>
                <w:p w14:paraId="141C6356">
                  <w:pPr>
                    <w:pStyle w:val="136"/>
                    <w:spacing w:line="240" w:lineRule="auto"/>
                    <w:rPr>
                      <w:rFonts w:hint="eastAsia" w:eastAsia="宋体"/>
                      <w:color w:val="auto"/>
                      <w:lang w:val="en-US" w:eastAsia="zh-CN"/>
                    </w:rPr>
                  </w:pPr>
                  <w:r>
                    <w:rPr>
                      <w:color w:val="auto"/>
                      <w:lang w:val="en-US"/>
                    </w:rPr>
                    <w:t>DA00</w:t>
                  </w:r>
                  <w:r>
                    <w:rPr>
                      <w:rFonts w:hint="eastAsia"/>
                      <w:color w:val="auto"/>
                      <w:lang w:val="en-US" w:eastAsia="zh-CN"/>
                    </w:rPr>
                    <w:t>1</w:t>
                  </w:r>
                </w:p>
              </w:tc>
              <w:tc>
                <w:tcPr>
                  <w:tcW w:w="887" w:type="dxa"/>
                  <w:vAlign w:val="center"/>
                </w:tcPr>
                <w:p w14:paraId="201B8BB2">
                  <w:pPr>
                    <w:keepNext/>
                    <w:keepLines/>
                    <w:jc w:val="center"/>
                    <w:rPr>
                      <w:color w:val="auto"/>
                    </w:rPr>
                  </w:pPr>
                  <w:r>
                    <w:rPr>
                      <w:color w:val="auto"/>
                    </w:rPr>
                    <w:t>非甲烷总烃</w:t>
                  </w:r>
                </w:p>
              </w:tc>
              <w:tc>
                <w:tcPr>
                  <w:tcW w:w="887" w:type="dxa"/>
                  <w:vAlign w:val="center"/>
                </w:tcPr>
                <w:p w14:paraId="5BCB0102">
                  <w:pPr>
                    <w:widowControl/>
                    <w:jc w:val="center"/>
                    <w:textAlignment w:val="center"/>
                    <w:rPr>
                      <w:rFonts w:hint="default" w:ascii="Times New Roman" w:hAnsi="Times New Roman" w:eastAsia="宋体" w:cs="Times New Roman"/>
                      <w:color w:val="auto"/>
                      <w:lang w:val="en-US" w:eastAsia="zh-CN"/>
                    </w:rPr>
                  </w:pPr>
                  <w:r>
                    <w:rPr>
                      <w:rFonts w:hint="eastAsia"/>
                      <w:color w:val="auto"/>
                      <w:kern w:val="0"/>
                      <w:szCs w:val="21"/>
                      <w:lang w:val="en-US" w:eastAsia="zh-CN" w:bidi="ar"/>
                    </w:rPr>
                    <w:t>1.501</w:t>
                  </w:r>
                </w:p>
              </w:tc>
              <w:tc>
                <w:tcPr>
                  <w:tcW w:w="887" w:type="dxa"/>
                  <w:vAlign w:val="center"/>
                </w:tcPr>
                <w:p w14:paraId="15F27F4C">
                  <w:pPr>
                    <w:widowControl/>
                    <w:jc w:val="center"/>
                    <w:textAlignment w:val="center"/>
                    <w:rPr>
                      <w:rFonts w:hint="default" w:eastAsia="宋体"/>
                      <w:color w:val="auto"/>
                      <w:lang w:val="en-US" w:eastAsia="zh-CN"/>
                    </w:rPr>
                  </w:pPr>
                  <w:r>
                    <w:rPr>
                      <w:rFonts w:hint="eastAsia"/>
                      <w:color w:val="auto"/>
                      <w:kern w:val="0"/>
                      <w:szCs w:val="21"/>
                      <w:lang w:val="en-US" w:eastAsia="zh-CN" w:bidi="ar"/>
                    </w:rPr>
                    <w:t>0.957</w:t>
                  </w:r>
                </w:p>
              </w:tc>
              <w:tc>
                <w:tcPr>
                  <w:tcW w:w="888" w:type="dxa"/>
                  <w:vAlign w:val="center"/>
                </w:tcPr>
                <w:p w14:paraId="130A4AB9">
                  <w:pPr>
                    <w:widowControl/>
                    <w:jc w:val="center"/>
                    <w:textAlignment w:val="center"/>
                    <w:rPr>
                      <w:rFonts w:hint="default" w:eastAsia="宋体"/>
                      <w:color w:val="auto"/>
                      <w:lang w:val="en-US" w:eastAsia="zh-CN"/>
                    </w:rPr>
                  </w:pPr>
                  <w:r>
                    <w:rPr>
                      <w:rFonts w:hint="eastAsia"/>
                      <w:color w:val="auto"/>
                      <w:kern w:val="0"/>
                      <w:szCs w:val="21"/>
                      <w:lang w:val="en-US" w:eastAsia="zh-CN" w:bidi="ar"/>
                    </w:rPr>
                    <w:t>0.319</w:t>
                  </w:r>
                </w:p>
              </w:tc>
              <w:tc>
                <w:tcPr>
                  <w:tcW w:w="888" w:type="dxa"/>
                  <w:vAlign w:val="center"/>
                </w:tcPr>
                <w:p w14:paraId="0CE152F5">
                  <w:pPr>
                    <w:widowControl/>
                    <w:jc w:val="center"/>
                    <w:textAlignment w:val="center"/>
                    <w:rPr>
                      <w:rFonts w:hint="default"/>
                      <w:color w:val="auto"/>
                      <w:kern w:val="0"/>
                      <w:szCs w:val="21"/>
                      <w:lang w:val="en-US" w:eastAsia="zh-CN" w:bidi="ar"/>
                    </w:rPr>
                  </w:pPr>
                  <w:r>
                    <w:rPr>
                      <w:rFonts w:hint="default"/>
                      <w:color w:val="auto"/>
                      <w:kern w:val="0"/>
                      <w:szCs w:val="21"/>
                      <w:lang w:val="en-US" w:eastAsia="zh-CN" w:bidi="ar"/>
                    </w:rPr>
                    <w:t>0.042</w:t>
                  </w:r>
                </w:p>
              </w:tc>
              <w:tc>
                <w:tcPr>
                  <w:tcW w:w="944" w:type="dxa"/>
                  <w:vAlign w:val="center"/>
                </w:tcPr>
                <w:p w14:paraId="3B3839E0">
                  <w:pPr>
                    <w:widowControl/>
                    <w:jc w:val="center"/>
                    <w:textAlignment w:val="center"/>
                    <w:rPr>
                      <w:rFonts w:hint="default"/>
                      <w:color w:val="auto"/>
                      <w:kern w:val="0"/>
                      <w:szCs w:val="21"/>
                      <w:lang w:val="en-US" w:eastAsia="zh-CN" w:bidi="ar"/>
                    </w:rPr>
                  </w:pPr>
                  <w:r>
                    <w:rPr>
                      <w:rFonts w:hint="default"/>
                      <w:color w:val="auto"/>
                      <w:kern w:val="0"/>
                      <w:szCs w:val="21"/>
                      <w:lang w:val="en-US" w:eastAsia="zh-CN" w:bidi="ar"/>
                    </w:rPr>
                    <w:t>6.922</w:t>
                  </w:r>
                </w:p>
              </w:tc>
              <w:tc>
                <w:tcPr>
                  <w:tcW w:w="832" w:type="dxa"/>
                  <w:vAlign w:val="center"/>
                </w:tcPr>
                <w:p w14:paraId="77111B0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956" w:type="dxa"/>
                  <w:vAlign w:val="center"/>
                </w:tcPr>
                <w:p w14:paraId="6647589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0.029</w:t>
                  </w:r>
                </w:p>
              </w:tc>
              <w:tc>
                <w:tcPr>
                  <w:tcW w:w="820" w:type="dxa"/>
                  <w:vAlign w:val="center"/>
                </w:tcPr>
                <w:p w14:paraId="5A1DE8AD">
                  <w:pPr>
                    <w:widowControl/>
                    <w:jc w:val="center"/>
                    <w:textAlignment w:val="center"/>
                    <w:rPr>
                      <w:rFonts w:hint="default" w:eastAsia="宋体"/>
                      <w:color w:val="auto"/>
                      <w:lang w:val="en-US" w:eastAsia="zh-CN"/>
                    </w:rPr>
                  </w:pPr>
                  <w:r>
                    <w:rPr>
                      <w:rFonts w:hint="eastAsia"/>
                      <w:color w:val="auto"/>
                      <w:kern w:val="0"/>
                      <w:szCs w:val="21"/>
                      <w:lang w:val="en-US" w:eastAsia="zh-CN" w:bidi="ar"/>
                    </w:rPr>
                    <w:t>0.544</w:t>
                  </w:r>
                </w:p>
              </w:tc>
            </w:tr>
            <w:tr w14:paraId="41AD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continue"/>
                  <w:vAlign w:val="center"/>
                </w:tcPr>
                <w:p w14:paraId="28921A08">
                  <w:pPr>
                    <w:pStyle w:val="136"/>
                    <w:spacing w:line="240" w:lineRule="auto"/>
                    <w:rPr>
                      <w:color w:val="auto"/>
                      <w:lang w:val="en-US"/>
                    </w:rPr>
                  </w:pPr>
                </w:p>
              </w:tc>
              <w:tc>
                <w:tcPr>
                  <w:tcW w:w="887" w:type="dxa"/>
                  <w:vAlign w:val="center"/>
                </w:tcPr>
                <w:p w14:paraId="07FD7396">
                  <w:pPr>
                    <w:keepNext/>
                    <w:keepLines/>
                    <w:jc w:val="center"/>
                    <w:rPr>
                      <w:color w:val="auto"/>
                    </w:rPr>
                  </w:pPr>
                  <w:r>
                    <w:rPr>
                      <w:rFonts w:hint="eastAsia"/>
                      <w:color w:val="auto"/>
                    </w:rPr>
                    <w:t>氯化氢</w:t>
                  </w:r>
                </w:p>
              </w:tc>
              <w:tc>
                <w:tcPr>
                  <w:tcW w:w="887" w:type="dxa"/>
                  <w:vAlign w:val="center"/>
                </w:tcPr>
                <w:p w14:paraId="2147EA55">
                  <w:pPr>
                    <w:pStyle w:val="194"/>
                    <w:jc w:val="center"/>
                    <w:rPr>
                      <w:rFonts w:ascii="Times New Roman" w:hAnsi="Times New Roman" w:cs="Times New Roman"/>
                      <w:color w:val="auto"/>
                    </w:rPr>
                  </w:pPr>
                  <w:r>
                    <w:rPr>
                      <w:rFonts w:hint="eastAsia" w:ascii="Times New Roman" w:hAnsi="Times New Roman" w:cs="Times New Roman"/>
                      <w:color w:val="auto"/>
                    </w:rPr>
                    <w:t>少量</w:t>
                  </w:r>
                </w:p>
              </w:tc>
              <w:tc>
                <w:tcPr>
                  <w:tcW w:w="887" w:type="dxa"/>
                  <w:vAlign w:val="center"/>
                </w:tcPr>
                <w:p w14:paraId="5EF57221">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88" w:type="dxa"/>
                  <w:vAlign w:val="center"/>
                </w:tcPr>
                <w:p w14:paraId="09283F1F">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88" w:type="dxa"/>
                  <w:vAlign w:val="center"/>
                </w:tcPr>
                <w:p w14:paraId="680A47A6">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944" w:type="dxa"/>
                  <w:vAlign w:val="center"/>
                </w:tcPr>
                <w:p w14:paraId="6D6B9EC4">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32" w:type="dxa"/>
                  <w:vAlign w:val="center"/>
                </w:tcPr>
                <w:p w14:paraId="54B6C1E2">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956" w:type="dxa"/>
                  <w:vAlign w:val="center"/>
                </w:tcPr>
                <w:p w14:paraId="0238DE89">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20" w:type="dxa"/>
                  <w:vAlign w:val="center"/>
                </w:tcPr>
                <w:p w14:paraId="5ABDE2AB">
                  <w:pPr>
                    <w:pStyle w:val="194"/>
                    <w:jc w:val="center"/>
                    <w:rPr>
                      <w:rFonts w:ascii="Times New Roman" w:hAnsi="Times New Roman" w:cs="Times New Roman"/>
                      <w:color w:val="auto"/>
                    </w:rPr>
                  </w:pPr>
                  <w:r>
                    <w:rPr>
                      <w:rFonts w:hint="eastAsia" w:ascii="Times New Roman" w:hAnsi="Times New Roman" w:cs="Times New Roman"/>
                      <w:color w:val="auto"/>
                    </w:rPr>
                    <w:t>/</w:t>
                  </w:r>
                </w:p>
              </w:tc>
            </w:tr>
            <w:tr w14:paraId="32D0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 w:type="dxa"/>
                  <w:vMerge w:val="continue"/>
                  <w:vAlign w:val="center"/>
                </w:tcPr>
                <w:p w14:paraId="3C70DD44">
                  <w:pPr>
                    <w:pStyle w:val="136"/>
                    <w:spacing w:line="240" w:lineRule="auto"/>
                    <w:rPr>
                      <w:color w:val="auto"/>
                      <w:lang w:val="en-US"/>
                    </w:rPr>
                  </w:pPr>
                </w:p>
              </w:tc>
              <w:tc>
                <w:tcPr>
                  <w:tcW w:w="887" w:type="dxa"/>
                  <w:vAlign w:val="center"/>
                </w:tcPr>
                <w:p w14:paraId="50E545FB">
                  <w:pPr>
                    <w:keepNext/>
                    <w:keepLines/>
                    <w:jc w:val="center"/>
                    <w:rPr>
                      <w:color w:val="auto"/>
                    </w:rPr>
                  </w:pPr>
                  <w:r>
                    <w:rPr>
                      <w:rFonts w:hint="eastAsia"/>
                      <w:color w:val="auto"/>
                    </w:rPr>
                    <w:t>氯乙烯</w:t>
                  </w:r>
                </w:p>
              </w:tc>
              <w:tc>
                <w:tcPr>
                  <w:tcW w:w="887" w:type="dxa"/>
                  <w:vAlign w:val="center"/>
                </w:tcPr>
                <w:p w14:paraId="06BA8494">
                  <w:pPr>
                    <w:pStyle w:val="194"/>
                    <w:jc w:val="center"/>
                    <w:rPr>
                      <w:rFonts w:ascii="Times New Roman" w:hAnsi="Times New Roman" w:cs="Times New Roman"/>
                      <w:color w:val="auto"/>
                    </w:rPr>
                  </w:pPr>
                  <w:r>
                    <w:rPr>
                      <w:rFonts w:hint="eastAsia" w:ascii="Times New Roman" w:hAnsi="Times New Roman" w:cs="Times New Roman"/>
                      <w:color w:val="auto"/>
                    </w:rPr>
                    <w:t>少量</w:t>
                  </w:r>
                </w:p>
              </w:tc>
              <w:tc>
                <w:tcPr>
                  <w:tcW w:w="887" w:type="dxa"/>
                  <w:vAlign w:val="center"/>
                </w:tcPr>
                <w:p w14:paraId="3C7CE5CD">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88" w:type="dxa"/>
                  <w:vAlign w:val="center"/>
                </w:tcPr>
                <w:p w14:paraId="1E88C09E">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88" w:type="dxa"/>
                  <w:vAlign w:val="center"/>
                </w:tcPr>
                <w:p w14:paraId="7F522A63">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944" w:type="dxa"/>
                  <w:vAlign w:val="center"/>
                </w:tcPr>
                <w:p w14:paraId="0E3112A0">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32" w:type="dxa"/>
                  <w:vAlign w:val="center"/>
                </w:tcPr>
                <w:p w14:paraId="0BA444F1">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956" w:type="dxa"/>
                  <w:vAlign w:val="center"/>
                </w:tcPr>
                <w:p w14:paraId="37F58999">
                  <w:pPr>
                    <w:pStyle w:val="194"/>
                    <w:jc w:val="center"/>
                    <w:rPr>
                      <w:rFonts w:ascii="Times New Roman" w:hAnsi="Times New Roman" w:cs="Times New Roman"/>
                      <w:color w:val="auto"/>
                    </w:rPr>
                  </w:pPr>
                  <w:r>
                    <w:rPr>
                      <w:rFonts w:hint="eastAsia" w:ascii="Times New Roman" w:hAnsi="Times New Roman" w:cs="Times New Roman"/>
                      <w:color w:val="auto"/>
                    </w:rPr>
                    <w:t>/</w:t>
                  </w:r>
                </w:p>
              </w:tc>
              <w:tc>
                <w:tcPr>
                  <w:tcW w:w="820" w:type="dxa"/>
                  <w:vAlign w:val="center"/>
                </w:tcPr>
                <w:p w14:paraId="61AC8753">
                  <w:pPr>
                    <w:pStyle w:val="194"/>
                    <w:jc w:val="center"/>
                    <w:rPr>
                      <w:rFonts w:ascii="Times New Roman" w:hAnsi="Times New Roman" w:cs="Times New Roman"/>
                      <w:color w:val="auto"/>
                    </w:rPr>
                  </w:pPr>
                  <w:r>
                    <w:rPr>
                      <w:rFonts w:hint="eastAsia" w:ascii="Times New Roman" w:hAnsi="Times New Roman" w:cs="Times New Roman"/>
                      <w:color w:val="auto"/>
                    </w:rPr>
                    <w:t>/</w:t>
                  </w:r>
                </w:p>
              </w:tc>
            </w:tr>
            <w:tr w14:paraId="78FF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6" w:type="dxa"/>
                  <w:gridSpan w:val="10"/>
                  <w:vAlign w:val="center"/>
                </w:tcPr>
                <w:p w14:paraId="7FDA691A">
                  <w:pPr>
                    <w:pStyle w:val="194"/>
                    <w:jc w:val="left"/>
                    <w:rPr>
                      <w:rFonts w:ascii="Times New Roman" w:hAnsi="Times New Roman" w:cs="Times New Roman"/>
                      <w:color w:val="auto"/>
                    </w:rPr>
                  </w:pPr>
                  <w:r>
                    <w:rPr>
                      <w:rFonts w:hint="eastAsia" w:ascii="Times New Roman" w:hAnsi="Times New Roman" w:cs="Times New Roman"/>
                      <w:color w:val="auto"/>
                    </w:rPr>
                    <w:t>注：本项目挤出废气中的氯化氢和氯乙烯的产生量极少，经处理后排放量更少，本报告不作定量分析。</w:t>
                  </w:r>
                </w:p>
              </w:tc>
            </w:tr>
          </w:tbl>
          <w:p w14:paraId="0354D867">
            <w:pPr>
              <w:adjustRightInd w:val="0"/>
              <w:snapToGrid w:val="0"/>
              <w:spacing w:line="460" w:lineRule="exact"/>
              <w:ind w:firstLine="425"/>
              <w:rPr>
                <w:color w:val="auto"/>
                <w:sz w:val="24"/>
              </w:rPr>
            </w:pPr>
          </w:p>
          <w:p w14:paraId="23777F6E">
            <w:pPr>
              <w:adjustRightInd w:val="0"/>
              <w:snapToGrid w:val="0"/>
              <w:spacing w:line="460" w:lineRule="exact"/>
              <w:ind w:firstLine="425"/>
              <w:rPr>
                <w:color w:val="auto"/>
                <w:sz w:val="24"/>
              </w:rPr>
            </w:pPr>
          </w:p>
          <w:p w14:paraId="3A60543C">
            <w:pPr>
              <w:adjustRightInd w:val="0"/>
              <w:snapToGrid w:val="0"/>
              <w:spacing w:line="460" w:lineRule="exact"/>
              <w:ind w:firstLine="425"/>
              <w:rPr>
                <w:color w:val="auto"/>
                <w:sz w:val="24"/>
              </w:rPr>
            </w:pPr>
          </w:p>
          <w:p w14:paraId="1C8C6142">
            <w:pPr>
              <w:adjustRightInd w:val="0"/>
              <w:snapToGrid w:val="0"/>
              <w:spacing w:line="460" w:lineRule="exact"/>
              <w:ind w:firstLine="425"/>
              <w:rPr>
                <w:color w:val="auto"/>
                <w:sz w:val="24"/>
              </w:rPr>
            </w:pPr>
          </w:p>
          <w:p w14:paraId="507BE430">
            <w:pPr>
              <w:wordWrap w:val="0"/>
              <w:autoSpaceDE w:val="0"/>
              <w:autoSpaceDN w:val="0"/>
              <w:adjustRightInd w:val="0"/>
              <w:snapToGrid w:val="0"/>
              <w:spacing w:line="460" w:lineRule="exact"/>
              <w:ind w:firstLine="425"/>
              <w:jc w:val="left"/>
              <w:rPr>
                <w:color w:val="auto"/>
              </w:rPr>
            </w:pPr>
          </w:p>
        </w:tc>
      </w:tr>
    </w:tbl>
    <w:p w14:paraId="2F36DCFE">
      <w:pPr>
        <w:rPr>
          <w:rFonts w:eastAsia="黑体"/>
          <w:snapToGrid w:val="0"/>
          <w:color w:val="auto"/>
          <w:sz w:val="30"/>
          <w:szCs w:val="30"/>
        </w:rPr>
        <w:sectPr>
          <w:pgSz w:w="11907" w:h="16840"/>
          <w:pgMar w:top="2126"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eastAsia="黑体"/>
          <w:snapToGrid w:val="0"/>
          <w:color w:val="auto"/>
          <w:sz w:val="30"/>
          <w:szCs w:val="30"/>
        </w:rPr>
        <w:br w:type="page"/>
      </w:r>
    </w:p>
    <w:tbl>
      <w:tblPr>
        <w:tblStyle w:val="88"/>
        <w:tblW w:w="50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3069"/>
      </w:tblGrid>
      <w:tr w14:paraId="1F609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0" w:hRule="atLeast"/>
          <w:jc w:val="center"/>
        </w:trPr>
        <w:tc>
          <w:tcPr>
            <w:tcW w:w="119" w:type="pct"/>
            <w:tcMar>
              <w:left w:w="28" w:type="dxa"/>
              <w:right w:w="28" w:type="dxa"/>
            </w:tcMar>
            <w:vAlign w:val="center"/>
          </w:tcPr>
          <w:p w14:paraId="66C8CC72">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运营</w:t>
            </w:r>
          </w:p>
          <w:p w14:paraId="405818E4">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0EBFB6C0">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境影</w:t>
            </w:r>
          </w:p>
          <w:p w14:paraId="6BD2A802">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响和</w:t>
            </w:r>
          </w:p>
          <w:p w14:paraId="0B8440C7">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保护</w:t>
            </w:r>
          </w:p>
          <w:p w14:paraId="6BB5C312">
            <w:pPr>
              <w:pStyle w:val="82"/>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措施</w:t>
            </w:r>
          </w:p>
        </w:tc>
        <w:tc>
          <w:tcPr>
            <w:tcW w:w="4880" w:type="pct"/>
            <w:vAlign w:val="center"/>
          </w:tcPr>
          <w:p w14:paraId="37096CE5">
            <w:pPr>
              <w:adjustRightInd w:val="0"/>
              <w:snapToGrid w:val="0"/>
              <w:spacing w:line="460" w:lineRule="exact"/>
              <w:ind w:firstLine="425"/>
              <w:rPr>
                <w:color w:val="auto"/>
                <w:sz w:val="24"/>
              </w:rPr>
            </w:pPr>
            <w:r>
              <w:rPr>
                <w:rFonts w:hint="eastAsia"/>
                <w:color w:val="auto"/>
                <w:sz w:val="24"/>
              </w:rPr>
              <w:t>2、废气收集及污染防治措施</w:t>
            </w:r>
          </w:p>
          <w:p w14:paraId="7FA361A2">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本项目废气收集、处理情况一览表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4"/>
              <w:gridCol w:w="1141"/>
              <w:gridCol w:w="1380"/>
              <w:gridCol w:w="1331"/>
              <w:gridCol w:w="1154"/>
              <w:gridCol w:w="1480"/>
              <w:gridCol w:w="1148"/>
              <w:gridCol w:w="1071"/>
              <w:gridCol w:w="1171"/>
              <w:gridCol w:w="1116"/>
              <w:gridCol w:w="1262"/>
            </w:tblGrid>
            <w:tr w14:paraId="6080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vMerge w:val="restart"/>
                  <w:tcBorders>
                    <w:tl2br w:val="nil"/>
                    <w:tr2bl w:val="nil"/>
                  </w:tcBorders>
                  <w:vAlign w:val="center"/>
                </w:tcPr>
                <w:p w14:paraId="39E578E4">
                  <w:pPr>
                    <w:jc w:val="center"/>
                    <w:rPr>
                      <w:color w:val="auto"/>
                      <w:szCs w:val="21"/>
                    </w:rPr>
                  </w:pPr>
                  <w:r>
                    <w:rPr>
                      <w:rFonts w:hint="eastAsia"/>
                      <w:color w:val="auto"/>
                      <w:szCs w:val="21"/>
                    </w:rPr>
                    <w:t>编号</w:t>
                  </w:r>
                </w:p>
              </w:tc>
              <w:tc>
                <w:tcPr>
                  <w:tcW w:w="444" w:type="pct"/>
                  <w:vMerge w:val="restart"/>
                  <w:tcBorders>
                    <w:tl2br w:val="nil"/>
                    <w:tr2bl w:val="nil"/>
                  </w:tcBorders>
                  <w:vAlign w:val="center"/>
                </w:tcPr>
                <w:p w14:paraId="335B922E">
                  <w:pPr>
                    <w:jc w:val="center"/>
                    <w:rPr>
                      <w:color w:val="auto"/>
                      <w:szCs w:val="21"/>
                    </w:rPr>
                  </w:pPr>
                  <w:r>
                    <w:rPr>
                      <w:rFonts w:hint="eastAsia"/>
                      <w:color w:val="auto"/>
                      <w:szCs w:val="21"/>
                    </w:rPr>
                    <w:t>废气种类</w:t>
                  </w:r>
                </w:p>
              </w:tc>
              <w:tc>
                <w:tcPr>
                  <w:tcW w:w="537" w:type="pct"/>
                  <w:vMerge w:val="restart"/>
                  <w:tcBorders>
                    <w:tl2br w:val="nil"/>
                    <w:tr2bl w:val="nil"/>
                  </w:tcBorders>
                  <w:vAlign w:val="center"/>
                </w:tcPr>
                <w:p w14:paraId="5B03AFE6">
                  <w:pPr>
                    <w:jc w:val="center"/>
                    <w:rPr>
                      <w:color w:val="auto"/>
                      <w:szCs w:val="21"/>
                    </w:rPr>
                  </w:pPr>
                  <w:r>
                    <w:rPr>
                      <w:color w:val="auto"/>
                      <w:szCs w:val="21"/>
                    </w:rPr>
                    <w:t>生产环节</w:t>
                  </w:r>
                </w:p>
              </w:tc>
              <w:tc>
                <w:tcPr>
                  <w:tcW w:w="518" w:type="pct"/>
                  <w:vMerge w:val="restart"/>
                  <w:tcBorders>
                    <w:tl2br w:val="nil"/>
                    <w:tr2bl w:val="nil"/>
                  </w:tcBorders>
                  <w:vAlign w:val="center"/>
                </w:tcPr>
                <w:p w14:paraId="377FE572">
                  <w:pPr>
                    <w:jc w:val="center"/>
                    <w:rPr>
                      <w:color w:val="auto"/>
                      <w:szCs w:val="21"/>
                    </w:rPr>
                  </w:pPr>
                  <w:r>
                    <w:rPr>
                      <w:color w:val="auto"/>
                      <w:szCs w:val="21"/>
                    </w:rPr>
                    <w:t>污染物</w:t>
                  </w:r>
                </w:p>
              </w:tc>
              <w:tc>
                <w:tcPr>
                  <w:tcW w:w="449" w:type="pct"/>
                  <w:vMerge w:val="restart"/>
                  <w:tcBorders>
                    <w:tl2br w:val="nil"/>
                    <w:tr2bl w:val="nil"/>
                  </w:tcBorders>
                  <w:vAlign w:val="center"/>
                </w:tcPr>
                <w:p w14:paraId="4092068E">
                  <w:pPr>
                    <w:jc w:val="center"/>
                    <w:rPr>
                      <w:color w:val="auto"/>
                      <w:kern w:val="0"/>
                      <w:szCs w:val="21"/>
                      <w:lang w:bidi="ar"/>
                    </w:rPr>
                  </w:pPr>
                  <w:r>
                    <w:rPr>
                      <w:rFonts w:hint="eastAsia"/>
                      <w:color w:val="auto"/>
                      <w:kern w:val="0"/>
                      <w:szCs w:val="21"/>
                      <w:lang w:bidi="ar"/>
                    </w:rPr>
                    <w:t>产生量</w:t>
                  </w:r>
                </w:p>
                <w:p w14:paraId="3D123BA5">
                  <w:pPr>
                    <w:jc w:val="center"/>
                    <w:rPr>
                      <w:color w:val="auto"/>
                      <w:kern w:val="0"/>
                      <w:szCs w:val="21"/>
                      <w:lang w:bidi="ar"/>
                    </w:rPr>
                  </w:pPr>
                  <w:r>
                    <w:rPr>
                      <w:rFonts w:hint="eastAsia"/>
                      <w:color w:val="auto"/>
                      <w:kern w:val="0"/>
                      <w:szCs w:val="21"/>
                      <w:lang w:bidi="ar"/>
                    </w:rPr>
                    <w:t>t/a</w:t>
                  </w:r>
                </w:p>
              </w:tc>
              <w:tc>
                <w:tcPr>
                  <w:tcW w:w="1440" w:type="pct"/>
                  <w:gridSpan w:val="3"/>
                  <w:tcBorders>
                    <w:tl2br w:val="nil"/>
                    <w:tr2bl w:val="nil"/>
                  </w:tcBorders>
                  <w:vAlign w:val="center"/>
                </w:tcPr>
                <w:p w14:paraId="7F86FC68">
                  <w:pPr>
                    <w:jc w:val="center"/>
                    <w:rPr>
                      <w:color w:val="auto"/>
                      <w:szCs w:val="21"/>
                    </w:rPr>
                  </w:pPr>
                  <w:r>
                    <w:rPr>
                      <w:color w:val="auto"/>
                      <w:szCs w:val="21"/>
                    </w:rPr>
                    <w:t>废气收集</w:t>
                  </w:r>
                </w:p>
              </w:tc>
              <w:tc>
                <w:tcPr>
                  <w:tcW w:w="890" w:type="pct"/>
                  <w:gridSpan w:val="2"/>
                  <w:tcBorders>
                    <w:tl2br w:val="nil"/>
                    <w:tr2bl w:val="nil"/>
                  </w:tcBorders>
                  <w:vAlign w:val="center"/>
                </w:tcPr>
                <w:p w14:paraId="788E2F51">
                  <w:pPr>
                    <w:jc w:val="center"/>
                    <w:rPr>
                      <w:color w:val="auto"/>
                      <w:szCs w:val="21"/>
                    </w:rPr>
                  </w:pPr>
                  <w:r>
                    <w:rPr>
                      <w:color w:val="auto"/>
                      <w:szCs w:val="21"/>
                    </w:rPr>
                    <w:t>废气处理</w:t>
                  </w:r>
                </w:p>
              </w:tc>
              <w:tc>
                <w:tcPr>
                  <w:tcW w:w="491" w:type="pct"/>
                  <w:vMerge w:val="restart"/>
                  <w:tcBorders>
                    <w:tl2br w:val="nil"/>
                    <w:tr2bl w:val="nil"/>
                  </w:tcBorders>
                  <w:vAlign w:val="center"/>
                </w:tcPr>
                <w:p w14:paraId="01BA3B47">
                  <w:pPr>
                    <w:jc w:val="center"/>
                    <w:rPr>
                      <w:color w:val="auto"/>
                      <w:szCs w:val="21"/>
                    </w:rPr>
                  </w:pPr>
                  <w:r>
                    <w:rPr>
                      <w:color w:val="auto"/>
                      <w:szCs w:val="21"/>
                    </w:rPr>
                    <w:t>排气方式</w:t>
                  </w:r>
                </w:p>
              </w:tc>
            </w:tr>
            <w:tr w14:paraId="42B3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vMerge w:val="continue"/>
                  <w:tcBorders>
                    <w:tl2br w:val="nil"/>
                    <w:tr2bl w:val="nil"/>
                  </w:tcBorders>
                  <w:vAlign w:val="center"/>
                </w:tcPr>
                <w:p w14:paraId="478DD361">
                  <w:pPr>
                    <w:jc w:val="center"/>
                    <w:rPr>
                      <w:color w:val="auto"/>
                      <w:szCs w:val="21"/>
                    </w:rPr>
                  </w:pPr>
                </w:p>
              </w:tc>
              <w:tc>
                <w:tcPr>
                  <w:tcW w:w="444" w:type="pct"/>
                  <w:vMerge w:val="continue"/>
                  <w:tcBorders>
                    <w:tl2br w:val="nil"/>
                    <w:tr2bl w:val="nil"/>
                  </w:tcBorders>
                  <w:vAlign w:val="center"/>
                </w:tcPr>
                <w:p w14:paraId="26F30236">
                  <w:pPr>
                    <w:jc w:val="center"/>
                    <w:rPr>
                      <w:color w:val="auto"/>
                      <w:szCs w:val="21"/>
                    </w:rPr>
                  </w:pPr>
                </w:p>
              </w:tc>
              <w:tc>
                <w:tcPr>
                  <w:tcW w:w="537" w:type="pct"/>
                  <w:vMerge w:val="continue"/>
                  <w:tcBorders>
                    <w:tl2br w:val="nil"/>
                    <w:tr2bl w:val="nil"/>
                  </w:tcBorders>
                  <w:vAlign w:val="center"/>
                </w:tcPr>
                <w:p w14:paraId="53A8A084">
                  <w:pPr>
                    <w:jc w:val="center"/>
                    <w:rPr>
                      <w:color w:val="auto"/>
                      <w:szCs w:val="21"/>
                    </w:rPr>
                  </w:pPr>
                </w:p>
              </w:tc>
              <w:tc>
                <w:tcPr>
                  <w:tcW w:w="518" w:type="pct"/>
                  <w:vMerge w:val="continue"/>
                  <w:tcBorders>
                    <w:tl2br w:val="nil"/>
                    <w:tr2bl w:val="nil"/>
                  </w:tcBorders>
                  <w:vAlign w:val="center"/>
                </w:tcPr>
                <w:p w14:paraId="0722CC10">
                  <w:pPr>
                    <w:jc w:val="center"/>
                    <w:rPr>
                      <w:color w:val="auto"/>
                      <w:szCs w:val="21"/>
                    </w:rPr>
                  </w:pPr>
                </w:p>
              </w:tc>
              <w:tc>
                <w:tcPr>
                  <w:tcW w:w="449" w:type="pct"/>
                  <w:vMerge w:val="continue"/>
                  <w:tcBorders>
                    <w:tl2br w:val="nil"/>
                    <w:tr2bl w:val="nil"/>
                  </w:tcBorders>
                  <w:vAlign w:val="center"/>
                </w:tcPr>
                <w:p w14:paraId="5CFB28B3">
                  <w:pPr>
                    <w:jc w:val="center"/>
                    <w:rPr>
                      <w:color w:val="auto"/>
                      <w:kern w:val="0"/>
                      <w:szCs w:val="21"/>
                      <w:lang w:bidi="ar"/>
                    </w:rPr>
                  </w:pPr>
                </w:p>
              </w:tc>
              <w:tc>
                <w:tcPr>
                  <w:tcW w:w="576" w:type="pct"/>
                  <w:tcBorders>
                    <w:tl2br w:val="nil"/>
                    <w:tr2bl w:val="nil"/>
                  </w:tcBorders>
                  <w:vAlign w:val="center"/>
                </w:tcPr>
                <w:p w14:paraId="2A553F48">
                  <w:pPr>
                    <w:jc w:val="center"/>
                    <w:rPr>
                      <w:color w:val="auto"/>
                      <w:szCs w:val="21"/>
                    </w:rPr>
                  </w:pPr>
                  <w:r>
                    <w:rPr>
                      <w:color w:val="auto"/>
                      <w:szCs w:val="21"/>
                    </w:rPr>
                    <w:t>收集方式</w:t>
                  </w:r>
                </w:p>
              </w:tc>
              <w:tc>
                <w:tcPr>
                  <w:tcW w:w="447" w:type="pct"/>
                  <w:tcBorders>
                    <w:tl2br w:val="nil"/>
                    <w:tr2bl w:val="nil"/>
                  </w:tcBorders>
                  <w:vAlign w:val="center"/>
                </w:tcPr>
                <w:p w14:paraId="23698859">
                  <w:pPr>
                    <w:jc w:val="center"/>
                    <w:rPr>
                      <w:color w:val="auto"/>
                      <w:szCs w:val="21"/>
                    </w:rPr>
                  </w:pPr>
                  <w:r>
                    <w:rPr>
                      <w:color w:val="auto"/>
                      <w:szCs w:val="21"/>
                    </w:rPr>
                    <w:t>设计风量</w:t>
                  </w:r>
                </w:p>
                <w:p w14:paraId="22A073FC">
                  <w:pPr>
                    <w:jc w:val="center"/>
                    <w:rPr>
                      <w:color w:val="auto"/>
                      <w:szCs w:val="21"/>
                    </w:rPr>
                  </w:pPr>
                  <w:r>
                    <w:rPr>
                      <w:color w:val="auto"/>
                      <w:szCs w:val="21"/>
                    </w:rPr>
                    <w:t>m</w:t>
                  </w:r>
                  <w:r>
                    <w:rPr>
                      <w:color w:val="auto"/>
                      <w:szCs w:val="21"/>
                      <w:vertAlign w:val="superscript"/>
                    </w:rPr>
                    <w:t>3</w:t>
                  </w:r>
                  <w:r>
                    <w:rPr>
                      <w:color w:val="auto"/>
                      <w:szCs w:val="21"/>
                    </w:rPr>
                    <w:t>/h</w:t>
                  </w:r>
                </w:p>
              </w:tc>
              <w:tc>
                <w:tcPr>
                  <w:tcW w:w="417" w:type="pct"/>
                  <w:tcBorders>
                    <w:tl2br w:val="nil"/>
                    <w:tr2bl w:val="nil"/>
                  </w:tcBorders>
                  <w:vAlign w:val="center"/>
                </w:tcPr>
                <w:p w14:paraId="008E4020">
                  <w:pPr>
                    <w:jc w:val="center"/>
                    <w:rPr>
                      <w:color w:val="auto"/>
                      <w:szCs w:val="21"/>
                    </w:rPr>
                  </w:pPr>
                  <w:r>
                    <w:rPr>
                      <w:color w:val="auto"/>
                      <w:szCs w:val="21"/>
                    </w:rPr>
                    <w:t>收集效率</w:t>
                  </w:r>
                </w:p>
                <w:p w14:paraId="6C3EBA3A">
                  <w:pPr>
                    <w:jc w:val="center"/>
                    <w:rPr>
                      <w:color w:val="auto"/>
                      <w:szCs w:val="21"/>
                    </w:rPr>
                  </w:pPr>
                  <w:r>
                    <w:rPr>
                      <w:color w:val="auto"/>
                      <w:szCs w:val="21"/>
                    </w:rPr>
                    <w:t>%</w:t>
                  </w:r>
                </w:p>
              </w:tc>
              <w:tc>
                <w:tcPr>
                  <w:tcW w:w="456" w:type="pct"/>
                  <w:tcBorders>
                    <w:tl2br w:val="nil"/>
                    <w:tr2bl w:val="nil"/>
                  </w:tcBorders>
                  <w:vAlign w:val="center"/>
                </w:tcPr>
                <w:p w14:paraId="3D7B4286">
                  <w:pPr>
                    <w:jc w:val="center"/>
                    <w:rPr>
                      <w:color w:val="auto"/>
                      <w:szCs w:val="21"/>
                    </w:rPr>
                  </w:pPr>
                  <w:r>
                    <w:rPr>
                      <w:color w:val="auto"/>
                      <w:szCs w:val="21"/>
                    </w:rPr>
                    <w:t>处理工艺</w:t>
                  </w:r>
                </w:p>
              </w:tc>
              <w:tc>
                <w:tcPr>
                  <w:tcW w:w="434" w:type="pct"/>
                  <w:tcBorders>
                    <w:tl2br w:val="nil"/>
                    <w:tr2bl w:val="nil"/>
                  </w:tcBorders>
                  <w:vAlign w:val="center"/>
                </w:tcPr>
                <w:p w14:paraId="3CB3F302">
                  <w:pPr>
                    <w:jc w:val="center"/>
                    <w:rPr>
                      <w:color w:val="auto"/>
                      <w:szCs w:val="21"/>
                    </w:rPr>
                  </w:pPr>
                  <w:r>
                    <w:rPr>
                      <w:color w:val="auto"/>
                      <w:szCs w:val="21"/>
                    </w:rPr>
                    <w:t>处理效率</w:t>
                  </w:r>
                </w:p>
                <w:p w14:paraId="5E7E75E2">
                  <w:pPr>
                    <w:jc w:val="center"/>
                    <w:rPr>
                      <w:color w:val="auto"/>
                      <w:szCs w:val="21"/>
                    </w:rPr>
                  </w:pPr>
                  <w:r>
                    <w:rPr>
                      <w:color w:val="auto"/>
                      <w:szCs w:val="21"/>
                    </w:rPr>
                    <w:t>%</w:t>
                  </w:r>
                </w:p>
              </w:tc>
              <w:tc>
                <w:tcPr>
                  <w:tcW w:w="491" w:type="pct"/>
                  <w:vMerge w:val="continue"/>
                  <w:tcBorders>
                    <w:tl2br w:val="nil"/>
                    <w:tr2bl w:val="nil"/>
                  </w:tcBorders>
                  <w:vAlign w:val="center"/>
                </w:tcPr>
                <w:p w14:paraId="347D36FE">
                  <w:pPr>
                    <w:jc w:val="center"/>
                    <w:rPr>
                      <w:color w:val="auto"/>
                      <w:szCs w:val="21"/>
                    </w:rPr>
                  </w:pPr>
                </w:p>
              </w:tc>
            </w:tr>
            <w:tr w14:paraId="5B1D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tcBorders>
                    <w:tl2br w:val="nil"/>
                    <w:tr2bl w:val="nil"/>
                  </w:tcBorders>
                  <w:vAlign w:val="center"/>
                </w:tcPr>
                <w:p w14:paraId="7CD86DF0">
                  <w:pPr>
                    <w:jc w:val="center"/>
                    <w:rPr>
                      <w:color w:val="auto"/>
                      <w:szCs w:val="21"/>
                    </w:rPr>
                  </w:pPr>
                  <w:r>
                    <w:rPr>
                      <w:rFonts w:hint="eastAsia"/>
                      <w:color w:val="auto"/>
                      <w:szCs w:val="21"/>
                    </w:rPr>
                    <w:t>1</w:t>
                  </w:r>
                </w:p>
              </w:tc>
              <w:tc>
                <w:tcPr>
                  <w:tcW w:w="444" w:type="pct"/>
                  <w:tcBorders>
                    <w:tl2br w:val="nil"/>
                    <w:tr2bl w:val="nil"/>
                  </w:tcBorders>
                  <w:vAlign w:val="center"/>
                </w:tcPr>
                <w:p w14:paraId="15FE7B0A">
                  <w:pPr>
                    <w:jc w:val="center"/>
                    <w:rPr>
                      <w:rFonts w:hint="default" w:eastAsia="宋体"/>
                      <w:color w:val="auto"/>
                      <w:szCs w:val="21"/>
                      <w:lang w:val="en-US" w:eastAsia="zh-CN"/>
                    </w:rPr>
                  </w:pPr>
                  <w:r>
                    <w:rPr>
                      <w:rFonts w:hint="eastAsia"/>
                      <w:color w:val="auto"/>
                      <w:szCs w:val="21"/>
                    </w:rPr>
                    <w:t>混料粉尘</w:t>
                  </w:r>
                  <w:r>
                    <w:rPr>
                      <w:rFonts w:hint="eastAsia"/>
                      <w:color w:val="auto"/>
                      <w:szCs w:val="21"/>
                      <w:lang w:eastAsia="zh-CN"/>
                    </w:rPr>
                    <w:t>、</w:t>
                  </w:r>
                  <w:r>
                    <w:rPr>
                      <w:rFonts w:hint="eastAsia"/>
                      <w:color w:val="auto"/>
                      <w:szCs w:val="21"/>
                      <w:lang w:val="en-US" w:eastAsia="zh-CN"/>
                    </w:rPr>
                    <w:t>呼吸废气</w:t>
                  </w:r>
                </w:p>
              </w:tc>
              <w:tc>
                <w:tcPr>
                  <w:tcW w:w="537" w:type="pct"/>
                  <w:tcBorders>
                    <w:tl2br w:val="nil"/>
                    <w:tr2bl w:val="nil"/>
                  </w:tcBorders>
                  <w:vAlign w:val="center"/>
                </w:tcPr>
                <w:p w14:paraId="5EC2E302">
                  <w:pPr>
                    <w:jc w:val="center"/>
                    <w:rPr>
                      <w:color w:val="auto"/>
                      <w:szCs w:val="21"/>
                    </w:rPr>
                  </w:pPr>
                  <w:r>
                    <w:rPr>
                      <w:rFonts w:hint="eastAsia"/>
                      <w:color w:val="auto"/>
                      <w:szCs w:val="21"/>
                      <w:lang w:val="en-US" w:eastAsia="zh-CN"/>
                    </w:rPr>
                    <w:t>投料</w:t>
                  </w:r>
                  <w:r>
                    <w:rPr>
                      <w:rFonts w:hint="eastAsia"/>
                      <w:color w:val="auto"/>
                      <w:szCs w:val="21"/>
                    </w:rPr>
                    <w:t>、混料</w:t>
                  </w:r>
                </w:p>
              </w:tc>
              <w:tc>
                <w:tcPr>
                  <w:tcW w:w="518" w:type="pct"/>
                  <w:tcBorders>
                    <w:tl2br w:val="nil"/>
                    <w:tr2bl w:val="nil"/>
                  </w:tcBorders>
                  <w:vAlign w:val="center"/>
                </w:tcPr>
                <w:p w14:paraId="758B9C4A">
                  <w:pPr>
                    <w:jc w:val="center"/>
                    <w:rPr>
                      <w:color w:val="auto"/>
                      <w:szCs w:val="21"/>
                    </w:rPr>
                  </w:pPr>
                  <w:r>
                    <w:rPr>
                      <w:rFonts w:hint="eastAsia"/>
                      <w:color w:val="auto"/>
                      <w:szCs w:val="21"/>
                    </w:rPr>
                    <w:t>颗粒物</w:t>
                  </w:r>
                </w:p>
              </w:tc>
              <w:tc>
                <w:tcPr>
                  <w:tcW w:w="449" w:type="pct"/>
                  <w:tcBorders>
                    <w:tl2br w:val="nil"/>
                    <w:tr2bl w:val="nil"/>
                  </w:tcBorders>
                  <w:vAlign w:val="center"/>
                </w:tcPr>
                <w:p w14:paraId="07F7B78D">
                  <w:pPr>
                    <w:pStyle w:val="194"/>
                    <w:jc w:val="center"/>
                    <w:rPr>
                      <w:rFonts w:hint="default" w:eastAsia="宋体"/>
                      <w:color w:val="auto"/>
                      <w:kern w:val="0"/>
                      <w:lang w:val="en-US" w:eastAsia="zh-CN" w:bidi="ar"/>
                    </w:rPr>
                  </w:pPr>
                  <w:r>
                    <w:rPr>
                      <w:rFonts w:hint="eastAsia" w:ascii="Times New Roman" w:hAnsi="Times New Roman" w:cs="Times New Roman"/>
                      <w:color w:val="auto"/>
                      <w:lang w:val="en-US" w:eastAsia="zh-CN"/>
                    </w:rPr>
                    <w:t>39.662</w:t>
                  </w:r>
                </w:p>
              </w:tc>
              <w:tc>
                <w:tcPr>
                  <w:tcW w:w="576" w:type="pct"/>
                  <w:tcBorders>
                    <w:tl2br w:val="nil"/>
                    <w:tr2bl w:val="nil"/>
                  </w:tcBorders>
                  <w:vAlign w:val="center"/>
                </w:tcPr>
                <w:p w14:paraId="454948A8">
                  <w:pPr>
                    <w:jc w:val="center"/>
                    <w:rPr>
                      <w:rFonts w:hint="default" w:eastAsia="宋体"/>
                      <w:color w:val="auto"/>
                      <w:szCs w:val="21"/>
                      <w:lang w:val="en-US" w:eastAsia="zh-CN"/>
                    </w:rPr>
                  </w:pPr>
                  <w:r>
                    <w:rPr>
                      <w:rFonts w:hint="eastAsia"/>
                      <w:color w:val="auto"/>
                      <w:szCs w:val="21"/>
                      <w:lang w:val="en-US" w:eastAsia="zh-CN"/>
                    </w:rPr>
                    <w:t>整体密闭负压收集</w:t>
                  </w:r>
                </w:p>
              </w:tc>
              <w:tc>
                <w:tcPr>
                  <w:tcW w:w="447" w:type="pct"/>
                  <w:tcBorders>
                    <w:tl2br w:val="nil"/>
                    <w:tr2bl w:val="nil"/>
                  </w:tcBorders>
                  <w:vAlign w:val="center"/>
                </w:tcPr>
                <w:p w14:paraId="277523DC">
                  <w:pPr>
                    <w:jc w:val="center"/>
                    <w:rPr>
                      <w:rFonts w:hint="default"/>
                      <w:color w:val="auto"/>
                      <w:szCs w:val="21"/>
                      <w:lang w:val="en-US"/>
                    </w:rPr>
                  </w:pPr>
                  <w:r>
                    <w:rPr>
                      <w:rFonts w:hint="eastAsia"/>
                      <w:color w:val="auto"/>
                      <w:szCs w:val="21"/>
                      <w:lang w:val="en-US" w:eastAsia="zh-CN"/>
                    </w:rPr>
                    <w:t>20000</w:t>
                  </w:r>
                </w:p>
              </w:tc>
              <w:tc>
                <w:tcPr>
                  <w:tcW w:w="417" w:type="pct"/>
                  <w:tcBorders>
                    <w:tl2br w:val="nil"/>
                    <w:tr2bl w:val="nil"/>
                  </w:tcBorders>
                  <w:vAlign w:val="center"/>
                </w:tcPr>
                <w:p w14:paraId="53ED65B2">
                  <w:pPr>
                    <w:jc w:val="center"/>
                    <w:rPr>
                      <w:color w:val="auto"/>
                      <w:szCs w:val="21"/>
                    </w:rPr>
                  </w:pPr>
                  <w:r>
                    <w:rPr>
                      <w:rFonts w:hint="eastAsia"/>
                      <w:color w:val="auto"/>
                      <w:szCs w:val="21"/>
                      <w:lang w:val="en-US" w:eastAsia="zh-CN"/>
                    </w:rPr>
                    <w:t>95</w:t>
                  </w:r>
                  <w:r>
                    <w:rPr>
                      <w:rFonts w:hint="eastAsia"/>
                      <w:color w:val="auto"/>
                      <w:szCs w:val="21"/>
                    </w:rPr>
                    <w:t>%</w:t>
                  </w:r>
                </w:p>
              </w:tc>
              <w:tc>
                <w:tcPr>
                  <w:tcW w:w="456" w:type="pct"/>
                  <w:tcBorders>
                    <w:tl2br w:val="nil"/>
                    <w:tr2bl w:val="nil"/>
                  </w:tcBorders>
                  <w:vAlign w:val="center"/>
                </w:tcPr>
                <w:p w14:paraId="55632F09">
                  <w:pPr>
                    <w:jc w:val="center"/>
                    <w:rPr>
                      <w:color w:val="auto"/>
                      <w:szCs w:val="21"/>
                    </w:rPr>
                  </w:pPr>
                  <w:r>
                    <w:rPr>
                      <w:rFonts w:hint="eastAsia"/>
                      <w:color w:val="auto"/>
                      <w:szCs w:val="21"/>
                    </w:rPr>
                    <w:t>布袋除尘</w:t>
                  </w:r>
                </w:p>
              </w:tc>
              <w:tc>
                <w:tcPr>
                  <w:tcW w:w="434" w:type="pct"/>
                  <w:tcBorders>
                    <w:tl2br w:val="nil"/>
                    <w:tr2bl w:val="nil"/>
                  </w:tcBorders>
                  <w:vAlign w:val="center"/>
                </w:tcPr>
                <w:p w14:paraId="59105026">
                  <w:pPr>
                    <w:jc w:val="center"/>
                    <w:rPr>
                      <w:color w:val="auto"/>
                      <w:szCs w:val="21"/>
                    </w:rPr>
                  </w:pPr>
                  <w:r>
                    <w:rPr>
                      <w:rFonts w:hint="eastAsia"/>
                      <w:color w:val="auto"/>
                      <w:szCs w:val="21"/>
                      <w:lang w:val="en-US" w:eastAsia="zh-CN"/>
                    </w:rPr>
                    <w:t>95</w:t>
                  </w:r>
                  <w:r>
                    <w:rPr>
                      <w:rFonts w:hint="eastAsia"/>
                      <w:color w:val="auto"/>
                      <w:szCs w:val="21"/>
                    </w:rPr>
                    <w:t>%</w:t>
                  </w:r>
                </w:p>
              </w:tc>
              <w:tc>
                <w:tcPr>
                  <w:tcW w:w="491" w:type="pct"/>
                  <w:tcBorders>
                    <w:tl2br w:val="nil"/>
                    <w:tr2bl w:val="nil"/>
                  </w:tcBorders>
                  <w:vAlign w:val="center"/>
                </w:tcPr>
                <w:p w14:paraId="61DFA083">
                  <w:pPr>
                    <w:jc w:val="center"/>
                    <w:rPr>
                      <w:rFonts w:hint="default" w:eastAsia="宋体"/>
                      <w:color w:val="auto"/>
                      <w:szCs w:val="21"/>
                      <w:lang w:val="en-US" w:eastAsia="zh-CN"/>
                    </w:rPr>
                  </w:pPr>
                  <w:r>
                    <w:rPr>
                      <w:rFonts w:hint="eastAsia"/>
                      <w:color w:val="auto"/>
                      <w:szCs w:val="21"/>
                      <w:lang w:val="en-US" w:eastAsia="zh-CN"/>
                    </w:rPr>
                    <w:t>无组织排放</w:t>
                  </w:r>
                </w:p>
              </w:tc>
            </w:tr>
            <w:tr w14:paraId="69D7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vMerge w:val="restart"/>
                  <w:tcBorders>
                    <w:tl2br w:val="nil"/>
                    <w:tr2bl w:val="nil"/>
                  </w:tcBorders>
                  <w:vAlign w:val="center"/>
                </w:tcPr>
                <w:p w14:paraId="1D4A7552">
                  <w:pPr>
                    <w:jc w:val="center"/>
                    <w:rPr>
                      <w:color w:val="auto"/>
                      <w:szCs w:val="21"/>
                    </w:rPr>
                  </w:pPr>
                  <w:r>
                    <w:rPr>
                      <w:rFonts w:hint="eastAsia"/>
                      <w:color w:val="auto"/>
                      <w:szCs w:val="21"/>
                    </w:rPr>
                    <w:t>2</w:t>
                  </w:r>
                </w:p>
              </w:tc>
              <w:tc>
                <w:tcPr>
                  <w:tcW w:w="444" w:type="pct"/>
                  <w:vMerge w:val="restart"/>
                  <w:tcBorders>
                    <w:tl2br w:val="nil"/>
                    <w:tr2bl w:val="nil"/>
                  </w:tcBorders>
                  <w:vAlign w:val="center"/>
                </w:tcPr>
                <w:p w14:paraId="4C838B01">
                  <w:pPr>
                    <w:jc w:val="center"/>
                    <w:rPr>
                      <w:color w:val="auto"/>
                      <w:szCs w:val="21"/>
                    </w:rPr>
                  </w:pPr>
                  <w:r>
                    <w:rPr>
                      <w:rFonts w:hint="eastAsia"/>
                      <w:color w:val="auto"/>
                      <w:szCs w:val="21"/>
                    </w:rPr>
                    <w:t>挤出废气</w:t>
                  </w:r>
                </w:p>
              </w:tc>
              <w:tc>
                <w:tcPr>
                  <w:tcW w:w="537" w:type="pct"/>
                  <w:vMerge w:val="restart"/>
                  <w:tcBorders>
                    <w:tl2br w:val="nil"/>
                    <w:tr2bl w:val="nil"/>
                  </w:tcBorders>
                  <w:vAlign w:val="center"/>
                </w:tcPr>
                <w:p w14:paraId="6D787263">
                  <w:pPr>
                    <w:jc w:val="center"/>
                    <w:rPr>
                      <w:color w:val="auto"/>
                      <w:szCs w:val="21"/>
                    </w:rPr>
                  </w:pPr>
                  <w:r>
                    <w:rPr>
                      <w:rFonts w:hint="eastAsia"/>
                      <w:color w:val="auto"/>
                      <w:szCs w:val="21"/>
                    </w:rPr>
                    <w:t>熔融挤出</w:t>
                  </w:r>
                </w:p>
              </w:tc>
              <w:tc>
                <w:tcPr>
                  <w:tcW w:w="518" w:type="pct"/>
                  <w:tcBorders>
                    <w:tl2br w:val="nil"/>
                    <w:tr2bl w:val="nil"/>
                  </w:tcBorders>
                  <w:vAlign w:val="center"/>
                </w:tcPr>
                <w:p w14:paraId="40C935AD">
                  <w:pPr>
                    <w:jc w:val="center"/>
                    <w:rPr>
                      <w:color w:val="auto"/>
                      <w:szCs w:val="21"/>
                    </w:rPr>
                  </w:pPr>
                  <w:r>
                    <w:rPr>
                      <w:rFonts w:hint="eastAsia"/>
                      <w:color w:val="auto"/>
                      <w:szCs w:val="21"/>
                    </w:rPr>
                    <w:t>非甲烷总烃</w:t>
                  </w:r>
                </w:p>
              </w:tc>
              <w:tc>
                <w:tcPr>
                  <w:tcW w:w="449" w:type="pct"/>
                  <w:tcBorders>
                    <w:tl2br w:val="nil"/>
                    <w:tr2bl w:val="nil"/>
                  </w:tcBorders>
                  <w:vAlign w:val="center"/>
                </w:tcPr>
                <w:p w14:paraId="021D157A">
                  <w:pPr>
                    <w:pStyle w:val="194"/>
                    <w:jc w:val="center"/>
                    <w:rPr>
                      <w:rFonts w:hint="default" w:eastAsia="宋体"/>
                      <w:color w:val="auto"/>
                      <w:lang w:val="en-US" w:eastAsia="zh-CN"/>
                    </w:rPr>
                  </w:pPr>
                  <w:r>
                    <w:rPr>
                      <w:rFonts w:hint="eastAsia" w:ascii="Times New Roman" w:hAnsi="Times New Roman" w:cs="Times New Roman"/>
                      <w:color w:val="auto"/>
                      <w:lang w:val="en-US" w:eastAsia="zh-CN"/>
                    </w:rPr>
                    <w:t>1.501</w:t>
                  </w:r>
                </w:p>
              </w:tc>
              <w:tc>
                <w:tcPr>
                  <w:tcW w:w="576" w:type="pct"/>
                  <w:vMerge w:val="restart"/>
                  <w:tcBorders>
                    <w:tl2br w:val="nil"/>
                    <w:tr2bl w:val="nil"/>
                  </w:tcBorders>
                  <w:vAlign w:val="center"/>
                </w:tcPr>
                <w:p w14:paraId="30CDA4D1">
                  <w:pPr>
                    <w:jc w:val="center"/>
                    <w:rPr>
                      <w:color w:val="auto"/>
                      <w:szCs w:val="21"/>
                    </w:rPr>
                  </w:pPr>
                  <w:r>
                    <w:rPr>
                      <w:rFonts w:hint="eastAsia"/>
                      <w:color w:val="auto"/>
                      <w:szCs w:val="21"/>
                    </w:rPr>
                    <w:t>集气罩+软帘</w:t>
                  </w:r>
                </w:p>
              </w:tc>
              <w:tc>
                <w:tcPr>
                  <w:tcW w:w="447" w:type="pct"/>
                  <w:vMerge w:val="restart"/>
                  <w:tcBorders>
                    <w:tl2br w:val="nil"/>
                    <w:tr2bl w:val="nil"/>
                  </w:tcBorders>
                  <w:vAlign w:val="center"/>
                </w:tcPr>
                <w:p w14:paraId="5C38A1F2">
                  <w:pPr>
                    <w:jc w:val="center"/>
                    <w:rPr>
                      <w:rFonts w:hint="default" w:eastAsia="宋体"/>
                      <w:color w:val="auto"/>
                      <w:szCs w:val="21"/>
                      <w:lang w:val="en-US" w:eastAsia="zh-CN"/>
                    </w:rPr>
                  </w:pPr>
                  <w:r>
                    <w:rPr>
                      <w:rFonts w:hint="eastAsia"/>
                      <w:color w:val="auto"/>
                      <w:szCs w:val="21"/>
                      <w:lang w:val="en-US" w:eastAsia="zh-CN"/>
                    </w:rPr>
                    <w:t>12000</w:t>
                  </w:r>
                </w:p>
              </w:tc>
              <w:tc>
                <w:tcPr>
                  <w:tcW w:w="417" w:type="pct"/>
                  <w:vMerge w:val="restart"/>
                  <w:tcBorders>
                    <w:tl2br w:val="nil"/>
                    <w:tr2bl w:val="nil"/>
                  </w:tcBorders>
                  <w:vAlign w:val="center"/>
                </w:tcPr>
                <w:p w14:paraId="03A99E5B">
                  <w:pPr>
                    <w:jc w:val="center"/>
                    <w:rPr>
                      <w:color w:val="auto"/>
                      <w:szCs w:val="21"/>
                    </w:rPr>
                  </w:pPr>
                  <w:r>
                    <w:rPr>
                      <w:rFonts w:hint="eastAsia"/>
                      <w:color w:val="auto"/>
                      <w:szCs w:val="21"/>
                    </w:rPr>
                    <w:t>8</w:t>
                  </w:r>
                  <w:r>
                    <w:rPr>
                      <w:rFonts w:hint="eastAsia"/>
                      <w:color w:val="auto"/>
                      <w:szCs w:val="21"/>
                      <w:lang w:val="en-US" w:eastAsia="zh-CN"/>
                    </w:rPr>
                    <w:t>5</w:t>
                  </w:r>
                  <w:r>
                    <w:rPr>
                      <w:rFonts w:hint="eastAsia"/>
                      <w:color w:val="auto"/>
                      <w:szCs w:val="21"/>
                    </w:rPr>
                    <w:t>%</w:t>
                  </w:r>
                </w:p>
              </w:tc>
              <w:tc>
                <w:tcPr>
                  <w:tcW w:w="456" w:type="pct"/>
                  <w:vMerge w:val="restart"/>
                  <w:tcBorders>
                    <w:tl2br w:val="nil"/>
                    <w:tr2bl w:val="nil"/>
                  </w:tcBorders>
                  <w:vAlign w:val="center"/>
                </w:tcPr>
                <w:p w14:paraId="1D2CA994">
                  <w:pPr>
                    <w:jc w:val="center"/>
                    <w:rPr>
                      <w:color w:val="auto"/>
                      <w:szCs w:val="21"/>
                    </w:rPr>
                  </w:pPr>
                  <w:r>
                    <w:rPr>
                      <w:rFonts w:hint="eastAsia"/>
                      <w:color w:val="auto"/>
                      <w:szCs w:val="21"/>
                    </w:rPr>
                    <w:t>二级活性炭吸附</w:t>
                  </w:r>
                </w:p>
              </w:tc>
              <w:tc>
                <w:tcPr>
                  <w:tcW w:w="434" w:type="pct"/>
                  <w:vMerge w:val="restart"/>
                  <w:tcBorders>
                    <w:tl2br w:val="nil"/>
                    <w:tr2bl w:val="nil"/>
                  </w:tcBorders>
                  <w:vAlign w:val="center"/>
                </w:tcPr>
                <w:p w14:paraId="55726629">
                  <w:pPr>
                    <w:jc w:val="center"/>
                    <w:rPr>
                      <w:color w:val="auto"/>
                      <w:szCs w:val="21"/>
                    </w:rPr>
                  </w:pPr>
                  <w:r>
                    <w:rPr>
                      <w:rFonts w:hint="eastAsia"/>
                      <w:color w:val="auto"/>
                      <w:szCs w:val="21"/>
                    </w:rPr>
                    <w:t>75%</w:t>
                  </w:r>
                </w:p>
              </w:tc>
              <w:tc>
                <w:tcPr>
                  <w:tcW w:w="491" w:type="pct"/>
                  <w:vMerge w:val="restart"/>
                  <w:tcBorders>
                    <w:tl2br w:val="nil"/>
                    <w:tr2bl w:val="nil"/>
                  </w:tcBorders>
                  <w:vAlign w:val="center"/>
                </w:tcPr>
                <w:p w14:paraId="20C6131B">
                  <w:pPr>
                    <w:jc w:val="center"/>
                    <w:rPr>
                      <w:rFonts w:hint="eastAsia" w:eastAsia="宋体"/>
                      <w:color w:val="auto"/>
                      <w:szCs w:val="21"/>
                      <w:lang w:val="en-US" w:eastAsia="zh-CN"/>
                    </w:rPr>
                  </w:pPr>
                  <w:r>
                    <w:rPr>
                      <w:rFonts w:hint="eastAsia"/>
                      <w:color w:val="auto"/>
                      <w:szCs w:val="21"/>
                    </w:rPr>
                    <w:t>DA00</w:t>
                  </w:r>
                  <w:r>
                    <w:rPr>
                      <w:rFonts w:hint="eastAsia"/>
                      <w:color w:val="auto"/>
                      <w:szCs w:val="21"/>
                      <w:lang w:val="en-US" w:eastAsia="zh-CN"/>
                    </w:rPr>
                    <w:t>1</w:t>
                  </w:r>
                </w:p>
              </w:tc>
            </w:tr>
            <w:tr w14:paraId="48A2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vMerge w:val="continue"/>
                  <w:tcBorders>
                    <w:tl2br w:val="nil"/>
                    <w:tr2bl w:val="nil"/>
                  </w:tcBorders>
                  <w:vAlign w:val="center"/>
                </w:tcPr>
                <w:p w14:paraId="12608131">
                  <w:pPr>
                    <w:jc w:val="center"/>
                    <w:rPr>
                      <w:color w:val="auto"/>
                      <w:sz w:val="18"/>
                      <w:szCs w:val="18"/>
                    </w:rPr>
                  </w:pPr>
                </w:p>
              </w:tc>
              <w:tc>
                <w:tcPr>
                  <w:tcW w:w="444" w:type="pct"/>
                  <w:vMerge w:val="continue"/>
                  <w:tcBorders>
                    <w:tl2br w:val="nil"/>
                    <w:tr2bl w:val="nil"/>
                  </w:tcBorders>
                  <w:vAlign w:val="center"/>
                </w:tcPr>
                <w:p w14:paraId="1B48FC82">
                  <w:pPr>
                    <w:jc w:val="center"/>
                    <w:rPr>
                      <w:color w:val="auto"/>
                      <w:sz w:val="18"/>
                      <w:szCs w:val="18"/>
                    </w:rPr>
                  </w:pPr>
                </w:p>
              </w:tc>
              <w:tc>
                <w:tcPr>
                  <w:tcW w:w="537" w:type="pct"/>
                  <w:vMerge w:val="continue"/>
                  <w:tcBorders>
                    <w:tl2br w:val="nil"/>
                    <w:tr2bl w:val="nil"/>
                  </w:tcBorders>
                  <w:vAlign w:val="center"/>
                </w:tcPr>
                <w:p w14:paraId="5A0BDA8C">
                  <w:pPr>
                    <w:wordWrap w:val="0"/>
                    <w:jc w:val="center"/>
                    <w:rPr>
                      <w:color w:val="auto"/>
                      <w:sz w:val="18"/>
                      <w:szCs w:val="18"/>
                    </w:rPr>
                  </w:pPr>
                </w:p>
              </w:tc>
              <w:tc>
                <w:tcPr>
                  <w:tcW w:w="518" w:type="pct"/>
                  <w:tcBorders>
                    <w:tl2br w:val="nil"/>
                    <w:tr2bl w:val="nil"/>
                  </w:tcBorders>
                  <w:vAlign w:val="center"/>
                </w:tcPr>
                <w:p w14:paraId="13CC061A">
                  <w:pPr>
                    <w:jc w:val="center"/>
                    <w:rPr>
                      <w:color w:val="auto"/>
                      <w:szCs w:val="21"/>
                    </w:rPr>
                  </w:pPr>
                  <w:r>
                    <w:rPr>
                      <w:rFonts w:hint="eastAsia"/>
                      <w:color w:val="auto"/>
                      <w:szCs w:val="21"/>
                    </w:rPr>
                    <w:t>氯化氢</w:t>
                  </w:r>
                </w:p>
              </w:tc>
              <w:tc>
                <w:tcPr>
                  <w:tcW w:w="449" w:type="pct"/>
                  <w:tcBorders>
                    <w:tl2br w:val="nil"/>
                    <w:tr2bl w:val="nil"/>
                  </w:tcBorders>
                  <w:vAlign w:val="center"/>
                </w:tcPr>
                <w:p w14:paraId="1512D3BD">
                  <w:pPr>
                    <w:pStyle w:val="194"/>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lang w:val="en-US" w:eastAsia="zh-CN"/>
                    </w:rPr>
                    <w:t>少量</w:t>
                  </w:r>
                </w:p>
              </w:tc>
              <w:tc>
                <w:tcPr>
                  <w:tcW w:w="576" w:type="pct"/>
                  <w:vMerge w:val="continue"/>
                  <w:tcBorders>
                    <w:tl2br w:val="nil"/>
                    <w:tr2bl w:val="nil"/>
                  </w:tcBorders>
                  <w:vAlign w:val="center"/>
                </w:tcPr>
                <w:p w14:paraId="0E51A74B">
                  <w:pPr>
                    <w:jc w:val="center"/>
                    <w:rPr>
                      <w:color w:val="auto"/>
                      <w:sz w:val="18"/>
                      <w:szCs w:val="18"/>
                    </w:rPr>
                  </w:pPr>
                </w:p>
              </w:tc>
              <w:tc>
                <w:tcPr>
                  <w:tcW w:w="447" w:type="pct"/>
                  <w:vMerge w:val="continue"/>
                  <w:tcBorders>
                    <w:tl2br w:val="nil"/>
                    <w:tr2bl w:val="nil"/>
                  </w:tcBorders>
                  <w:vAlign w:val="center"/>
                </w:tcPr>
                <w:p w14:paraId="6D8BB379">
                  <w:pPr>
                    <w:jc w:val="center"/>
                    <w:rPr>
                      <w:color w:val="auto"/>
                      <w:sz w:val="18"/>
                      <w:szCs w:val="18"/>
                    </w:rPr>
                  </w:pPr>
                </w:p>
              </w:tc>
              <w:tc>
                <w:tcPr>
                  <w:tcW w:w="417" w:type="pct"/>
                  <w:vMerge w:val="continue"/>
                  <w:tcBorders>
                    <w:tl2br w:val="nil"/>
                    <w:tr2bl w:val="nil"/>
                  </w:tcBorders>
                  <w:vAlign w:val="center"/>
                </w:tcPr>
                <w:p w14:paraId="237110E2">
                  <w:pPr>
                    <w:jc w:val="center"/>
                    <w:rPr>
                      <w:color w:val="auto"/>
                      <w:sz w:val="18"/>
                      <w:szCs w:val="18"/>
                    </w:rPr>
                  </w:pPr>
                </w:p>
              </w:tc>
              <w:tc>
                <w:tcPr>
                  <w:tcW w:w="456" w:type="pct"/>
                  <w:vMerge w:val="continue"/>
                  <w:tcBorders>
                    <w:tl2br w:val="nil"/>
                    <w:tr2bl w:val="nil"/>
                  </w:tcBorders>
                  <w:vAlign w:val="center"/>
                </w:tcPr>
                <w:p w14:paraId="43A1858B">
                  <w:pPr>
                    <w:jc w:val="center"/>
                    <w:rPr>
                      <w:color w:val="auto"/>
                      <w:spacing w:val="-20"/>
                      <w:sz w:val="18"/>
                      <w:szCs w:val="18"/>
                    </w:rPr>
                  </w:pPr>
                </w:p>
              </w:tc>
              <w:tc>
                <w:tcPr>
                  <w:tcW w:w="434" w:type="pct"/>
                  <w:vMerge w:val="continue"/>
                  <w:tcBorders>
                    <w:tl2br w:val="nil"/>
                    <w:tr2bl w:val="nil"/>
                  </w:tcBorders>
                  <w:vAlign w:val="center"/>
                </w:tcPr>
                <w:p w14:paraId="268CFE5D">
                  <w:pPr>
                    <w:jc w:val="center"/>
                    <w:rPr>
                      <w:color w:val="auto"/>
                      <w:sz w:val="18"/>
                      <w:szCs w:val="18"/>
                    </w:rPr>
                  </w:pPr>
                </w:p>
              </w:tc>
              <w:tc>
                <w:tcPr>
                  <w:tcW w:w="491" w:type="pct"/>
                  <w:vMerge w:val="continue"/>
                  <w:tcBorders>
                    <w:tl2br w:val="nil"/>
                    <w:tr2bl w:val="nil"/>
                  </w:tcBorders>
                  <w:vAlign w:val="center"/>
                </w:tcPr>
                <w:p w14:paraId="0A06F999">
                  <w:pPr>
                    <w:jc w:val="center"/>
                    <w:rPr>
                      <w:color w:val="auto"/>
                      <w:sz w:val="18"/>
                      <w:szCs w:val="18"/>
                    </w:rPr>
                  </w:pPr>
                </w:p>
              </w:tc>
            </w:tr>
            <w:tr w14:paraId="51D0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27" w:type="pct"/>
                  <w:vMerge w:val="continue"/>
                  <w:tcBorders>
                    <w:tl2br w:val="nil"/>
                    <w:tr2bl w:val="nil"/>
                  </w:tcBorders>
                  <w:vAlign w:val="center"/>
                </w:tcPr>
                <w:p w14:paraId="0F6B55A6">
                  <w:pPr>
                    <w:jc w:val="center"/>
                    <w:rPr>
                      <w:color w:val="auto"/>
                      <w:sz w:val="18"/>
                      <w:szCs w:val="18"/>
                    </w:rPr>
                  </w:pPr>
                </w:p>
              </w:tc>
              <w:tc>
                <w:tcPr>
                  <w:tcW w:w="444" w:type="pct"/>
                  <w:vMerge w:val="continue"/>
                  <w:tcBorders>
                    <w:tl2br w:val="nil"/>
                    <w:tr2bl w:val="nil"/>
                  </w:tcBorders>
                  <w:vAlign w:val="center"/>
                </w:tcPr>
                <w:p w14:paraId="23C16E1D">
                  <w:pPr>
                    <w:jc w:val="center"/>
                    <w:rPr>
                      <w:color w:val="auto"/>
                      <w:sz w:val="18"/>
                      <w:szCs w:val="18"/>
                    </w:rPr>
                  </w:pPr>
                </w:p>
              </w:tc>
              <w:tc>
                <w:tcPr>
                  <w:tcW w:w="537" w:type="pct"/>
                  <w:vMerge w:val="continue"/>
                  <w:tcBorders>
                    <w:tl2br w:val="nil"/>
                    <w:tr2bl w:val="nil"/>
                  </w:tcBorders>
                  <w:vAlign w:val="center"/>
                </w:tcPr>
                <w:p w14:paraId="4EAA19D6">
                  <w:pPr>
                    <w:wordWrap w:val="0"/>
                    <w:jc w:val="center"/>
                    <w:rPr>
                      <w:color w:val="auto"/>
                      <w:sz w:val="18"/>
                      <w:szCs w:val="18"/>
                    </w:rPr>
                  </w:pPr>
                </w:p>
              </w:tc>
              <w:tc>
                <w:tcPr>
                  <w:tcW w:w="518" w:type="pct"/>
                  <w:tcBorders>
                    <w:tl2br w:val="nil"/>
                    <w:tr2bl w:val="nil"/>
                  </w:tcBorders>
                  <w:vAlign w:val="center"/>
                </w:tcPr>
                <w:p w14:paraId="6EAE15A2">
                  <w:pPr>
                    <w:jc w:val="center"/>
                    <w:rPr>
                      <w:color w:val="auto"/>
                      <w:szCs w:val="21"/>
                    </w:rPr>
                  </w:pPr>
                  <w:r>
                    <w:rPr>
                      <w:rFonts w:hint="eastAsia"/>
                      <w:color w:val="auto"/>
                      <w:szCs w:val="21"/>
                    </w:rPr>
                    <w:t>氯乙烯</w:t>
                  </w:r>
                </w:p>
              </w:tc>
              <w:tc>
                <w:tcPr>
                  <w:tcW w:w="449" w:type="pct"/>
                  <w:tcBorders>
                    <w:tl2br w:val="nil"/>
                    <w:tr2bl w:val="nil"/>
                  </w:tcBorders>
                  <w:vAlign w:val="center"/>
                </w:tcPr>
                <w:p w14:paraId="2780E176">
                  <w:pPr>
                    <w:pStyle w:val="194"/>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lang w:val="en-US" w:eastAsia="zh-CN"/>
                    </w:rPr>
                    <w:t>少量</w:t>
                  </w:r>
                </w:p>
              </w:tc>
              <w:tc>
                <w:tcPr>
                  <w:tcW w:w="576" w:type="pct"/>
                  <w:vMerge w:val="continue"/>
                  <w:tcBorders>
                    <w:tl2br w:val="nil"/>
                    <w:tr2bl w:val="nil"/>
                  </w:tcBorders>
                  <w:vAlign w:val="center"/>
                </w:tcPr>
                <w:p w14:paraId="16563E37">
                  <w:pPr>
                    <w:jc w:val="center"/>
                    <w:rPr>
                      <w:color w:val="auto"/>
                      <w:sz w:val="18"/>
                      <w:szCs w:val="18"/>
                    </w:rPr>
                  </w:pPr>
                </w:p>
              </w:tc>
              <w:tc>
                <w:tcPr>
                  <w:tcW w:w="447" w:type="pct"/>
                  <w:vMerge w:val="continue"/>
                  <w:tcBorders>
                    <w:tl2br w:val="nil"/>
                    <w:tr2bl w:val="nil"/>
                  </w:tcBorders>
                  <w:vAlign w:val="center"/>
                </w:tcPr>
                <w:p w14:paraId="059D8F5D">
                  <w:pPr>
                    <w:jc w:val="center"/>
                    <w:rPr>
                      <w:color w:val="auto"/>
                      <w:sz w:val="18"/>
                      <w:szCs w:val="18"/>
                    </w:rPr>
                  </w:pPr>
                </w:p>
              </w:tc>
              <w:tc>
                <w:tcPr>
                  <w:tcW w:w="417" w:type="pct"/>
                  <w:vMerge w:val="continue"/>
                  <w:tcBorders>
                    <w:tl2br w:val="nil"/>
                    <w:tr2bl w:val="nil"/>
                  </w:tcBorders>
                  <w:vAlign w:val="center"/>
                </w:tcPr>
                <w:p w14:paraId="08918BED">
                  <w:pPr>
                    <w:jc w:val="center"/>
                    <w:rPr>
                      <w:color w:val="auto"/>
                      <w:sz w:val="18"/>
                      <w:szCs w:val="18"/>
                    </w:rPr>
                  </w:pPr>
                </w:p>
              </w:tc>
              <w:tc>
                <w:tcPr>
                  <w:tcW w:w="456" w:type="pct"/>
                  <w:vMerge w:val="continue"/>
                  <w:tcBorders>
                    <w:tl2br w:val="nil"/>
                    <w:tr2bl w:val="nil"/>
                  </w:tcBorders>
                  <w:vAlign w:val="center"/>
                </w:tcPr>
                <w:p w14:paraId="52B1ABDC">
                  <w:pPr>
                    <w:jc w:val="center"/>
                    <w:rPr>
                      <w:color w:val="auto"/>
                      <w:spacing w:val="-20"/>
                      <w:sz w:val="18"/>
                      <w:szCs w:val="18"/>
                    </w:rPr>
                  </w:pPr>
                </w:p>
              </w:tc>
              <w:tc>
                <w:tcPr>
                  <w:tcW w:w="434" w:type="pct"/>
                  <w:vMerge w:val="continue"/>
                  <w:tcBorders>
                    <w:tl2br w:val="nil"/>
                    <w:tr2bl w:val="nil"/>
                  </w:tcBorders>
                  <w:vAlign w:val="center"/>
                </w:tcPr>
                <w:p w14:paraId="051AE992">
                  <w:pPr>
                    <w:jc w:val="center"/>
                    <w:rPr>
                      <w:color w:val="auto"/>
                      <w:sz w:val="18"/>
                      <w:szCs w:val="18"/>
                    </w:rPr>
                  </w:pPr>
                </w:p>
              </w:tc>
              <w:tc>
                <w:tcPr>
                  <w:tcW w:w="491" w:type="pct"/>
                  <w:vMerge w:val="continue"/>
                  <w:tcBorders>
                    <w:tl2br w:val="nil"/>
                    <w:tr2bl w:val="nil"/>
                  </w:tcBorders>
                  <w:vAlign w:val="center"/>
                </w:tcPr>
                <w:p w14:paraId="747F46ED">
                  <w:pPr>
                    <w:jc w:val="center"/>
                    <w:rPr>
                      <w:color w:val="auto"/>
                      <w:sz w:val="18"/>
                      <w:szCs w:val="18"/>
                    </w:rPr>
                  </w:pPr>
                </w:p>
              </w:tc>
            </w:tr>
          </w:tbl>
          <w:p w14:paraId="799AA5CD">
            <w:pPr>
              <w:adjustRightInd w:val="0"/>
              <w:snapToGrid w:val="0"/>
              <w:spacing w:line="460" w:lineRule="exact"/>
              <w:ind w:firstLine="425"/>
              <w:rPr>
                <w:rFonts w:hint="default" w:eastAsia="宋体"/>
                <w:color w:val="auto"/>
                <w:sz w:val="24"/>
                <w:lang w:val="en-US" w:eastAsia="zh-CN"/>
              </w:rPr>
            </w:pPr>
            <w:r>
              <w:rPr>
                <w:rFonts w:hint="eastAsia"/>
                <w:color w:val="auto"/>
                <w:sz w:val="24"/>
              </w:rPr>
              <w:t>（1）项目</w:t>
            </w:r>
            <w:r>
              <w:rPr>
                <w:rFonts w:hint="eastAsia"/>
                <w:color w:val="auto"/>
                <w:sz w:val="24"/>
                <w:lang w:val="en-US" w:eastAsia="zh-CN"/>
              </w:rPr>
              <w:t>在投料、混料区域设置密闭车间，投料、混料时保持全程密闭，废气经整体微负压进行收集，储料罐呼吸废气通过收集后的废气送入布袋除尘装置处理，净化后的气体在密闭车间内循环。废气收集效率按95%计，颗粒物净化效率按95%计，最终未经收集的粉尘沉降后（约80%）经人工清扫车间地面形成收集粉尘，剩余20%无组织排放至大气环境。</w:t>
            </w:r>
          </w:p>
          <w:p w14:paraId="67C36F58">
            <w:pPr>
              <w:wordWrap w:val="0"/>
              <w:autoSpaceDE w:val="0"/>
              <w:autoSpaceDN w:val="0"/>
              <w:adjustRightInd w:val="0"/>
              <w:snapToGrid w:val="0"/>
              <w:spacing w:line="460" w:lineRule="exact"/>
              <w:ind w:firstLine="425"/>
              <w:jc w:val="left"/>
              <w:rPr>
                <w:color w:val="auto"/>
                <w:sz w:val="24"/>
              </w:rPr>
            </w:pPr>
            <w:r>
              <w:rPr>
                <w:rFonts w:hint="eastAsia"/>
                <w:color w:val="auto"/>
                <w:sz w:val="24"/>
              </w:rPr>
              <w:t>（2）项目挤出废气经收集后进入一套二级活性炭吸附装置处理后通过15m高排气筒（DA00</w:t>
            </w:r>
            <w:r>
              <w:rPr>
                <w:rFonts w:hint="eastAsia"/>
                <w:color w:val="auto"/>
                <w:sz w:val="24"/>
                <w:lang w:val="en-US" w:eastAsia="zh-CN"/>
              </w:rPr>
              <w:t>1</w:t>
            </w:r>
            <w:r>
              <w:rPr>
                <w:rFonts w:hint="eastAsia"/>
                <w:color w:val="auto"/>
                <w:sz w:val="24"/>
              </w:rPr>
              <w:t>）高空排放</w:t>
            </w:r>
            <w:r>
              <w:rPr>
                <w:rFonts w:hint="eastAsia"/>
                <w:color w:val="auto"/>
                <w:sz w:val="24"/>
                <w:lang w:eastAsia="zh-CN"/>
              </w:rPr>
              <w:t>（本项目废气收集采用集气罩系统，并通过管道输送至后续处理单元。经核算，在充分考虑管道沿程的散热效应后，废气到达活性炭吸附箱入口时的温度可稳定控制在40℃以下。该温度工况满足活性炭吸附的最佳温度范围，可有效避免因废气温度过高导致的吸附效率衰减，确保了活性炭吸附装置的稳定高效运行）</w:t>
            </w:r>
            <w:r>
              <w:rPr>
                <w:rFonts w:hint="eastAsia"/>
                <w:color w:val="auto"/>
                <w:sz w:val="24"/>
              </w:rPr>
              <w:t>。项目共设有</w:t>
            </w:r>
            <w:r>
              <w:rPr>
                <w:rFonts w:hint="eastAsia"/>
                <w:color w:val="auto"/>
                <w:sz w:val="24"/>
                <w:lang w:val="en-US" w:eastAsia="zh-CN"/>
              </w:rPr>
              <w:t>8</w:t>
            </w:r>
            <w:r>
              <w:rPr>
                <w:rFonts w:hint="eastAsia"/>
                <w:color w:val="auto"/>
                <w:sz w:val="24"/>
              </w:rPr>
              <w:t>台挤塑机，项目拟在每台挤塑机挤出废气产生节点设置集气罩，集气罩尺寸为0.</w:t>
            </w:r>
            <w:r>
              <w:rPr>
                <w:rFonts w:hint="eastAsia"/>
                <w:color w:val="auto"/>
                <w:sz w:val="24"/>
                <w:lang w:val="en-US" w:eastAsia="zh-CN"/>
              </w:rPr>
              <w:t>5</w:t>
            </w:r>
            <w:r>
              <w:rPr>
                <w:rFonts w:hint="eastAsia"/>
                <w:color w:val="auto"/>
                <w:sz w:val="24"/>
              </w:rPr>
              <w:t>m×0.</w:t>
            </w:r>
            <w:r>
              <w:rPr>
                <w:rFonts w:hint="eastAsia"/>
                <w:color w:val="auto"/>
                <w:sz w:val="24"/>
                <w:lang w:val="en-US" w:eastAsia="zh-CN"/>
              </w:rPr>
              <w:t>5</w:t>
            </w:r>
            <w:r>
              <w:rPr>
                <w:rFonts w:hint="eastAsia"/>
                <w:color w:val="auto"/>
                <w:sz w:val="24"/>
              </w:rPr>
              <w:t>m，则</w:t>
            </w:r>
            <w:r>
              <w:rPr>
                <w:rFonts w:hint="eastAsia"/>
                <w:color w:val="auto"/>
                <w:sz w:val="24"/>
                <w:lang w:val="en-US" w:eastAsia="zh-CN"/>
              </w:rPr>
              <w:t>18</w:t>
            </w:r>
            <w:r>
              <w:rPr>
                <w:rFonts w:hint="eastAsia"/>
                <w:color w:val="auto"/>
                <w:sz w:val="24"/>
              </w:rPr>
              <w:t>个集气罩总面积为</w:t>
            </w:r>
            <w:r>
              <w:rPr>
                <w:rFonts w:hint="eastAsia"/>
                <w:color w:val="auto"/>
                <w:sz w:val="24"/>
                <w:lang w:val="en-US" w:eastAsia="zh-CN"/>
              </w:rPr>
              <w:t>4.5</w:t>
            </w:r>
            <w:r>
              <w:rPr>
                <w:rFonts w:hint="eastAsia"/>
                <w:color w:val="auto"/>
                <w:sz w:val="24"/>
              </w:rPr>
              <w:t>m</w:t>
            </w:r>
            <w:r>
              <w:rPr>
                <w:rFonts w:hint="eastAsia"/>
                <w:color w:val="auto"/>
                <w:sz w:val="24"/>
                <w:vertAlign w:val="superscript"/>
              </w:rPr>
              <w:t>2</w:t>
            </w:r>
            <w:r>
              <w:rPr>
                <w:rFonts w:hint="eastAsia"/>
                <w:color w:val="auto"/>
                <w:sz w:val="24"/>
              </w:rPr>
              <w:t>，集气风速约0.</w:t>
            </w:r>
            <w:r>
              <w:rPr>
                <w:rFonts w:hint="eastAsia"/>
                <w:color w:val="auto"/>
                <w:sz w:val="24"/>
                <w:lang w:val="en-US" w:eastAsia="zh-CN"/>
              </w:rPr>
              <w:t>6</w:t>
            </w:r>
            <w:r>
              <w:rPr>
                <w:rFonts w:hint="eastAsia"/>
                <w:color w:val="auto"/>
                <w:sz w:val="24"/>
              </w:rPr>
              <w:t>m/s，则风量为</w:t>
            </w:r>
            <w:r>
              <w:rPr>
                <w:rFonts w:hint="eastAsia"/>
                <w:color w:val="auto"/>
                <w:sz w:val="24"/>
                <w:lang w:val="en-US" w:eastAsia="zh-CN"/>
              </w:rPr>
              <w:t>9720</w:t>
            </w:r>
            <w:r>
              <w:rPr>
                <w:rFonts w:hint="eastAsia"/>
                <w:color w:val="auto"/>
                <w:sz w:val="24"/>
              </w:rPr>
              <w:t>m</w:t>
            </w:r>
            <w:r>
              <w:rPr>
                <w:rFonts w:hint="eastAsia"/>
                <w:color w:val="auto"/>
                <w:sz w:val="24"/>
                <w:vertAlign w:val="superscript"/>
              </w:rPr>
              <w:t>3</w:t>
            </w:r>
            <w:r>
              <w:rPr>
                <w:rFonts w:hint="eastAsia"/>
                <w:color w:val="auto"/>
                <w:sz w:val="24"/>
              </w:rPr>
              <w:t>/h（修约按</w:t>
            </w:r>
            <w:r>
              <w:rPr>
                <w:rFonts w:hint="eastAsia"/>
                <w:color w:val="auto"/>
                <w:sz w:val="24"/>
                <w:lang w:val="en-US" w:eastAsia="zh-CN"/>
              </w:rPr>
              <w:t>12000</w:t>
            </w:r>
            <w:r>
              <w:rPr>
                <w:rFonts w:hint="eastAsia"/>
                <w:color w:val="auto"/>
                <w:sz w:val="24"/>
              </w:rPr>
              <w:t>m</w:t>
            </w:r>
            <w:r>
              <w:rPr>
                <w:rFonts w:hint="eastAsia"/>
                <w:color w:val="auto"/>
                <w:sz w:val="24"/>
                <w:vertAlign w:val="superscript"/>
              </w:rPr>
              <w:t>3</w:t>
            </w:r>
            <w:r>
              <w:rPr>
                <w:rFonts w:hint="eastAsia"/>
                <w:color w:val="auto"/>
                <w:sz w:val="24"/>
              </w:rPr>
              <w:t>/h计），集气罩下方设置软帘，形成较密闭空间，收集效率以8</w:t>
            </w:r>
            <w:r>
              <w:rPr>
                <w:rFonts w:hint="eastAsia"/>
                <w:color w:val="auto"/>
                <w:sz w:val="24"/>
                <w:lang w:val="en-US" w:eastAsia="zh-CN"/>
              </w:rPr>
              <w:t>5</w:t>
            </w:r>
            <w:r>
              <w:rPr>
                <w:rFonts w:hint="eastAsia"/>
                <w:color w:val="auto"/>
                <w:sz w:val="24"/>
              </w:rPr>
              <w:t>%计，去除效率以75%计。</w:t>
            </w:r>
          </w:p>
          <w:p w14:paraId="4F936067">
            <w:pPr>
              <w:wordWrap w:val="0"/>
              <w:autoSpaceDE w:val="0"/>
              <w:autoSpaceDN w:val="0"/>
              <w:adjustRightInd w:val="0"/>
              <w:snapToGrid w:val="0"/>
              <w:spacing w:line="460" w:lineRule="exact"/>
              <w:ind w:firstLine="425"/>
              <w:jc w:val="left"/>
              <w:rPr>
                <w:color w:val="auto"/>
                <w:sz w:val="24"/>
              </w:rPr>
            </w:pPr>
            <w:r>
              <w:rPr>
                <w:color w:val="auto"/>
                <w:sz w:val="24"/>
              </w:rPr>
              <w:t>3、项目废气污染防治措施可行性分析</w:t>
            </w:r>
          </w:p>
          <w:p w14:paraId="63E63CA9">
            <w:pPr>
              <w:wordWrap w:val="0"/>
              <w:autoSpaceDE w:val="0"/>
              <w:autoSpaceDN w:val="0"/>
              <w:adjustRightInd w:val="0"/>
              <w:snapToGrid w:val="0"/>
              <w:spacing w:line="460" w:lineRule="exact"/>
              <w:ind w:firstLine="425"/>
              <w:jc w:val="left"/>
              <w:rPr>
                <w:color w:val="auto"/>
                <w:sz w:val="24"/>
              </w:rPr>
            </w:pPr>
            <w:r>
              <w:rPr>
                <w:rFonts w:hint="eastAsia"/>
                <w:color w:val="auto"/>
                <w:sz w:val="24"/>
              </w:rPr>
              <w:t>对照《排污许可证申请与核发技术规范 橡胶和塑料制品工业》（HJ1122-2020）中的表A.2塑料制品工业排污单位废气污染防治可行技术参考表，本项目选用的废气处理工艺采用推荐的布袋除尘工艺处理混料粉尘，二级活性炭吸附工艺处理挤出废气，具有针对性和合理性，因此属于可行技术，具体分析见下表。</w:t>
            </w:r>
          </w:p>
          <w:p w14:paraId="12B21928">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项目废气可行技术分析表</w:t>
            </w:r>
          </w:p>
          <w:tbl>
            <w:tblPr>
              <w:tblStyle w:val="184"/>
              <w:tblW w:w="4985" w:type="pct"/>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73"/>
              <w:gridCol w:w="1803"/>
              <w:gridCol w:w="4575"/>
              <w:gridCol w:w="2032"/>
              <w:gridCol w:w="1415"/>
            </w:tblGrid>
            <w:tr w14:paraId="6C0E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652" w:type="pct"/>
                  <w:gridSpan w:val="3"/>
                  <w:tcBorders>
                    <w:tl2br w:val="nil"/>
                    <w:tr2bl w:val="nil"/>
                  </w:tcBorders>
                  <w:vAlign w:val="center"/>
                </w:tcPr>
                <w:p w14:paraId="557BCD60">
                  <w:pPr>
                    <w:jc w:val="center"/>
                    <w:rPr>
                      <w:color w:val="auto"/>
                      <w:szCs w:val="21"/>
                    </w:rPr>
                  </w:pPr>
                  <w:r>
                    <w:rPr>
                      <w:rFonts w:hint="eastAsia"/>
                      <w:color w:val="auto"/>
                      <w:szCs w:val="21"/>
                    </w:rPr>
                    <w:t>《排污许可证申请与核发技术规范 橡胶和塑料制品工业》(HJ1122-2020)表A.2</w:t>
                  </w:r>
                </w:p>
              </w:tc>
              <w:tc>
                <w:tcPr>
                  <w:tcW w:w="794" w:type="pct"/>
                  <w:vMerge w:val="restart"/>
                  <w:tcBorders>
                    <w:tl2br w:val="nil"/>
                    <w:tr2bl w:val="nil"/>
                  </w:tcBorders>
                  <w:vAlign w:val="center"/>
                </w:tcPr>
                <w:p w14:paraId="0982BE69">
                  <w:pPr>
                    <w:jc w:val="center"/>
                    <w:rPr>
                      <w:color w:val="auto"/>
                      <w:szCs w:val="21"/>
                    </w:rPr>
                  </w:pPr>
                  <w:r>
                    <w:rPr>
                      <w:color w:val="auto"/>
                      <w:szCs w:val="21"/>
                    </w:rPr>
                    <w:t>项目使用技术</w:t>
                  </w:r>
                </w:p>
              </w:tc>
              <w:tc>
                <w:tcPr>
                  <w:tcW w:w="553" w:type="pct"/>
                  <w:vMerge w:val="restart"/>
                  <w:tcBorders>
                    <w:tl2br w:val="nil"/>
                    <w:tr2bl w:val="nil"/>
                  </w:tcBorders>
                  <w:vAlign w:val="center"/>
                </w:tcPr>
                <w:p w14:paraId="77CF7026">
                  <w:pPr>
                    <w:jc w:val="center"/>
                    <w:rPr>
                      <w:color w:val="auto"/>
                      <w:szCs w:val="21"/>
                    </w:rPr>
                  </w:pPr>
                  <w:r>
                    <w:rPr>
                      <w:rFonts w:hint="eastAsia"/>
                      <w:color w:val="auto"/>
                      <w:szCs w:val="21"/>
                    </w:rPr>
                    <w:t>是否属于可行技术</w:t>
                  </w:r>
                </w:p>
              </w:tc>
            </w:tr>
            <w:tr w14:paraId="649B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61" w:type="pct"/>
                  <w:tcBorders>
                    <w:tl2br w:val="nil"/>
                    <w:tr2bl w:val="nil"/>
                  </w:tcBorders>
                  <w:vAlign w:val="center"/>
                </w:tcPr>
                <w:p w14:paraId="7C1B17C4">
                  <w:pPr>
                    <w:jc w:val="center"/>
                    <w:rPr>
                      <w:color w:val="auto"/>
                      <w:szCs w:val="21"/>
                    </w:rPr>
                  </w:pPr>
                  <w:r>
                    <w:rPr>
                      <w:rFonts w:hint="eastAsia"/>
                      <w:color w:val="auto"/>
                      <w:szCs w:val="21"/>
                    </w:rPr>
                    <w:t>产排污环节</w:t>
                  </w:r>
                </w:p>
              </w:tc>
              <w:tc>
                <w:tcPr>
                  <w:tcW w:w="704" w:type="pct"/>
                  <w:tcBorders>
                    <w:tl2br w:val="nil"/>
                    <w:tr2bl w:val="nil"/>
                  </w:tcBorders>
                  <w:vAlign w:val="center"/>
                </w:tcPr>
                <w:p w14:paraId="366BC0DA">
                  <w:pPr>
                    <w:jc w:val="center"/>
                    <w:rPr>
                      <w:color w:val="auto"/>
                      <w:szCs w:val="21"/>
                    </w:rPr>
                  </w:pPr>
                  <w:r>
                    <w:rPr>
                      <w:rFonts w:hint="eastAsia"/>
                      <w:color w:val="auto"/>
                      <w:szCs w:val="21"/>
                    </w:rPr>
                    <w:t>主要</w:t>
                  </w:r>
                  <w:r>
                    <w:rPr>
                      <w:color w:val="auto"/>
                      <w:szCs w:val="21"/>
                    </w:rPr>
                    <w:t>污染物</w:t>
                  </w:r>
                </w:p>
              </w:tc>
              <w:tc>
                <w:tcPr>
                  <w:tcW w:w="1786" w:type="pct"/>
                  <w:tcBorders>
                    <w:tl2br w:val="nil"/>
                    <w:tr2bl w:val="nil"/>
                  </w:tcBorders>
                  <w:vAlign w:val="center"/>
                </w:tcPr>
                <w:p w14:paraId="5ED22E68">
                  <w:pPr>
                    <w:jc w:val="center"/>
                    <w:rPr>
                      <w:color w:val="auto"/>
                      <w:szCs w:val="21"/>
                    </w:rPr>
                  </w:pPr>
                  <w:r>
                    <w:rPr>
                      <w:color w:val="auto"/>
                      <w:szCs w:val="21"/>
                    </w:rPr>
                    <w:t>可行技术</w:t>
                  </w:r>
                </w:p>
              </w:tc>
              <w:tc>
                <w:tcPr>
                  <w:tcW w:w="794" w:type="pct"/>
                  <w:vMerge w:val="continue"/>
                  <w:tcBorders>
                    <w:tl2br w:val="nil"/>
                    <w:tr2bl w:val="nil"/>
                  </w:tcBorders>
                  <w:vAlign w:val="center"/>
                </w:tcPr>
                <w:p w14:paraId="404B2300">
                  <w:pPr>
                    <w:jc w:val="center"/>
                    <w:rPr>
                      <w:color w:val="auto"/>
                      <w:szCs w:val="21"/>
                    </w:rPr>
                  </w:pPr>
                </w:p>
              </w:tc>
              <w:tc>
                <w:tcPr>
                  <w:tcW w:w="553" w:type="pct"/>
                  <w:vMerge w:val="continue"/>
                  <w:tcBorders>
                    <w:tl2br w:val="nil"/>
                    <w:tr2bl w:val="nil"/>
                  </w:tcBorders>
                  <w:vAlign w:val="center"/>
                </w:tcPr>
                <w:p w14:paraId="1D8A7AF6">
                  <w:pPr>
                    <w:jc w:val="center"/>
                    <w:rPr>
                      <w:color w:val="auto"/>
                      <w:szCs w:val="21"/>
                    </w:rPr>
                  </w:pPr>
                </w:p>
              </w:tc>
            </w:tr>
            <w:tr w14:paraId="459F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61" w:type="pct"/>
                  <w:vMerge w:val="restart"/>
                  <w:tcBorders>
                    <w:tl2br w:val="nil"/>
                    <w:tr2bl w:val="nil"/>
                  </w:tcBorders>
                  <w:vAlign w:val="center"/>
                </w:tcPr>
                <w:p w14:paraId="4FA7389C">
                  <w:pPr>
                    <w:jc w:val="center"/>
                    <w:rPr>
                      <w:color w:val="auto"/>
                      <w:szCs w:val="21"/>
                    </w:rPr>
                  </w:pPr>
                  <w:r>
                    <w:rPr>
                      <w:rFonts w:hint="eastAsia"/>
                      <w:color w:val="auto"/>
                      <w:szCs w:val="21"/>
                    </w:rPr>
                    <w:t>塑料薄膜制造，塑料板、管、型材制造，塑料丝、绳及编制品制造，泡沫塑料制造，塑料包装箱及容器制造，日用塑料制品制造，人造草坪制造，塑料零件及其他塑料制品制造废气</w:t>
                  </w:r>
                </w:p>
              </w:tc>
              <w:tc>
                <w:tcPr>
                  <w:tcW w:w="704" w:type="pct"/>
                  <w:tcBorders>
                    <w:tl2br w:val="nil"/>
                    <w:tr2bl w:val="nil"/>
                  </w:tcBorders>
                  <w:vAlign w:val="center"/>
                </w:tcPr>
                <w:p w14:paraId="5D338C97">
                  <w:pPr>
                    <w:jc w:val="center"/>
                    <w:rPr>
                      <w:color w:val="auto"/>
                      <w:szCs w:val="21"/>
                    </w:rPr>
                  </w:pPr>
                  <w:r>
                    <w:rPr>
                      <w:color w:val="auto"/>
                    </w:rPr>
                    <w:t>颗粒物</w:t>
                  </w:r>
                </w:p>
              </w:tc>
              <w:tc>
                <w:tcPr>
                  <w:tcW w:w="1786" w:type="pct"/>
                  <w:tcBorders>
                    <w:tl2br w:val="nil"/>
                    <w:tr2bl w:val="nil"/>
                  </w:tcBorders>
                  <w:vAlign w:val="center"/>
                </w:tcPr>
                <w:p w14:paraId="1DA5677B">
                  <w:pPr>
                    <w:jc w:val="center"/>
                    <w:rPr>
                      <w:color w:val="auto"/>
                      <w:szCs w:val="21"/>
                    </w:rPr>
                  </w:pPr>
                  <w:r>
                    <w:rPr>
                      <w:color w:val="auto"/>
                    </w:rPr>
                    <w:t>袋式除尘；滤筒/滤芯除尘</w:t>
                  </w:r>
                </w:p>
              </w:tc>
              <w:tc>
                <w:tcPr>
                  <w:tcW w:w="794" w:type="pct"/>
                  <w:tcBorders>
                    <w:tl2br w:val="nil"/>
                    <w:tr2bl w:val="nil"/>
                  </w:tcBorders>
                  <w:vAlign w:val="center"/>
                </w:tcPr>
                <w:p w14:paraId="6D7F9F5D">
                  <w:pPr>
                    <w:jc w:val="center"/>
                    <w:rPr>
                      <w:color w:val="auto"/>
                      <w:szCs w:val="21"/>
                    </w:rPr>
                  </w:pPr>
                  <w:r>
                    <w:rPr>
                      <w:color w:val="auto"/>
                      <w:kern w:val="0"/>
                      <w:lang w:bidi="ar"/>
                    </w:rPr>
                    <w:t>布袋除尘处理</w:t>
                  </w:r>
                </w:p>
              </w:tc>
              <w:tc>
                <w:tcPr>
                  <w:tcW w:w="553" w:type="pct"/>
                  <w:tcBorders>
                    <w:tl2br w:val="nil"/>
                    <w:tr2bl w:val="nil"/>
                  </w:tcBorders>
                  <w:vAlign w:val="center"/>
                </w:tcPr>
                <w:p w14:paraId="5411B024">
                  <w:pPr>
                    <w:jc w:val="center"/>
                    <w:rPr>
                      <w:color w:val="auto"/>
                      <w:szCs w:val="21"/>
                    </w:rPr>
                  </w:pPr>
                  <w:r>
                    <w:rPr>
                      <w:rFonts w:hint="eastAsia"/>
                      <w:color w:val="auto"/>
                      <w:szCs w:val="21"/>
                    </w:rPr>
                    <w:t>是</w:t>
                  </w:r>
                </w:p>
              </w:tc>
            </w:tr>
            <w:tr w14:paraId="0FE3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61" w:type="pct"/>
                  <w:vMerge w:val="continue"/>
                  <w:tcBorders>
                    <w:tl2br w:val="nil"/>
                    <w:tr2bl w:val="nil"/>
                  </w:tcBorders>
                  <w:vAlign w:val="center"/>
                </w:tcPr>
                <w:p w14:paraId="0631068C">
                  <w:pPr>
                    <w:jc w:val="center"/>
                    <w:rPr>
                      <w:color w:val="auto"/>
                      <w:szCs w:val="21"/>
                    </w:rPr>
                  </w:pPr>
                </w:p>
              </w:tc>
              <w:tc>
                <w:tcPr>
                  <w:tcW w:w="704" w:type="pct"/>
                  <w:tcBorders>
                    <w:tl2br w:val="nil"/>
                    <w:tr2bl w:val="nil"/>
                  </w:tcBorders>
                  <w:vAlign w:val="center"/>
                </w:tcPr>
                <w:p w14:paraId="21D4E4BB">
                  <w:pPr>
                    <w:jc w:val="center"/>
                    <w:rPr>
                      <w:color w:val="auto"/>
                      <w:szCs w:val="21"/>
                    </w:rPr>
                  </w:pPr>
                  <w:r>
                    <w:rPr>
                      <w:color w:val="auto"/>
                    </w:rPr>
                    <w:t>非甲烷总烃</w:t>
                  </w:r>
                </w:p>
              </w:tc>
              <w:tc>
                <w:tcPr>
                  <w:tcW w:w="1786" w:type="pct"/>
                  <w:tcBorders>
                    <w:tl2br w:val="nil"/>
                    <w:tr2bl w:val="nil"/>
                  </w:tcBorders>
                  <w:vAlign w:val="center"/>
                </w:tcPr>
                <w:p w14:paraId="7F57926D">
                  <w:pPr>
                    <w:jc w:val="center"/>
                    <w:rPr>
                      <w:color w:val="auto"/>
                      <w:szCs w:val="21"/>
                    </w:rPr>
                  </w:pPr>
                  <w:r>
                    <w:rPr>
                      <w:color w:val="auto"/>
                    </w:rPr>
                    <w:t>喷淋；吸附；吸附浓缩+热力燃烧/催化燃烧</w:t>
                  </w:r>
                </w:p>
              </w:tc>
              <w:tc>
                <w:tcPr>
                  <w:tcW w:w="794" w:type="pct"/>
                  <w:vMerge w:val="restart"/>
                  <w:tcBorders>
                    <w:tl2br w:val="nil"/>
                    <w:tr2bl w:val="nil"/>
                  </w:tcBorders>
                  <w:vAlign w:val="center"/>
                </w:tcPr>
                <w:p w14:paraId="5D995E26">
                  <w:pPr>
                    <w:jc w:val="center"/>
                    <w:rPr>
                      <w:color w:val="auto"/>
                      <w:szCs w:val="21"/>
                    </w:rPr>
                  </w:pPr>
                  <w:r>
                    <w:rPr>
                      <w:color w:val="auto"/>
                      <w:kern w:val="0"/>
                      <w:lang w:bidi="ar"/>
                    </w:rPr>
                    <w:t>两级活性炭吸附处理</w:t>
                  </w:r>
                </w:p>
              </w:tc>
              <w:tc>
                <w:tcPr>
                  <w:tcW w:w="553" w:type="pct"/>
                  <w:vMerge w:val="restart"/>
                  <w:tcBorders>
                    <w:tl2br w:val="nil"/>
                    <w:tr2bl w:val="nil"/>
                  </w:tcBorders>
                  <w:vAlign w:val="center"/>
                </w:tcPr>
                <w:p w14:paraId="5FBDD010">
                  <w:pPr>
                    <w:jc w:val="center"/>
                    <w:rPr>
                      <w:color w:val="auto"/>
                      <w:szCs w:val="21"/>
                    </w:rPr>
                  </w:pPr>
                  <w:r>
                    <w:rPr>
                      <w:rFonts w:hint="eastAsia"/>
                      <w:color w:val="auto"/>
                      <w:szCs w:val="21"/>
                    </w:rPr>
                    <w:t>是</w:t>
                  </w:r>
                </w:p>
              </w:tc>
            </w:tr>
            <w:tr w14:paraId="08AD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161" w:type="pct"/>
                  <w:vMerge w:val="continue"/>
                  <w:tcBorders>
                    <w:tl2br w:val="nil"/>
                    <w:tr2bl w:val="nil"/>
                  </w:tcBorders>
                  <w:vAlign w:val="center"/>
                </w:tcPr>
                <w:p w14:paraId="34B2C809">
                  <w:pPr>
                    <w:jc w:val="center"/>
                    <w:rPr>
                      <w:color w:val="auto"/>
                      <w:szCs w:val="21"/>
                    </w:rPr>
                  </w:pPr>
                </w:p>
              </w:tc>
              <w:tc>
                <w:tcPr>
                  <w:tcW w:w="704" w:type="pct"/>
                  <w:tcBorders>
                    <w:tl2br w:val="nil"/>
                    <w:tr2bl w:val="nil"/>
                  </w:tcBorders>
                  <w:vAlign w:val="center"/>
                </w:tcPr>
                <w:p w14:paraId="49B0CE25">
                  <w:pPr>
                    <w:jc w:val="center"/>
                    <w:rPr>
                      <w:color w:val="auto"/>
                      <w:szCs w:val="21"/>
                    </w:rPr>
                  </w:pPr>
                  <w:r>
                    <w:rPr>
                      <w:color w:val="auto"/>
                    </w:rPr>
                    <w:t>臭气浓度、恶臭特征物质</w:t>
                  </w:r>
                </w:p>
              </w:tc>
              <w:tc>
                <w:tcPr>
                  <w:tcW w:w="1786" w:type="pct"/>
                  <w:tcBorders>
                    <w:tl2br w:val="nil"/>
                    <w:tr2bl w:val="nil"/>
                  </w:tcBorders>
                  <w:vAlign w:val="center"/>
                </w:tcPr>
                <w:p w14:paraId="1EE14938">
                  <w:pPr>
                    <w:jc w:val="center"/>
                    <w:rPr>
                      <w:color w:val="auto"/>
                      <w:szCs w:val="21"/>
                    </w:rPr>
                  </w:pPr>
                  <w:r>
                    <w:rPr>
                      <w:color w:val="auto"/>
                    </w:rPr>
                    <w:t>喷淋、吸附、低温等离子体、UV光氧化/光催化、生物法两种及以上组合技术</w:t>
                  </w:r>
                </w:p>
              </w:tc>
              <w:tc>
                <w:tcPr>
                  <w:tcW w:w="794" w:type="pct"/>
                  <w:vMerge w:val="continue"/>
                  <w:tcBorders>
                    <w:tl2br w:val="nil"/>
                    <w:tr2bl w:val="nil"/>
                  </w:tcBorders>
                  <w:vAlign w:val="center"/>
                </w:tcPr>
                <w:p w14:paraId="43C2B2C6">
                  <w:pPr>
                    <w:jc w:val="center"/>
                    <w:rPr>
                      <w:color w:val="auto"/>
                      <w:szCs w:val="21"/>
                    </w:rPr>
                  </w:pPr>
                </w:p>
              </w:tc>
              <w:tc>
                <w:tcPr>
                  <w:tcW w:w="553" w:type="pct"/>
                  <w:vMerge w:val="continue"/>
                  <w:tcBorders>
                    <w:tl2br w:val="nil"/>
                    <w:tr2bl w:val="nil"/>
                  </w:tcBorders>
                  <w:vAlign w:val="center"/>
                </w:tcPr>
                <w:p w14:paraId="1F513012">
                  <w:pPr>
                    <w:jc w:val="center"/>
                    <w:rPr>
                      <w:color w:val="auto"/>
                      <w:szCs w:val="21"/>
                    </w:rPr>
                  </w:pPr>
                </w:p>
              </w:tc>
            </w:tr>
          </w:tbl>
          <w:p w14:paraId="12EC271E">
            <w:pPr>
              <w:wordWrap w:val="0"/>
              <w:autoSpaceDE w:val="0"/>
              <w:autoSpaceDN w:val="0"/>
              <w:adjustRightInd w:val="0"/>
              <w:snapToGrid w:val="0"/>
              <w:spacing w:line="460" w:lineRule="exact"/>
              <w:ind w:firstLine="425"/>
              <w:jc w:val="left"/>
              <w:rPr>
                <w:color w:val="auto"/>
                <w:sz w:val="24"/>
              </w:rPr>
            </w:pPr>
            <w:r>
              <w:rPr>
                <w:rFonts w:hint="eastAsia"/>
                <w:color w:val="auto"/>
                <w:sz w:val="24"/>
              </w:rPr>
              <w:t>4、废气排放情况</w:t>
            </w:r>
          </w:p>
          <w:p w14:paraId="08A55343">
            <w:pPr>
              <w:wordWrap w:val="0"/>
              <w:autoSpaceDE w:val="0"/>
              <w:autoSpaceDN w:val="0"/>
              <w:adjustRightInd w:val="0"/>
              <w:snapToGrid w:val="0"/>
              <w:spacing w:line="460" w:lineRule="exact"/>
              <w:ind w:firstLine="425"/>
              <w:jc w:val="left"/>
              <w:rPr>
                <w:color w:val="auto"/>
                <w:sz w:val="24"/>
              </w:rPr>
            </w:pPr>
            <w:r>
              <w:rPr>
                <w:rFonts w:hint="eastAsia"/>
                <w:color w:val="auto"/>
                <w:sz w:val="24"/>
              </w:rPr>
              <w:t>（1）正常工况下废气排放及达标分析</w:t>
            </w:r>
          </w:p>
          <w:p w14:paraId="4977EF01">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项目有组织废气排放及达标情况一览表</w:t>
            </w:r>
          </w:p>
          <w:tbl>
            <w:tblPr>
              <w:tblStyle w:val="88"/>
              <w:tblW w:w="497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892"/>
              <w:gridCol w:w="1385"/>
              <w:gridCol w:w="864"/>
              <w:gridCol w:w="863"/>
              <w:gridCol w:w="743"/>
              <w:gridCol w:w="674"/>
              <w:gridCol w:w="638"/>
              <w:gridCol w:w="881"/>
              <w:gridCol w:w="817"/>
              <w:gridCol w:w="743"/>
              <w:gridCol w:w="1639"/>
              <w:gridCol w:w="1082"/>
              <w:gridCol w:w="1003"/>
              <w:gridCol w:w="539"/>
            </w:tblGrid>
            <w:tr w14:paraId="7C992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9" w:type="pct"/>
                  <w:vMerge w:val="restart"/>
                  <w:tcBorders>
                    <w:tl2br w:val="nil"/>
                    <w:tr2bl w:val="nil"/>
                  </w:tcBorders>
                  <w:vAlign w:val="center"/>
                </w:tcPr>
                <w:p w14:paraId="1918E603">
                  <w:pPr>
                    <w:jc w:val="center"/>
                    <w:rPr>
                      <w:color w:val="auto"/>
                      <w:sz w:val="18"/>
                      <w:szCs w:val="18"/>
                    </w:rPr>
                  </w:pPr>
                  <w:r>
                    <w:rPr>
                      <w:color w:val="auto"/>
                      <w:sz w:val="18"/>
                      <w:szCs w:val="18"/>
                    </w:rPr>
                    <w:t>排放口</w:t>
                  </w:r>
                </w:p>
                <w:p w14:paraId="6B3CC319">
                  <w:pPr>
                    <w:jc w:val="center"/>
                    <w:rPr>
                      <w:color w:val="auto"/>
                      <w:sz w:val="18"/>
                      <w:szCs w:val="18"/>
                    </w:rPr>
                  </w:pPr>
                  <w:r>
                    <w:rPr>
                      <w:color w:val="auto"/>
                      <w:sz w:val="18"/>
                      <w:szCs w:val="18"/>
                    </w:rPr>
                    <w:t>编号</w:t>
                  </w:r>
                </w:p>
              </w:tc>
              <w:tc>
                <w:tcPr>
                  <w:tcW w:w="542" w:type="pct"/>
                  <w:vMerge w:val="restart"/>
                  <w:tcBorders>
                    <w:tl2br w:val="nil"/>
                    <w:tr2bl w:val="nil"/>
                  </w:tcBorders>
                  <w:vAlign w:val="center"/>
                </w:tcPr>
                <w:p w14:paraId="15159743">
                  <w:pPr>
                    <w:jc w:val="center"/>
                    <w:rPr>
                      <w:color w:val="auto"/>
                      <w:sz w:val="18"/>
                      <w:szCs w:val="18"/>
                    </w:rPr>
                  </w:pPr>
                  <w:r>
                    <w:rPr>
                      <w:color w:val="auto"/>
                      <w:sz w:val="18"/>
                      <w:szCs w:val="18"/>
                    </w:rPr>
                    <w:t>污染物</w:t>
                  </w:r>
                </w:p>
              </w:tc>
              <w:tc>
                <w:tcPr>
                  <w:tcW w:w="338" w:type="pct"/>
                  <w:tcBorders>
                    <w:tl2br w:val="nil"/>
                    <w:tr2bl w:val="nil"/>
                  </w:tcBorders>
                  <w:vAlign w:val="center"/>
                </w:tcPr>
                <w:p w14:paraId="78589E82">
                  <w:pPr>
                    <w:jc w:val="center"/>
                    <w:rPr>
                      <w:color w:val="auto"/>
                      <w:sz w:val="18"/>
                      <w:szCs w:val="18"/>
                    </w:rPr>
                  </w:pPr>
                  <w:r>
                    <w:rPr>
                      <w:color w:val="auto"/>
                      <w:sz w:val="18"/>
                      <w:szCs w:val="18"/>
                    </w:rPr>
                    <w:t>产生情况</w:t>
                  </w:r>
                </w:p>
              </w:tc>
              <w:tc>
                <w:tcPr>
                  <w:tcW w:w="893" w:type="pct"/>
                  <w:gridSpan w:val="3"/>
                  <w:tcBorders>
                    <w:tl2br w:val="nil"/>
                    <w:tr2bl w:val="nil"/>
                  </w:tcBorders>
                  <w:vAlign w:val="center"/>
                </w:tcPr>
                <w:p w14:paraId="7AC5D1C4">
                  <w:pPr>
                    <w:jc w:val="center"/>
                    <w:rPr>
                      <w:color w:val="auto"/>
                      <w:sz w:val="18"/>
                      <w:szCs w:val="18"/>
                    </w:rPr>
                  </w:pPr>
                  <w:r>
                    <w:rPr>
                      <w:color w:val="auto"/>
                      <w:sz w:val="18"/>
                      <w:szCs w:val="18"/>
                    </w:rPr>
                    <w:t>收集及处理效率</w:t>
                  </w:r>
                </w:p>
              </w:tc>
              <w:tc>
                <w:tcPr>
                  <w:tcW w:w="915" w:type="pct"/>
                  <w:gridSpan w:val="3"/>
                  <w:tcBorders>
                    <w:tl2br w:val="nil"/>
                    <w:tr2bl w:val="nil"/>
                  </w:tcBorders>
                  <w:vAlign w:val="center"/>
                </w:tcPr>
                <w:p w14:paraId="120D45D1">
                  <w:pPr>
                    <w:jc w:val="center"/>
                    <w:rPr>
                      <w:color w:val="auto"/>
                      <w:sz w:val="18"/>
                      <w:szCs w:val="18"/>
                    </w:rPr>
                  </w:pPr>
                  <w:r>
                    <w:rPr>
                      <w:color w:val="auto"/>
                      <w:sz w:val="18"/>
                      <w:szCs w:val="18"/>
                    </w:rPr>
                    <w:t>有组织排放</w:t>
                  </w:r>
                </w:p>
              </w:tc>
              <w:tc>
                <w:tcPr>
                  <w:tcW w:w="291" w:type="pct"/>
                  <w:vMerge w:val="restart"/>
                  <w:tcBorders>
                    <w:tl2br w:val="nil"/>
                    <w:tr2bl w:val="nil"/>
                  </w:tcBorders>
                  <w:vAlign w:val="center"/>
                </w:tcPr>
                <w:p w14:paraId="223C0EE9">
                  <w:pPr>
                    <w:jc w:val="center"/>
                    <w:rPr>
                      <w:color w:val="auto"/>
                      <w:sz w:val="18"/>
                      <w:szCs w:val="18"/>
                    </w:rPr>
                  </w:pPr>
                  <w:r>
                    <w:rPr>
                      <w:color w:val="auto"/>
                      <w:sz w:val="18"/>
                      <w:szCs w:val="18"/>
                    </w:rPr>
                    <w:t>排放</w:t>
                  </w:r>
                </w:p>
                <w:p w14:paraId="7514CC05">
                  <w:pPr>
                    <w:jc w:val="center"/>
                    <w:rPr>
                      <w:color w:val="auto"/>
                      <w:sz w:val="18"/>
                      <w:szCs w:val="18"/>
                    </w:rPr>
                  </w:pPr>
                  <w:r>
                    <w:rPr>
                      <w:color w:val="auto"/>
                      <w:sz w:val="18"/>
                      <w:szCs w:val="18"/>
                    </w:rPr>
                    <w:t>时间</w:t>
                  </w:r>
                </w:p>
                <w:p w14:paraId="39E3D1AE">
                  <w:pPr>
                    <w:jc w:val="center"/>
                    <w:rPr>
                      <w:color w:val="auto"/>
                      <w:sz w:val="18"/>
                      <w:szCs w:val="18"/>
                    </w:rPr>
                  </w:pPr>
                  <w:r>
                    <w:rPr>
                      <w:color w:val="auto"/>
                      <w:sz w:val="18"/>
                      <w:szCs w:val="18"/>
                    </w:rPr>
                    <w:t>/h</w:t>
                  </w:r>
                </w:p>
              </w:tc>
              <w:tc>
                <w:tcPr>
                  <w:tcW w:w="1458" w:type="pct"/>
                  <w:gridSpan w:val="3"/>
                  <w:tcBorders>
                    <w:tl2br w:val="nil"/>
                    <w:tr2bl w:val="nil"/>
                  </w:tcBorders>
                  <w:vAlign w:val="center"/>
                </w:tcPr>
                <w:p w14:paraId="73EFCF68">
                  <w:pPr>
                    <w:jc w:val="center"/>
                    <w:rPr>
                      <w:color w:val="auto"/>
                      <w:sz w:val="18"/>
                      <w:szCs w:val="18"/>
                    </w:rPr>
                  </w:pPr>
                  <w:r>
                    <w:rPr>
                      <w:color w:val="auto"/>
                      <w:sz w:val="18"/>
                      <w:szCs w:val="18"/>
                    </w:rPr>
                    <w:t>执行标准*</w:t>
                  </w:r>
                </w:p>
              </w:tc>
              <w:tc>
                <w:tcPr>
                  <w:tcW w:w="211" w:type="pct"/>
                  <w:vMerge w:val="restart"/>
                  <w:tcBorders>
                    <w:tl2br w:val="nil"/>
                    <w:tr2bl w:val="nil"/>
                  </w:tcBorders>
                  <w:vAlign w:val="center"/>
                </w:tcPr>
                <w:p w14:paraId="51F4C8C2">
                  <w:pPr>
                    <w:jc w:val="center"/>
                    <w:rPr>
                      <w:color w:val="auto"/>
                      <w:sz w:val="18"/>
                      <w:szCs w:val="18"/>
                    </w:rPr>
                  </w:pPr>
                  <w:r>
                    <w:rPr>
                      <w:color w:val="auto"/>
                      <w:sz w:val="18"/>
                      <w:szCs w:val="18"/>
                    </w:rPr>
                    <w:t>达标</w:t>
                  </w:r>
                </w:p>
                <w:p w14:paraId="36C69D9C">
                  <w:pPr>
                    <w:jc w:val="center"/>
                    <w:rPr>
                      <w:color w:val="auto"/>
                      <w:sz w:val="18"/>
                      <w:szCs w:val="18"/>
                    </w:rPr>
                  </w:pPr>
                  <w:r>
                    <w:rPr>
                      <w:color w:val="auto"/>
                      <w:sz w:val="18"/>
                      <w:szCs w:val="18"/>
                    </w:rPr>
                    <w:t>情况</w:t>
                  </w:r>
                </w:p>
              </w:tc>
            </w:tr>
            <w:tr w14:paraId="6968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9" w:type="pct"/>
                  <w:vMerge w:val="continue"/>
                  <w:tcBorders>
                    <w:tl2br w:val="nil"/>
                    <w:tr2bl w:val="nil"/>
                  </w:tcBorders>
                  <w:vAlign w:val="center"/>
                </w:tcPr>
                <w:p w14:paraId="1AC917EB">
                  <w:pPr>
                    <w:jc w:val="center"/>
                    <w:rPr>
                      <w:color w:val="auto"/>
                      <w:sz w:val="18"/>
                      <w:szCs w:val="18"/>
                    </w:rPr>
                  </w:pPr>
                </w:p>
              </w:tc>
              <w:tc>
                <w:tcPr>
                  <w:tcW w:w="542" w:type="pct"/>
                  <w:vMerge w:val="continue"/>
                  <w:tcBorders>
                    <w:tl2br w:val="nil"/>
                    <w:tr2bl w:val="nil"/>
                  </w:tcBorders>
                  <w:vAlign w:val="center"/>
                </w:tcPr>
                <w:p w14:paraId="2FA74267">
                  <w:pPr>
                    <w:jc w:val="center"/>
                    <w:rPr>
                      <w:color w:val="auto"/>
                      <w:sz w:val="18"/>
                      <w:szCs w:val="18"/>
                    </w:rPr>
                  </w:pPr>
                </w:p>
              </w:tc>
              <w:tc>
                <w:tcPr>
                  <w:tcW w:w="338" w:type="pct"/>
                  <w:tcBorders>
                    <w:tl2br w:val="nil"/>
                    <w:tr2bl w:val="nil"/>
                  </w:tcBorders>
                  <w:vAlign w:val="center"/>
                </w:tcPr>
                <w:p w14:paraId="3EAB2D74">
                  <w:pPr>
                    <w:jc w:val="center"/>
                    <w:rPr>
                      <w:color w:val="auto"/>
                      <w:sz w:val="18"/>
                      <w:szCs w:val="18"/>
                    </w:rPr>
                  </w:pPr>
                  <w:r>
                    <w:rPr>
                      <w:color w:val="auto"/>
                      <w:sz w:val="18"/>
                      <w:szCs w:val="18"/>
                    </w:rPr>
                    <w:t>产生量</w:t>
                  </w:r>
                </w:p>
                <w:p w14:paraId="47FB9248">
                  <w:pPr>
                    <w:jc w:val="center"/>
                    <w:rPr>
                      <w:color w:val="auto"/>
                      <w:sz w:val="18"/>
                      <w:szCs w:val="18"/>
                    </w:rPr>
                  </w:pPr>
                  <w:r>
                    <w:rPr>
                      <w:color w:val="auto"/>
                      <w:sz w:val="18"/>
                      <w:szCs w:val="18"/>
                    </w:rPr>
                    <w:t>t/a</w:t>
                  </w:r>
                </w:p>
              </w:tc>
              <w:tc>
                <w:tcPr>
                  <w:tcW w:w="338" w:type="pct"/>
                  <w:tcBorders>
                    <w:tl2br w:val="nil"/>
                    <w:tr2bl w:val="nil"/>
                  </w:tcBorders>
                  <w:vAlign w:val="center"/>
                </w:tcPr>
                <w:p w14:paraId="1927B784">
                  <w:pPr>
                    <w:jc w:val="center"/>
                    <w:rPr>
                      <w:color w:val="auto"/>
                      <w:sz w:val="18"/>
                      <w:szCs w:val="18"/>
                    </w:rPr>
                  </w:pPr>
                  <w:r>
                    <w:rPr>
                      <w:color w:val="auto"/>
                      <w:sz w:val="18"/>
                      <w:szCs w:val="18"/>
                    </w:rPr>
                    <w:t>风量</w:t>
                  </w:r>
                </w:p>
                <w:p w14:paraId="23B7F0E3">
                  <w:pPr>
                    <w:jc w:val="center"/>
                    <w:rPr>
                      <w:color w:val="auto"/>
                      <w:sz w:val="18"/>
                      <w:szCs w:val="18"/>
                    </w:rPr>
                  </w:pPr>
                  <w:r>
                    <w:rPr>
                      <w:color w:val="auto"/>
                      <w:sz w:val="18"/>
                      <w:szCs w:val="18"/>
                    </w:rPr>
                    <w:t>m</w:t>
                  </w:r>
                  <w:r>
                    <w:rPr>
                      <w:color w:val="auto"/>
                      <w:sz w:val="18"/>
                      <w:szCs w:val="18"/>
                      <w:vertAlign w:val="superscript"/>
                    </w:rPr>
                    <w:t>3</w:t>
                  </w:r>
                  <w:r>
                    <w:rPr>
                      <w:color w:val="auto"/>
                      <w:sz w:val="18"/>
                      <w:szCs w:val="18"/>
                    </w:rPr>
                    <w:t>/h</w:t>
                  </w:r>
                </w:p>
              </w:tc>
              <w:tc>
                <w:tcPr>
                  <w:tcW w:w="291" w:type="pct"/>
                  <w:tcBorders>
                    <w:tl2br w:val="nil"/>
                    <w:tr2bl w:val="nil"/>
                  </w:tcBorders>
                  <w:vAlign w:val="center"/>
                </w:tcPr>
                <w:p w14:paraId="62A0F533">
                  <w:pPr>
                    <w:jc w:val="center"/>
                    <w:rPr>
                      <w:color w:val="auto"/>
                      <w:sz w:val="18"/>
                      <w:szCs w:val="18"/>
                    </w:rPr>
                  </w:pPr>
                  <w:r>
                    <w:rPr>
                      <w:color w:val="auto"/>
                      <w:sz w:val="18"/>
                      <w:szCs w:val="18"/>
                    </w:rPr>
                    <w:t>收集效率%</w:t>
                  </w:r>
                </w:p>
              </w:tc>
              <w:tc>
                <w:tcPr>
                  <w:tcW w:w="264" w:type="pct"/>
                  <w:tcBorders>
                    <w:tl2br w:val="nil"/>
                    <w:tr2bl w:val="nil"/>
                  </w:tcBorders>
                  <w:vAlign w:val="center"/>
                </w:tcPr>
                <w:p w14:paraId="53EBA355">
                  <w:pPr>
                    <w:jc w:val="center"/>
                    <w:rPr>
                      <w:color w:val="auto"/>
                      <w:sz w:val="18"/>
                      <w:szCs w:val="18"/>
                    </w:rPr>
                  </w:pPr>
                  <w:r>
                    <w:rPr>
                      <w:color w:val="auto"/>
                      <w:sz w:val="18"/>
                      <w:szCs w:val="18"/>
                    </w:rPr>
                    <w:t>处理效率%</w:t>
                  </w:r>
                </w:p>
              </w:tc>
              <w:tc>
                <w:tcPr>
                  <w:tcW w:w="249" w:type="pct"/>
                  <w:tcBorders>
                    <w:tl2br w:val="nil"/>
                    <w:tr2bl w:val="nil"/>
                  </w:tcBorders>
                  <w:vAlign w:val="center"/>
                </w:tcPr>
                <w:p w14:paraId="11E5CCBF">
                  <w:pPr>
                    <w:jc w:val="center"/>
                    <w:rPr>
                      <w:color w:val="auto"/>
                      <w:sz w:val="18"/>
                      <w:szCs w:val="18"/>
                    </w:rPr>
                  </w:pPr>
                  <w:r>
                    <w:rPr>
                      <w:color w:val="auto"/>
                      <w:sz w:val="18"/>
                      <w:szCs w:val="18"/>
                    </w:rPr>
                    <w:t>量</w:t>
                  </w:r>
                </w:p>
                <w:p w14:paraId="37EC7F33">
                  <w:pPr>
                    <w:jc w:val="center"/>
                    <w:rPr>
                      <w:color w:val="auto"/>
                      <w:sz w:val="18"/>
                      <w:szCs w:val="18"/>
                    </w:rPr>
                  </w:pPr>
                  <w:r>
                    <w:rPr>
                      <w:color w:val="auto"/>
                      <w:sz w:val="18"/>
                      <w:szCs w:val="18"/>
                    </w:rPr>
                    <w:t>t/a</w:t>
                  </w:r>
                </w:p>
              </w:tc>
              <w:tc>
                <w:tcPr>
                  <w:tcW w:w="345" w:type="pct"/>
                  <w:tcBorders>
                    <w:tl2br w:val="nil"/>
                    <w:tr2bl w:val="nil"/>
                  </w:tcBorders>
                  <w:vAlign w:val="center"/>
                </w:tcPr>
                <w:p w14:paraId="06D889C5">
                  <w:pPr>
                    <w:jc w:val="center"/>
                    <w:rPr>
                      <w:color w:val="auto"/>
                      <w:sz w:val="18"/>
                      <w:szCs w:val="18"/>
                    </w:rPr>
                  </w:pPr>
                  <w:r>
                    <w:rPr>
                      <w:color w:val="auto"/>
                      <w:sz w:val="18"/>
                      <w:szCs w:val="18"/>
                    </w:rPr>
                    <w:t>速率</w:t>
                  </w:r>
                </w:p>
                <w:p w14:paraId="3C29ED8F">
                  <w:pPr>
                    <w:jc w:val="center"/>
                    <w:rPr>
                      <w:color w:val="auto"/>
                      <w:sz w:val="18"/>
                      <w:szCs w:val="18"/>
                    </w:rPr>
                  </w:pPr>
                  <w:r>
                    <w:rPr>
                      <w:color w:val="auto"/>
                      <w:sz w:val="18"/>
                      <w:szCs w:val="18"/>
                    </w:rPr>
                    <w:t>kg/h</w:t>
                  </w:r>
                </w:p>
              </w:tc>
              <w:tc>
                <w:tcPr>
                  <w:tcW w:w="320" w:type="pct"/>
                  <w:tcBorders>
                    <w:tl2br w:val="nil"/>
                    <w:tr2bl w:val="nil"/>
                  </w:tcBorders>
                  <w:vAlign w:val="center"/>
                </w:tcPr>
                <w:p w14:paraId="2F8B5A1F">
                  <w:pPr>
                    <w:jc w:val="center"/>
                    <w:rPr>
                      <w:color w:val="auto"/>
                      <w:sz w:val="18"/>
                      <w:szCs w:val="18"/>
                    </w:rPr>
                  </w:pPr>
                  <w:r>
                    <w:rPr>
                      <w:color w:val="auto"/>
                      <w:sz w:val="18"/>
                      <w:szCs w:val="18"/>
                    </w:rPr>
                    <w:t>浓度</w:t>
                  </w:r>
                </w:p>
                <w:p w14:paraId="100D2291">
                  <w:pPr>
                    <w:jc w:val="center"/>
                    <w:rPr>
                      <w:color w:val="auto"/>
                      <w:sz w:val="18"/>
                      <w:szCs w:val="18"/>
                    </w:rPr>
                  </w:pPr>
                  <w:r>
                    <w:rPr>
                      <w:color w:val="auto"/>
                      <w:sz w:val="18"/>
                      <w:szCs w:val="18"/>
                    </w:rPr>
                    <w:t>mg/m</w:t>
                  </w:r>
                  <w:r>
                    <w:rPr>
                      <w:color w:val="auto"/>
                      <w:sz w:val="18"/>
                      <w:szCs w:val="18"/>
                      <w:vertAlign w:val="superscript"/>
                    </w:rPr>
                    <w:t>3</w:t>
                  </w:r>
                </w:p>
              </w:tc>
              <w:tc>
                <w:tcPr>
                  <w:tcW w:w="291" w:type="pct"/>
                  <w:vMerge w:val="continue"/>
                  <w:tcBorders>
                    <w:tl2br w:val="nil"/>
                    <w:tr2bl w:val="nil"/>
                  </w:tcBorders>
                  <w:vAlign w:val="center"/>
                </w:tcPr>
                <w:p w14:paraId="62F3DD34">
                  <w:pPr>
                    <w:jc w:val="center"/>
                    <w:rPr>
                      <w:color w:val="auto"/>
                      <w:sz w:val="18"/>
                      <w:szCs w:val="18"/>
                    </w:rPr>
                  </w:pPr>
                </w:p>
              </w:tc>
              <w:tc>
                <w:tcPr>
                  <w:tcW w:w="642" w:type="pct"/>
                  <w:tcBorders>
                    <w:tl2br w:val="nil"/>
                    <w:tr2bl w:val="nil"/>
                  </w:tcBorders>
                  <w:vAlign w:val="center"/>
                </w:tcPr>
                <w:p w14:paraId="407A0D80">
                  <w:pPr>
                    <w:jc w:val="center"/>
                    <w:rPr>
                      <w:color w:val="auto"/>
                      <w:sz w:val="18"/>
                      <w:szCs w:val="18"/>
                    </w:rPr>
                  </w:pPr>
                  <w:r>
                    <w:rPr>
                      <w:color w:val="auto"/>
                      <w:sz w:val="18"/>
                      <w:szCs w:val="18"/>
                    </w:rPr>
                    <w:t>标准名称</w:t>
                  </w:r>
                </w:p>
              </w:tc>
              <w:tc>
                <w:tcPr>
                  <w:tcW w:w="423" w:type="pct"/>
                  <w:tcBorders>
                    <w:tl2br w:val="nil"/>
                    <w:tr2bl w:val="nil"/>
                  </w:tcBorders>
                  <w:vAlign w:val="center"/>
                </w:tcPr>
                <w:p w14:paraId="2564B9C6">
                  <w:pPr>
                    <w:jc w:val="center"/>
                    <w:rPr>
                      <w:color w:val="auto"/>
                      <w:sz w:val="18"/>
                      <w:szCs w:val="18"/>
                    </w:rPr>
                  </w:pPr>
                  <w:r>
                    <w:rPr>
                      <w:color w:val="auto"/>
                      <w:sz w:val="18"/>
                      <w:szCs w:val="18"/>
                    </w:rPr>
                    <w:t>排放速率</w:t>
                  </w:r>
                </w:p>
                <w:p w14:paraId="2437A557">
                  <w:pPr>
                    <w:jc w:val="center"/>
                    <w:rPr>
                      <w:color w:val="auto"/>
                      <w:sz w:val="18"/>
                      <w:szCs w:val="18"/>
                    </w:rPr>
                  </w:pPr>
                  <w:r>
                    <w:rPr>
                      <w:color w:val="auto"/>
                      <w:sz w:val="18"/>
                      <w:szCs w:val="18"/>
                    </w:rPr>
                    <w:t>kg/h</w:t>
                  </w:r>
                </w:p>
              </w:tc>
              <w:tc>
                <w:tcPr>
                  <w:tcW w:w="392" w:type="pct"/>
                  <w:tcBorders>
                    <w:tl2br w:val="nil"/>
                    <w:tr2bl w:val="nil"/>
                  </w:tcBorders>
                  <w:vAlign w:val="center"/>
                </w:tcPr>
                <w:p w14:paraId="05CECE3B">
                  <w:pPr>
                    <w:jc w:val="center"/>
                    <w:rPr>
                      <w:color w:val="auto"/>
                      <w:sz w:val="18"/>
                      <w:szCs w:val="18"/>
                    </w:rPr>
                  </w:pPr>
                  <w:r>
                    <w:rPr>
                      <w:color w:val="auto"/>
                      <w:sz w:val="18"/>
                      <w:szCs w:val="18"/>
                    </w:rPr>
                    <w:t>排放浓度</w:t>
                  </w:r>
                </w:p>
                <w:p w14:paraId="69CA55D1">
                  <w:pPr>
                    <w:jc w:val="center"/>
                    <w:rPr>
                      <w:color w:val="auto"/>
                      <w:sz w:val="18"/>
                      <w:szCs w:val="18"/>
                    </w:rPr>
                  </w:pPr>
                  <w:r>
                    <w:rPr>
                      <w:color w:val="auto"/>
                      <w:sz w:val="18"/>
                      <w:szCs w:val="18"/>
                    </w:rPr>
                    <w:t>mg/m</w:t>
                  </w:r>
                  <w:r>
                    <w:rPr>
                      <w:color w:val="auto"/>
                      <w:sz w:val="18"/>
                      <w:szCs w:val="18"/>
                      <w:vertAlign w:val="superscript"/>
                    </w:rPr>
                    <w:t>3</w:t>
                  </w:r>
                </w:p>
              </w:tc>
              <w:tc>
                <w:tcPr>
                  <w:tcW w:w="211" w:type="pct"/>
                  <w:vMerge w:val="continue"/>
                  <w:tcBorders>
                    <w:tl2br w:val="nil"/>
                    <w:tr2bl w:val="nil"/>
                  </w:tcBorders>
                  <w:vAlign w:val="center"/>
                </w:tcPr>
                <w:p w14:paraId="124B2F76">
                  <w:pPr>
                    <w:jc w:val="center"/>
                    <w:rPr>
                      <w:color w:val="auto"/>
                      <w:sz w:val="18"/>
                      <w:szCs w:val="18"/>
                    </w:rPr>
                  </w:pPr>
                </w:p>
              </w:tc>
            </w:tr>
            <w:tr w14:paraId="70969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9" w:type="pct"/>
                  <w:vMerge w:val="restart"/>
                  <w:tcBorders>
                    <w:tl2br w:val="nil"/>
                    <w:tr2bl w:val="nil"/>
                  </w:tcBorders>
                  <w:vAlign w:val="center"/>
                </w:tcPr>
                <w:p w14:paraId="66F99634">
                  <w:pPr>
                    <w:pStyle w:val="46"/>
                    <w:jc w:val="center"/>
                    <w:rPr>
                      <w:rFonts w:hint="eastAsia" w:ascii="Times New Roman" w:hAnsi="Times New Roman" w:eastAsia="宋体" w:cs="Times New Roman"/>
                      <w:color w:val="auto"/>
                      <w:sz w:val="18"/>
                      <w:szCs w:val="18"/>
                      <w:lang w:val="en-US" w:eastAsia="zh-CN"/>
                    </w:rPr>
                  </w:pPr>
                  <w:r>
                    <w:rPr>
                      <w:rFonts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1</w:t>
                  </w:r>
                </w:p>
              </w:tc>
              <w:tc>
                <w:tcPr>
                  <w:tcW w:w="542" w:type="pct"/>
                  <w:tcBorders>
                    <w:tl2br w:val="nil"/>
                    <w:tr2bl w:val="nil"/>
                  </w:tcBorders>
                  <w:vAlign w:val="center"/>
                </w:tcPr>
                <w:p w14:paraId="10043A8F">
                  <w:pPr>
                    <w:jc w:val="center"/>
                    <w:rPr>
                      <w:color w:val="auto"/>
                      <w:sz w:val="18"/>
                      <w:szCs w:val="18"/>
                    </w:rPr>
                  </w:pPr>
                  <w:r>
                    <w:rPr>
                      <w:rFonts w:hint="eastAsia"/>
                      <w:color w:val="auto"/>
                      <w:sz w:val="18"/>
                      <w:szCs w:val="18"/>
                    </w:rPr>
                    <w:t>非甲烷总烃</w:t>
                  </w:r>
                </w:p>
              </w:tc>
              <w:tc>
                <w:tcPr>
                  <w:tcW w:w="338" w:type="pct"/>
                  <w:tcBorders>
                    <w:tl2br w:val="nil"/>
                    <w:tr2bl w:val="nil"/>
                  </w:tcBorders>
                  <w:vAlign w:val="center"/>
                </w:tcPr>
                <w:p w14:paraId="0D47487C">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1.501</w:t>
                  </w:r>
                </w:p>
              </w:tc>
              <w:tc>
                <w:tcPr>
                  <w:tcW w:w="338" w:type="pct"/>
                  <w:vMerge w:val="restart"/>
                  <w:tcBorders>
                    <w:tl2br w:val="nil"/>
                    <w:tr2bl w:val="nil"/>
                  </w:tcBorders>
                  <w:vAlign w:val="center"/>
                </w:tcPr>
                <w:p w14:paraId="02B469EF">
                  <w:pPr>
                    <w:keepNext w:val="0"/>
                    <w:keepLines w:val="0"/>
                    <w:widowControl/>
                    <w:suppressLineNumbers w:val="0"/>
                    <w:jc w:val="center"/>
                    <w:textAlignment w:val="center"/>
                    <w:rPr>
                      <w:rFonts w:hint="default"/>
                      <w:color w:val="auto"/>
                      <w:kern w:val="0"/>
                      <w:sz w:val="18"/>
                      <w:szCs w:val="18"/>
                      <w:lang w:val="en-US" w:bidi="ar"/>
                    </w:rPr>
                  </w:pPr>
                  <w:r>
                    <w:rPr>
                      <w:rFonts w:hint="eastAsia" w:cs="Times New Roman"/>
                      <w:i w:val="0"/>
                      <w:iCs w:val="0"/>
                      <w:color w:val="auto"/>
                      <w:kern w:val="0"/>
                      <w:sz w:val="18"/>
                      <w:szCs w:val="18"/>
                      <w:u w:val="none"/>
                      <w:lang w:val="en-US" w:eastAsia="zh-CN" w:bidi="ar"/>
                    </w:rPr>
                    <w:t>12000</w:t>
                  </w:r>
                </w:p>
              </w:tc>
              <w:tc>
                <w:tcPr>
                  <w:tcW w:w="291" w:type="pct"/>
                  <w:tcBorders>
                    <w:tl2br w:val="nil"/>
                    <w:tr2bl w:val="nil"/>
                  </w:tcBorders>
                  <w:vAlign w:val="center"/>
                </w:tcPr>
                <w:p w14:paraId="5E50A1BB">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bidi="ar"/>
                    </w:rPr>
                    <w:t>8</w:t>
                  </w:r>
                  <w:r>
                    <w:rPr>
                      <w:rFonts w:hint="eastAsia"/>
                      <w:color w:val="auto"/>
                      <w:kern w:val="0"/>
                      <w:sz w:val="18"/>
                      <w:szCs w:val="18"/>
                      <w:lang w:val="en-US" w:eastAsia="zh-CN" w:bidi="ar"/>
                    </w:rPr>
                    <w:t>5</w:t>
                  </w:r>
                </w:p>
              </w:tc>
              <w:tc>
                <w:tcPr>
                  <w:tcW w:w="264" w:type="pct"/>
                  <w:tcBorders>
                    <w:tl2br w:val="nil"/>
                    <w:tr2bl w:val="nil"/>
                  </w:tcBorders>
                  <w:vAlign w:val="center"/>
                </w:tcPr>
                <w:p w14:paraId="56596DB5">
                  <w:pPr>
                    <w:widowControl/>
                    <w:jc w:val="center"/>
                    <w:textAlignment w:val="center"/>
                    <w:rPr>
                      <w:color w:val="auto"/>
                      <w:kern w:val="0"/>
                      <w:sz w:val="18"/>
                      <w:szCs w:val="18"/>
                      <w:lang w:bidi="ar"/>
                    </w:rPr>
                  </w:pPr>
                  <w:r>
                    <w:rPr>
                      <w:rFonts w:hint="eastAsia"/>
                      <w:color w:val="auto"/>
                      <w:kern w:val="0"/>
                      <w:sz w:val="18"/>
                      <w:szCs w:val="18"/>
                      <w:lang w:bidi="ar"/>
                    </w:rPr>
                    <w:t>75</w:t>
                  </w:r>
                </w:p>
              </w:tc>
              <w:tc>
                <w:tcPr>
                  <w:tcW w:w="249" w:type="pct"/>
                  <w:tcBorders>
                    <w:tl2br w:val="nil"/>
                    <w:tr2bl w:val="nil"/>
                  </w:tcBorders>
                  <w:vAlign w:val="center"/>
                </w:tcPr>
                <w:p w14:paraId="3FD2A361">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0.319</w:t>
                  </w:r>
                </w:p>
              </w:tc>
              <w:tc>
                <w:tcPr>
                  <w:tcW w:w="345" w:type="pct"/>
                  <w:tcBorders>
                    <w:tl2br w:val="nil"/>
                    <w:tr2bl w:val="nil"/>
                  </w:tcBorders>
                  <w:vAlign w:val="center"/>
                </w:tcPr>
                <w:p w14:paraId="0ED285ED">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0.042</w:t>
                  </w:r>
                </w:p>
              </w:tc>
              <w:tc>
                <w:tcPr>
                  <w:tcW w:w="320" w:type="pct"/>
                  <w:tcBorders>
                    <w:tl2br w:val="nil"/>
                    <w:tr2bl w:val="nil"/>
                  </w:tcBorders>
                  <w:vAlign w:val="center"/>
                </w:tcPr>
                <w:p w14:paraId="3D6885BA">
                  <w:pPr>
                    <w:keepNext w:val="0"/>
                    <w:keepLines w:val="0"/>
                    <w:widowControl/>
                    <w:suppressLineNumbers w:val="0"/>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3.461</w:t>
                  </w:r>
                </w:p>
              </w:tc>
              <w:tc>
                <w:tcPr>
                  <w:tcW w:w="291" w:type="pct"/>
                  <w:vMerge w:val="restart"/>
                  <w:tcBorders>
                    <w:tl2br w:val="nil"/>
                    <w:tr2bl w:val="nil"/>
                  </w:tcBorders>
                  <w:vAlign w:val="center"/>
                </w:tcPr>
                <w:p w14:paraId="6DDF05FC">
                  <w:pPr>
                    <w:widowControl/>
                    <w:jc w:val="center"/>
                    <w:textAlignment w:val="center"/>
                    <w:rPr>
                      <w:color w:val="auto"/>
                      <w:kern w:val="0"/>
                      <w:sz w:val="18"/>
                      <w:szCs w:val="18"/>
                      <w:lang w:bidi="ar"/>
                    </w:rPr>
                  </w:pPr>
                  <w:r>
                    <w:rPr>
                      <w:rFonts w:hint="eastAsia"/>
                      <w:color w:val="auto"/>
                      <w:kern w:val="0"/>
                      <w:sz w:val="18"/>
                      <w:szCs w:val="18"/>
                      <w:lang w:bidi="ar"/>
                    </w:rPr>
                    <w:t>7680</w:t>
                  </w:r>
                </w:p>
              </w:tc>
              <w:tc>
                <w:tcPr>
                  <w:tcW w:w="642" w:type="pct"/>
                  <w:tcBorders>
                    <w:tl2br w:val="nil"/>
                    <w:tr2bl w:val="nil"/>
                  </w:tcBorders>
                  <w:vAlign w:val="center"/>
                </w:tcPr>
                <w:p w14:paraId="1FF59773">
                  <w:pPr>
                    <w:widowControl/>
                    <w:jc w:val="center"/>
                    <w:textAlignment w:val="center"/>
                    <w:rPr>
                      <w:color w:val="auto"/>
                      <w:kern w:val="0"/>
                      <w:sz w:val="18"/>
                      <w:szCs w:val="18"/>
                      <w:lang w:bidi="ar"/>
                    </w:rPr>
                  </w:pPr>
                  <w:r>
                    <w:rPr>
                      <w:rFonts w:hint="eastAsia"/>
                      <w:color w:val="auto"/>
                      <w:kern w:val="0"/>
                      <w:sz w:val="18"/>
                      <w:szCs w:val="18"/>
                      <w:lang w:bidi="ar"/>
                    </w:rPr>
                    <w:t>GB16297-1996</w:t>
                  </w:r>
                </w:p>
              </w:tc>
              <w:tc>
                <w:tcPr>
                  <w:tcW w:w="423" w:type="pct"/>
                  <w:tcBorders>
                    <w:tl2br w:val="nil"/>
                    <w:tr2bl w:val="nil"/>
                  </w:tcBorders>
                  <w:vAlign w:val="center"/>
                </w:tcPr>
                <w:p w14:paraId="2BBFD6D8">
                  <w:pPr>
                    <w:widowControl/>
                    <w:jc w:val="center"/>
                    <w:textAlignment w:val="center"/>
                    <w:rPr>
                      <w:color w:val="auto"/>
                      <w:kern w:val="0"/>
                      <w:sz w:val="18"/>
                      <w:szCs w:val="18"/>
                      <w:lang w:bidi="ar"/>
                    </w:rPr>
                  </w:pPr>
                  <w:r>
                    <w:rPr>
                      <w:rFonts w:hint="eastAsia"/>
                      <w:color w:val="auto"/>
                      <w:kern w:val="0"/>
                      <w:sz w:val="18"/>
                      <w:szCs w:val="18"/>
                      <w:lang w:bidi="ar"/>
                    </w:rPr>
                    <w:t>10</w:t>
                  </w:r>
                </w:p>
              </w:tc>
              <w:tc>
                <w:tcPr>
                  <w:tcW w:w="392" w:type="pct"/>
                  <w:tcBorders>
                    <w:tl2br w:val="nil"/>
                    <w:tr2bl w:val="nil"/>
                  </w:tcBorders>
                  <w:vAlign w:val="center"/>
                </w:tcPr>
                <w:p w14:paraId="79A1DB8E">
                  <w:pPr>
                    <w:widowControl/>
                    <w:jc w:val="center"/>
                    <w:textAlignment w:val="center"/>
                    <w:rPr>
                      <w:color w:val="auto"/>
                      <w:kern w:val="0"/>
                      <w:sz w:val="18"/>
                      <w:szCs w:val="18"/>
                      <w:lang w:bidi="ar"/>
                    </w:rPr>
                  </w:pPr>
                  <w:r>
                    <w:rPr>
                      <w:rFonts w:hint="eastAsia"/>
                      <w:color w:val="auto"/>
                      <w:kern w:val="0"/>
                      <w:sz w:val="18"/>
                      <w:szCs w:val="18"/>
                      <w:lang w:bidi="ar"/>
                    </w:rPr>
                    <w:t>120</w:t>
                  </w:r>
                </w:p>
              </w:tc>
              <w:tc>
                <w:tcPr>
                  <w:tcW w:w="211" w:type="pct"/>
                  <w:tcBorders>
                    <w:tl2br w:val="nil"/>
                    <w:tr2bl w:val="nil"/>
                  </w:tcBorders>
                  <w:vAlign w:val="center"/>
                </w:tcPr>
                <w:p w14:paraId="5170D48A">
                  <w:pPr>
                    <w:widowControl/>
                    <w:jc w:val="center"/>
                    <w:textAlignment w:val="center"/>
                    <w:rPr>
                      <w:color w:val="auto"/>
                      <w:kern w:val="0"/>
                      <w:sz w:val="18"/>
                      <w:szCs w:val="18"/>
                      <w:lang w:bidi="ar"/>
                    </w:rPr>
                  </w:pPr>
                  <w:r>
                    <w:rPr>
                      <w:rFonts w:hint="eastAsia"/>
                      <w:color w:val="auto"/>
                      <w:kern w:val="0"/>
                      <w:sz w:val="18"/>
                      <w:szCs w:val="18"/>
                      <w:lang w:bidi="ar"/>
                    </w:rPr>
                    <w:t>达标</w:t>
                  </w:r>
                </w:p>
              </w:tc>
            </w:tr>
            <w:tr w14:paraId="2448C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9" w:type="pct"/>
                  <w:vMerge w:val="continue"/>
                  <w:tcBorders>
                    <w:tl2br w:val="nil"/>
                    <w:tr2bl w:val="nil"/>
                  </w:tcBorders>
                  <w:vAlign w:val="center"/>
                </w:tcPr>
                <w:p w14:paraId="5C78CAA0">
                  <w:pPr>
                    <w:pStyle w:val="46"/>
                    <w:jc w:val="center"/>
                    <w:rPr>
                      <w:rFonts w:ascii="Times New Roman" w:hAnsi="Times New Roman" w:cs="Times New Roman"/>
                      <w:color w:val="auto"/>
                      <w:sz w:val="18"/>
                      <w:szCs w:val="18"/>
                    </w:rPr>
                  </w:pPr>
                </w:p>
              </w:tc>
              <w:tc>
                <w:tcPr>
                  <w:tcW w:w="542" w:type="pct"/>
                  <w:tcBorders>
                    <w:tl2br w:val="nil"/>
                    <w:tr2bl w:val="nil"/>
                  </w:tcBorders>
                  <w:vAlign w:val="center"/>
                </w:tcPr>
                <w:p w14:paraId="2102415B">
                  <w:pPr>
                    <w:jc w:val="center"/>
                    <w:rPr>
                      <w:color w:val="auto"/>
                      <w:sz w:val="18"/>
                      <w:szCs w:val="18"/>
                    </w:rPr>
                  </w:pPr>
                  <w:r>
                    <w:rPr>
                      <w:rFonts w:hint="eastAsia"/>
                      <w:color w:val="auto"/>
                      <w:sz w:val="18"/>
                      <w:szCs w:val="18"/>
                    </w:rPr>
                    <w:t>氯化氢</w:t>
                  </w:r>
                </w:p>
              </w:tc>
              <w:tc>
                <w:tcPr>
                  <w:tcW w:w="338" w:type="pct"/>
                  <w:tcBorders>
                    <w:tl2br w:val="nil"/>
                    <w:tr2bl w:val="nil"/>
                  </w:tcBorders>
                  <w:vAlign w:val="center"/>
                </w:tcPr>
                <w:p w14:paraId="6E9202BE">
                  <w:pPr>
                    <w:widowControl/>
                    <w:jc w:val="center"/>
                    <w:textAlignment w:val="center"/>
                    <w:rPr>
                      <w:color w:val="auto"/>
                      <w:kern w:val="0"/>
                      <w:sz w:val="18"/>
                      <w:szCs w:val="18"/>
                      <w:lang w:bidi="ar"/>
                    </w:rPr>
                  </w:pPr>
                  <w:r>
                    <w:rPr>
                      <w:rFonts w:hint="eastAsia"/>
                      <w:color w:val="auto"/>
                      <w:kern w:val="0"/>
                      <w:sz w:val="18"/>
                      <w:szCs w:val="18"/>
                      <w:lang w:bidi="ar"/>
                    </w:rPr>
                    <w:t>少量</w:t>
                  </w:r>
                </w:p>
              </w:tc>
              <w:tc>
                <w:tcPr>
                  <w:tcW w:w="338" w:type="pct"/>
                  <w:vMerge w:val="continue"/>
                  <w:tcBorders>
                    <w:tl2br w:val="nil"/>
                    <w:tr2bl w:val="nil"/>
                  </w:tcBorders>
                  <w:vAlign w:val="center"/>
                </w:tcPr>
                <w:p w14:paraId="7280262F">
                  <w:pPr>
                    <w:jc w:val="center"/>
                    <w:rPr>
                      <w:color w:val="auto"/>
                      <w:kern w:val="0"/>
                      <w:sz w:val="18"/>
                      <w:szCs w:val="18"/>
                      <w:lang w:bidi="ar"/>
                    </w:rPr>
                  </w:pPr>
                </w:p>
              </w:tc>
              <w:tc>
                <w:tcPr>
                  <w:tcW w:w="291" w:type="pct"/>
                  <w:tcBorders>
                    <w:tl2br w:val="nil"/>
                    <w:tr2bl w:val="nil"/>
                  </w:tcBorders>
                  <w:vAlign w:val="center"/>
                </w:tcPr>
                <w:p w14:paraId="3945E052">
                  <w:pPr>
                    <w:widowControl/>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w:t>
                  </w:r>
                </w:p>
              </w:tc>
              <w:tc>
                <w:tcPr>
                  <w:tcW w:w="264" w:type="pct"/>
                  <w:tcBorders>
                    <w:tl2br w:val="nil"/>
                    <w:tr2bl w:val="nil"/>
                  </w:tcBorders>
                  <w:vAlign w:val="center"/>
                </w:tcPr>
                <w:p w14:paraId="48BB7E62">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249" w:type="pct"/>
                  <w:tcBorders>
                    <w:tl2br w:val="nil"/>
                    <w:tr2bl w:val="nil"/>
                  </w:tcBorders>
                  <w:vAlign w:val="center"/>
                </w:tcPr>
                <w:p w14:paraId="5BEC5236">
                  <w:pPr>
                    <w:widowControl/>
                    <w:jc w:val="center"/>
                    <w:textAlignment w:val="center"/>
                    <w:rPr>
                      <w:color w:val="auto"/>
                      <w:kern w:val="0"/>
                      <w:sz w:val="18"/>
                      <w:szCs w:val="18"/>
                      <w:lang w:bidi="ar"/>
                    </w:rPr>
                  </w:pPr>
                  <w:r>
                    <w:rPr>
                      <w:rFonts w:hint="eastAsia"/>
                      <w:color w:val="auto"/>
                      <w:kern w:val="0"/>
                      <w:sz w:val="18"/>
                      <w:szCs w:val="18"/>
                      <w:lang w:bidi="ar"/>
                    </w:rPr>
                    <w:t>/</w:t>
                  </w:r>
                </w:p>
              </w:tc>
              <w:tc>
                <w:tcPr>
                  <w:tcW w:w="345" w:type="pct"/>
                  <w:tcBorders>
                    <w:tl2br w:val="nil"/>
                    <w:tr2bl w:val="nil"/>
                  </w:tcBorders>
                  <w:vAlign w:val="center"/>
                </w:tcPr>
                <w:p w14:paraId="141ACEF1">
                  <w:pPr>
                    <w:widowControl/>
                    <w:jc w:val="center"/>
                    <w:textAlignment w:val="center"/>
                    <w:rPr>
                      <w:color w:val="auto"/>
                      <w:kern w:val="0"/>
                      <w:sz w:val="18"/>
                      <w:szCs w:val="18"/>
                      <w:lang w:bidi="ar"/>
                    </w:rPr>
                  </w:pPr>
                  <w:r>
                    <w:rPr>
                      <w:rFonts w:hint="eastAsia"/>
                      <w:color w:val="auto"/>
                      <w:kern w:val="0"/>
                      <w:sz w:val="18"/>
                      <w:szCs w:val="18"/>
                      <w:lang w:bidi="ar"/>
                    </w:rPr>
                    <w:t>/</w:t>
                  </w:r>
                </w:p>
              </w:tc>
              <w:tc>
                <w:tcPr>
                  <w:tcW w:w="320" w:type="pct"/>
                  <w:tcBorders>
                    <w:tl2br w:val="nil"/>
                    <w:tr2bl w:val="nil"/>
                  </w:tcBorders>
                  <w:vAlign w:val="center"/>
                </w:tcPr>
                <w:p w14:paraId="6381A78D">
                  <w:pPr>
                    <w:widowControl/>
                    <w:jc w:val="center"/>
                    <w:textAlignment w:val="center"/>
                    <w:rPr>
                      <w:color w:val="auto"/>
                      <w:kern w:val="0"/>
                      <w:sz w:val="18"/>
                      <w:szCs w:val="18"/>
                      <w:lang w:bidi="ar"/>
                    </w:rPr>
                  </w:pPr>
                  <w:r>
                    <w:rPr>
                      <w:rFonts w:hint="eastAsia"/>
                      <w:color w:val="auto"/>
                      <w:kern w:val="0"/>
                      <w:sz w:val="18"/>
                      <w:szCs w:val="18"/>
                      <w:lang w:bidi="ar"/>
                    </w:rPr>
                    <w:t>/</w:t>
                  </w:r>
                </w:p>
              </w:tc>
              <w:tc>
                <w:tcPr>
                  <w:tcW w:w="291" w:type="pct"/>
                  <w:vMerge w:val="continue"/>
                  <w:tcBorders>
                    <w:tl2br w:val="nil"/>
                    <w:tr2bl w:val="nil"/>
                  </w:tcBorders>
                  <w:vAlign w:val="center"/>
                </w:tcPr>
                <w:p w14:paraId="0005A850">
                  <w:pPr>
                    <w:widowControl/>
                    <w:jc w:val="center"/>
                    <w:textAlignment w:val="center"/>
                    <w:rPr>
                      <w:color w:val="auto"/>
                      <w:kern w:val="0"/>
                      <w:sz w:val="18"/>
                      <w:szCs w:val="18"/>
                      <w:lang w:bidi="ar"/>
                    </w:rPr>
                  </w:pPr>
                </w:p>
              </w:tc>
              <w:tc>
                <w:tcPr>
                  <w:tcW w:w="642" w:type="pct"/>
                  <w:tcBorders>
                    <w:tl2br w:val="nil"/>
                    <w:tr2bl w:val="nil"/>
                  </w:tcBorders>
                  <w:vAlign w:val="center"/>
                </w:tcPr>
                <w:p w14:paraId="7416C19A">
                  <w:pPr>
                    <w:widowControl/>
                    <w:jc w:val="center"/>
                    <w:textAlignment w:val="center"/>
                    <w:rPr>
                      <w:color w:val="auto"/>
                      <w:kern w:val="0"/>
                      <w:sz w:val="18"/>
                      <w:szCs w:val="18"/>
                      <w:lang w:bidi="ar"/>
                    </w:rPr>
                  </w:pPr>
                  <w:r>
                    <w:rPr>
                      <w:rFonts w:hint="eastAsia"/>
                      <w:color w:val="auto"/>
                      <w:kern w:val="0"/>
                      <w:sz w:val="18"/>
                      <w:szCs w:val="18"/>
                      <w:lang w:bidi="ar"/>
                    </w:rPr>
                    <w:t>GB16297-1996</w:t>
                  </w:r>
                </w:p>
              </w:tc>
              <w:tc>
                <w:tcPr>
                  <w:tcW w:w="423" w:type="pct"/>
                  <w:tcBorders>
                    <w:tl2br w:val="nil"/>
                    <w:tr2bl w:val="nil"/>
                  </w:tcBorders>
                  <w:vAlign w:val="center"/>
                </w:tcPr>
                <w:p w14:paraId="280E2829">
                  <w:pPr>
                    <w:widowControl/>
                    <w:jc w:val="center"/>
                    <w:textAlignment w:val="center"/>
                    <w:rPr>
                      <w:color w:val="auto"/>
                      <w:kern w:val="0"/>
                      <w:sz w:val="18"/>
                      <w:szCs w:val="18"/>
                      <w:lang w:bidi="ar"/>
                    </w:rPr>
                  </w:pPr>
                  <w:r>
                    <w:rPr>
                      <w:rFonts w:hint="eastAsia"/>
                      <w:color w:val="auto"/>
                      <w:kern w:val="0"/>
                      <w:sz w:val="18"/>
                      <w:szCs w:val="18"/>
                      <w:lang w:bidi="ar"/>
                    </w:rPr>
                    <w:t>0.26</w:t>
                  </w:r>
                </w:p>
              </w:tc>
              <w:tc>
                <w:tcPr>
                  <w:tcW w:w="392" w:type="pct"/>
                  <w:tcBorders>
                    <w:tl2br w:val="nil"/>
                    <w:tr2bl w:val="nil"/>
                  </w:tcBorders>
                  <w:vAlign w:val="center"/>
                </w:tcPr>
                <w:p w14:paraId="42276DDC">
                  <w:pPr>
                    <w:widowControl/>
                    <w:jc w:val="center"/>
                    <w:textAlignment w:val="center"/>
                    <w:rPr>
                      <w:color w:val="auto"/>
                      <w:kern w:val="0"/>
                      <w:sz w:val="18"/>
                      <w:szCs w:val="18"/>
                      <w:lang w:bidi="ar"/>
                    </w:rPr>
                  </w:pPr>
                  <w:r>
                    <w:rPr>
                      <w:rFonts w:hint="eastAsia"/>
                      <w:color w:val="auto"/>
                      <w:kern w:val="0"/>
                      <w:sz w:val="18"/>
                      <w:szCs w:val="18"/>
                      <w:lang w:bidi="ar"/>
                    </w:rPr>
                    <w:t>100</w:t>
                  </w:r>
                </w:p>
              </w:tc>
              <w:tc>
                <w:tcPr>
                  <w:tcW w:w="211" w:type="pct"/>
                  <w:tcBorders>
                    <w:tl2br w:val="nil"/>
                    <w:tr2bl w:val="nil"/>
                  </w:tcBorders>
                  <w:vAlign w:val="center"/>
                </w:tcPr>
                <w:p w14:paraId="7DAE56E7">
                  <w:pPr>
                    <w:widowControl/>
                    <w:jc w:val="center"/>
                    <w:textAlignment w:val="center"/>
                    <w:rPr>
                      <w:color w:val="auto"/>
                      <w:kern w:val="0"/>
                      <w:sz w:val="18"/>
                      <w:szCs w:val="18"/>
                      <w:lang w:bidi="ar"/>
                    </w:rPr>
                  </w:pPr>
                  <w:r>
                    <w:rPr>
                      <w:rFonts w:hint="eastAsia"/>
                      <w:color w:val="auto"/>
                      <w:kern w:val="0"/>
                      <w:sz w:val="18"/>
                      <w:szCs w:val="18"/>
                      <w:lang w:bidi="ar"/>
                    </w:rPr>
                    <w:t>达标</w:t>
                  </w:r>
                </w:p>
              </w:tc>
            </w:tr>
            <w:tr w14:paraId="0D4F9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49" w:type="pct"/>
                  <w:vMerge w:val="continue"/>
                  <w:tcBorders>
                    <w:tl2br w:val="nil"/>
                    <w:tr2bl w:val="nil"/>
                  </w:tcBorders>
                  <w:vAlign w:val="center"/>
                </w:tcPr>
                <w:p w14:paraId="1831BA08">
                  <w:pPr>
                    <w:pStyle w:val="46"/>
                    <w:jc w:val="center"/>
                    <w:rPr>
                      <w:rFonts w:ascii="Times New Roman" w:hAnsi="Times New Roman" w:cs="Times New Roman"/>
                      <w:color w:val="auto"/>
                      <w:sz w:val="18"/>
                      <w:szCs w:val="18"/>
                    </w:rPr>
                  </w:pPr>
                </w:p>
              </w:tc>
              <w:tc>
                <w:tcPr>
                  <w:tcW w:w="542" w:type="pct"/>
                  <w:tcBorders>
                    <w:tl2br w:val="nil"/>
                    <w:tr2bl w:val="nil"/>
                  </w:tcBorders>
                  <w:vAlign w:val="center"/>
                </w:tcPr>
                <w:p w14:paraId="46BA838C">
                  <w:pPr>
                    <w:jc w:val="center"/>
                    <w:rPr>
                      <w:color w:val="auto"/>
                      <w:sz w:val="18"/>
                      <w:szCs w:val="18"/>
                    </w:rPr>
                  </w:pPr>
                  <w:r>
                    <w:rPr>
                      <w:rFonts w:hint="eastAsia"/>
                      <w:color w:val="auto"/>
                      <w:sz w:val="18"/>
                      <w:szCs w:val="18"/>
                    </w:rPr>
                    <w:t>氯乙烯</w:t>
                  </w:r>
                </w:p>
              </w:tc>
              <w:tc>
                <w:tcPr>
                  <w:tcW w:w="338" w:type="pct"/>
                  <w:tcBorders>
                    <w:tl2br w:val="nil"/>
                    <w:tr2bl w:val="nil"/>
                  </w:tcBorders>
                  <w:vAlign w:val="center"/>
                </w:tcPr>
                <w:p w14:paraId="7C556600">
                  <w:pPr>
                    <w:widowControl/>
                    <w:jc w:val="center"/>
                    <w:textAlignment w:val="center"/>
                    <w:rPr>
                      <w:color w:val="auto"/>
                      <w:kern w:val="0"/>
                      <w:sz w:val="18"/>
                      <w:szCs w:val="18"/>
                      <w:lang w:bidi="ar"/>
                    </w:rPr>
                  </w:pPr>
                  <w:r>
                    <w:rPr>
                      <w:rFonts w:hint="eastAsia"/>
                      <w:color w:val="auto"/>
                      <w:kern w:val="0"/>
                      <w:sz w:val="18"/>
                      <w:szCs w:val="18"/>
                      <w:lang w:bidi="ar"/>
                    </w:rPr>
                    <w:t>少量</w:t>
                  </w:r>
                </w:p>
              </w:tc>
              <w:tc>
                <w:tcPr>
                  <w:tcW w:w="338" w:type="pct"/>
                  <w:vMerge w:val="continue"/>
                  <w:tcBorders>
                    <w:tl2br w:val="nil"/>
                    <w:tr2bl w:val="nil"/>
                  </w:tcBorders>
                  <w:vAlign w:val="center"/>
                </w:tcPr>
                <w:p w14:paraId="73370D86">
                  <w:pPr>
                    <w:jc w:val="center"/>
                    <w:rPr>
                      <w:color w:val="auto"/>
                      <w:kern w:val="0"/>
                      <w:sz w:val="18"/>
                      <w:szCs w:val="18"/>
                      <w:lang w:bidi="ar"/>
                    </w:rPr>
                  </w:pPr>
                </w:p>
              </w:tc>
              <w:tc>
                <w:tcPr>
                  <w:tcW w:w="291" w:type="pct"/>
                  <w:tcBorders>
                    <w:tl2br w:val="nil"/>
                    <w:tr2bl w:val="nil"/>
                  </w:tcBorders>
                  <w:vAlign w:val="center"/>
                </w:tcPr>
                <w:p w14:paraId="220ED3E1">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264" w:type="pct"/>
                  <w:tcBorders>
                    <w:tl2br w:val="nil"/>
                    <w:tr2bl w:val="nil"/>
                  </w:tcBorders>
                  <w:vAlign w:val="center"/>
                </w:tcPr>
                <w:p w14:paraId="2DE31E81">
                  <w:pPr>
                    <w:widowControl/>
                    <w:jc w:val="center"/>
                    <w:textAlignment w:val="center"/>
                    <w:rPr>
                      <w:rFonts w:hint="eastAsia" w:eastAsia="宋体"/>
                      <w:color w:val="auto"/>
                      <w:kern w:val="0"/>
                      <w:sz w:val="18"/>
                      <w:szCs w:val="18"/>
                      <w:lang w:eastAsia="zh-CN" w:bidi="ar"/>
                    </w:rPr>
                  </w:pPr>
                  <w:r>
                    <w:rPr>
                      <w:rFonts w:hint="eastAsia"/>
                      <w:color w:val="auto"/>
                      <w:kern w:val="0"/>
                      <w:sz w:val="18"/>
                      <w:szCs w:val="18"/>
                      <w:lang w:val="en-US" w:eastAsia="zh-CN" w:bidi="ar"/>
                    </w:rPr>
                    <w:t>/</w:t>
                  </w:r>
                </w:p>
              </w:tc>
              <w:tc>
                <w:tcPr>
                  <w:tcW w:w="249" w:type="pct"/>
                  <w:tcBorders>
                    <w:tl2br w:val="nil"/>
                    <w:tr2bl w:val="nil"/>
                  </w:tcBorders>
                  <w:vAlign w:val="center"/>
                </w:tcPr>
                <w:p w14:paraId="7D160471">
                  <w:pPr>
                    <w:widowControl/>
                    <w:jc w:val="center"/>
                    <w:textAlignment w:val="center"/>
                    <w:rPr>
                      <w:color w:val="auto"/>
                      <w:kern w:val="0"/>
                      <w:sz w:val="18"/>
                      <w:szCs w:val="18"/>
                      <w:lang w:bidi="ar"/>
                    </w:rPr>
                  </w:pPr>
                  <w:r>
                    <w:rPr>
                      <w:rFonts w:hint="eastAsia"/>
                      <w:color w:val="auto"/>
                      <w:kern w:val="0"/>
                      <w:sz w:val="18"/>
                      <w:szCs w:val="18"/>
                      <w:lang w:bidi="ar"/>
                    </w:rPr>
                    <w:t>/</w:t>
                  </w:r>
                </w:p>
              </w:tc>
              <w:tc>
                <w:tcPr>
                  <w:tcW w:w="345" w:type="pct"/>
                  <w:tcBorders>
                    <w:tl2br w:val="nil"/>
                    <w:tr2bl w:val="nil"/>
                  </w:tcBorders>
                  <w:vAlign w:val="center"/>
                </w:tcPr>
                <w:p w14:paraId="50B54B20">
                  <w:pPr>
                    <w:widowControl/>
                    <w:jc w:val="center"/>
                    <w:textAlignment w:val="center"/>
                    <w:rPr>
                      <w:color w:val="auto"/>
                      <w:kern w:val="0"/>
                      <w:sz w:val="18"/>
                      <w:szCs w:val="18"/>
                      <w:lang w:bidi="ar"/>
                    </w:rPr>
                  </w:pPr>
                  <w:r>
                    <w:rPr>
                      <w:rFonts w:hint="eastAsia"/>
                      <w:color w:val="auto"/>
                      <w:kern w:val="0"/>
                      <w:sz w:val="18"/>
                      <w:szCs w:val="18"/>
                      <w:lang w:bidi="ar"/>
                    </w:rPr>
                    <w:t>/</w:t>
                  </w:r>
                </w:p>
              </w:tc>
              <w:tc>
                <w:tcPr>
                  <w:tcW w:w="320" w:type="pct"/>
                  <w:tcBorders>
                    <w:tl2br w:val="nil"/>
                    <w:tr2bl w:val="nil"/>
                  </w:tcBorders>
                  <w:vAlign w:val="center"/>
                </w:tcPr>
                <w:p w14:paraId="560FF001">
                  <w:pPr>
                    <w:widowControl/>
                    <w:jc w:val="center"/>
                    <w:textAlignment w:val="center"/>
                    <w:rPr>
                      <w:color w:val="auto"/>
                      <w:kern w:val="0"/>
                      <w:sz w:val="18"/>
                      <w:szCs w:val="18"/>
                      <w:lang w:bidi="ar"/>
                    </w:rPr>
                  </w:pPr>
                  <w:r>
                    <w:rPr>
                      <w:rFonts w:hint="eastAsia"/>
                      <w:color w:val="auto"/>
                      <w:kern w:val="0"/>
                      <w:sz w:val="18"/>
                      <w:szCs w:val="18"/>
                      <w:lang w:bidi="ar"/>
                    </w:rPr>
                    <w:t>/</w:t>
                  </w:r>
                </w:p>
              </w:tc>
              <w:tc>
                <w:tcPr>
                  <w:tcW w:w="291" w:type="pct"/>
                  <w:vMerge w:val="continue"/>
                  <w:tcBorders>
                    <w:tl2br w:val="nil"/>
                    <w:tr2bl w:val="nil"/>
                  </w:tcBorders>
                  <w:vAlign w:val="center"/>
                </w:tcPr>
                <w:p w14:paraId="3C7726FD">
                  <w:pPr>
                    <w:widowControl/>
                    <w:jc w:val="center"/>
                    <w:textAlignment w:val="center"/>
                    <w:rPr>
                      <w:color w:val="auto"/>
                      <w:kern w:val="0"/>
                      <w:sz w:val="18"/>
                      <w:szCs w:val="18"/>
                      <w:lang w:bidi="ar"/>
                    </w:rPr>
                  </w:pPr>
                </w:p>
              </w:tc>
              <w:tc>
                <w:tcPr>
                  <w:tcW w:w="642" w:type="pct"/>
                  <w:tcBorders>
                    <w:tl2br w:val="nil"/>
                    <w:tr2bl w:val="nil"/>
                  </w:tcBorders>
                  <w:vAlign w:val="center"/>
                </w:tcPr>
                <w:p w14:paraId="421F7C78">
                  <w:pPr>
                    <w:widowControl/>
                    <w:jc w:val="center"/>
                    <w:textAlignment w:val="center"/>
                    <w:rPr>
                      <w:color w:val="auto"/>
                      <w:kern w:val="0"/>
                      <w:sz w:val="18"/>
                      <w:szCs w:val="18"/>
                      <w:lang w:bidi="ar"/>
                    </w:rPr>
                  </w:pPr>
                  <w:r>
                    <w:rPr>
                      <w:rFonts w:hint="eastAsia"/>
                      <w:color w:val="auto"/>
                      <w:kern w:val="0"/>
                      <w:sz w:val="18"/>
                      <w:szCs w:val="18"/>
                      <w:lang w:bidi="ar"/>
                    </w:rPr>
                    <w:t>GB16297-1996</w:t>
                  </w:r>
                </w:p>
              </w:tc>
              <w:tc>
                <w:tcPr>
                  <w:tcW w:w="423" w:type="pct"/>
                  <w:tcBorders>
                    <w:tl2br w:val="nil"/>
                    <w:tr2bl w:val="nil"/>
                  </w:tcBorders>
                  <w:vAlign w:val="center"/>
                </w:tcPr>
                <w:p w14:paraId="4CF6E926">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0.77</w:t>
                  </w:r>
                </w:p>
              </w:tc>
              <w:tc>
                <w:tcPr>
                  <w:tcW w:w="392" w:type="pct"/>
                  <w:tcBorders>
                    <w:tl2br w:val="nil"/>
                    <w:tr2bl w:val="nil"/>
                  </w:tcBorders>
                  <w:vAlign w:val="center"/>
                </w:tcPr>
                <w:p w14:paraId="375B43AD">
                  <w:pPr>
                    <w:widowControl/>
                    <w:jc w:val="center"/>
                    <w:textAlignment w:val="center"/>
                    <w:rPr>
                      <w:color w:val="auto"/>
                      <w:kern w:val="0"/>
                      <w:sz w:val="18"/>
                      <w:szCs w:val="18"/>
                      <w:lang w:bidi="ar"/>
                    </w:rPr>
                  </w:pPr>
                  <w:r>
                    <w:rPr>
                      <w:rFonts w:hint="eastAsia"/>
                      <w:color w:val="auto"/>
                      <w:kern w:val="0"/>
                      <w:sz w:val="18"/>
                      <w:szCs w:val="18"/>
                      <w:lang w:bidi="ar"/>
                    </w:rPr>
                    <w:t>36</w:t>
                  </w:r>
                </w:p>
              </w:tc>
              <w:tc>
                <w:tcPr>
                  <w:tcW w:w="211" w:type="pct"/>
                  <w:tcBorders>
                    <w:tl2br w:val="nil"/>
                    <w:tr2bl w:val="nil"/>
                  </w:tcBorders>
                  <w:vAlign w:val="center"/>
                </w:tcPr>
                <w:p w14:paraId="43401AC4">
                  <w:pPr>
                    <w:widowControl/>
                    <w:jc w:val="center"/>
                    <w:textAlignment w:val="center"/>
                    <w:rPr>
                      <w:color w:val="auto"/>
                      <w:kern w:val="0"/>
                      <w:sz w:val="18"/>
                      <w:szCs w:val="18"/>
                      <w:lang w:bidi="ar"/>
                    </w:rPr>
                  </w:pPr>
                  <w:r>
                    <w:rPr>
                      <w:rFonts w:hint="eastAsia"/>
                      <w:color w:val="auto"/>
                      <w:kern w:val="0"/>
                      <w:sz w:val="18"/>
                      <w:szCs w:val="18"/>
                      <w:lang w:bidi="ar"/>
                    </w:rPr>
                    <w:t>达标</w:t>
                  </w:r>
                </w:p>
              </w:tc>
            </w:tr>
          </w:tbl>
          <w:p w14:paraId="1FF59808">
            <w:pPr>
              <w:numPr>
                <w:ilvl w:val="0"/>
                <w:numId w:val="0"/>
              </w:numPr>
              <w:adjustRightInd w:val="0"/>
              <w:snapToGrid w:val="0"/>
              <w:spacing w:before="48" w:beforeLines="20" w:after="48" w:afterLines="20" w:line="0" w:lineRule="atLeast"/>
              <w:ind w:leftChars="0"/>
              <w:jc w:val="both"/>
              <w:rPr>
                <w:b/>
                <w:bCs/>
                <w:color w:val="auto"/>
              </w:rPr>
            </w:pPr>
          </w:p>
          <w:p w14:paraId="42ACAA53">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项目无组织废气产排情况一览表</w:t>
            </w:r>
          </w:p>
          <w:tbl>
            <w:tblPr>
              <w:tblStyle w:val="88"/>
              <w:tblW w:w="497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8"/>
              <w:gridCol w:w="2551"/>
              <w:gridCol w:w="2553"/>
              <w:gridCol w:w="2553"/>
              <w:gridCol w:w="2553"/>
            </w:tblGrid>
            <w:tr w14:paraId="3E72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rPr>
              <w:tc>
                <w:tcPr>
                  <w:tcW w:w="998" w:type="pct"/>
                  <w:tcBorders>
                    <w:tl2br w:val="nil"/>
                    <w:tr2bl w:val="nil"/>
                  </w:tcBorders>
                  <w:vAlign w:val="center"/>
                </w:tcPr>
                <w:p w14:paraId="750F1820">
                  <w:pPr>
                    <w:widowControl/>
                    <w:jc w:val="center"/>
                    <w:textAlignment w:val="center"/>
                    <w:rPr>
                      <w:color w:val="auto"/>
                      <w:szCs w:val="21"/>
                    </w:rPr>
                  </w:pPr>
                  <w:r>
                    <w:rPr>
                      <w:color w:val="auto"/>
                      <w:kern w:val="0"/>
                      <w:szCs w:val="21"/>
                      <w:lang w:bidi="ar"/>
                    </w:rPr>
                    <w:t>污染源位置</w:t>
                  </w:r>
                </w:p>
              </w:tc>
              <w:tc>
                <w:tcPr>
                  <w:tcW w:w="999" w:type="pct"/>
                  <w:tcBorders>
                    <w:tl2br w:val="nil"/>
                    <w:tr2bl w:val="nil"/>
                  </w:tcBorders>
                  <w:vAlign w:val="center"/>
                </w:tcPr>
                <w:p w14:paraId="5F1D8BFE">
                  <w:pPr>
                    <w:widowControl/>
                    <w:jc w:val="center"/>
                    <w:textAlignment w:val="center"/>
                    <w:rPr>
                      <w:color w:val="auto"/>
                      <w:szCs w:val="21"/>
                    </w:rPr>
                  </w:pPr>
                  <w:r>
                    <w:rPr>
                      <w:color w:val="auto"/>
                      <w:kern w:val="0"/>
                      <w:szCs w:val="21"/>
                      <w:lang w:bidi="ar"/>
                    </w:rPr>
                    <w:t>污染物</w:t>
                  </w:r>
                </w:p>
              </w:tc>
              <w:tc>
                <w:tcPr>
                  <w:tcW w:w="1000" w:type="pct"/>
                  <w:tcBorders>
                    <w:tl2br w:val="nil"/>
                    <w:tr2bl w:val="nil"/>
                  </w:tcBorders>
                  <w:vAlign w:val="center"/>
                </w:tcPr>
                <w:p w14:paraId="0B907F98">
                  <w:pPr>
                    <w:widowControl/>
                    <w:jc w:val="center"/>
                    <w:textAlignment w:val="center"/>
                    <w:rPr>
                      <w:color w:val="auto"/>
                      <w:szCs w:val="21"/>
                    </w:rPr>
                  </w:pPr>
                  <w:r>
                    <w:rPr>
                      <w:color w:val="auto"/>
                      <w:kern w:val="0"/>
                      <w:szCs w:val="21"/>
                      <w:lang w:bidi="ar"/>
                    </w:rPr>
                    <w:t>排放量t/a</w:t>
                  </w:r>
                </w:p>
              </w:tc>
              <w:tc>
                <w:tcPr>
                  <w:tcW w:w="1000" w:type="pct"/>
                  <w:tcBorders>
                    <w:tl2br w:val="nil"/>
                    <w:tr2bl w:val="nil"/>
                  </w:tcBorders>
                  <w:vAlign w:val="center"/>
                </w:tcPr>
                <w:p w14:paraId="417BA869">
                  <w:pPr>
                    <w:widowControl/>
                    <w:jc w:val="center"/>
                    <w:textAlignment w:val="center"/>
                    <w:rPr>
                      <w:color w:val="auto"/>
                      <w:szCs w:val="21"/>
                    </w:rPr>
                  </w:pPr>
                  <w:r>
                    <w:rPr>
                      <w:color w:val="auto"/>
                      <w:kern w:val="0"/>
                      <w:szCs w:val="21"/>
                      <w:lang w:bidi="ar"/>
                    </w:rPr>
                    <w:t>排放速率kg/h</w:t>
                  </w:r>
                </w:p>
              </w:tc>
              <w:tc>
                <w:tcPr>
                  <w:tcW w:w="1000" w:type="pct"/>
                  <w:tcBorders>
                    <w:tl2br w:val="nil"/>
                    <w:tr2bl w:val="nil"/>
                  </w:tcBorders>
                  <w:vAlign w:val="center"/>
                </w:tcPr>
                <w:p w14:paraId="3FF894D8">
                  <w:pPr>
                    <w:widowControl/>
                    <w:jc w:val="center"/>
                    <w:textAlignment w:val="center"/>
                    <w:rPr>
                      <w:color w:val="auto"/>
                      <w:szCs w:val="21"/>
                    </w:rPr>
                  </w:pPr>
                  <w:r>
                    <w:rPr>
                      <w:color w:val="auto"/>
                      <w:kern w:val="0"/>
                      <w:szCs w:val="21"/>
                      <w:lang w:bidi="ar"/>
                    </w:rPr>
                    <w:t>排放时间，h</w:t>
                  </w:r>
                </w:p>
              </w:tc>
            </w:tr>
            <w:tr w14:paraId="669D7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998" w:type="pct"/>
                  <w:tcBorders>
                    <w:tl2br w:val="nil"/>
                    <w:tr2bl w:val="nil"/>
                  </w:tcBorders>
                  <w:vAlign w:val="center"/>
                </w:tcPr>
                <w:p w14:paraId="5A212D12">
                  <w:pPr>
                    <w:widowControl/>
                    <w:jc w:val="center"/>
                    <w:textAlignment w:val="center"/>
                    <w:rPr>
                      <w:color w:val="auto"/>
                      <w:szCs w:val="21"/>
                    </w:rPr>
                  </w:pPr>
                  <w:r>
                    <w:rPr>
                      <w:rFonts w:hint="eastAsia"/>
                      <w:color w:val="auto"/>
                      <w:kern w:val="0"/>
                      <w:szCs w:val="21"/>
                      <w:lang w:bidi="ar"/>
                    </w:rPr>
                    <w:t>配料、混料区</w:t>
                  </w:r>
                </w:p>
              </w:tc>
              <w:tc>
                <w:tcPr>
                  <w:tcW w:w="999" w:type="pct"/>
                  <w:tcBorders>
                    <w:tl2br w:val="nil"/>
                    <w:tr2bl w:val="nil"/>
                  </w:tcBorders>
                  <w:vAlign w:val="center"/>
                </w:tcPr>
                <w:p w14:paraId="45CAF8C9">
                  <w:pPr>
                    <w:widowControl/>
                    <w:jc w:val="center"/>
                    <w:textAlignment w:val="center"/>
                    <w:rPr>
                      <w:color w:val="auto"/>
                      <w:szCs w:val="21"/>
                    </w:rPr>
                  </w:pPr>
                  <w:r>
                    <w:rPr>
                      <w:color w:val="auto"/>
                      <w:kern w:val="0"/>
                      <w:szCs w:val="21"/>
                      <w:lang w:bidi="ar"/>
                    </w:rPr>
                    <w:t>颗粒物</w:t>
                  </w:r>
                </w:p>
              </w:tc>
              <w:tc>
                <w:tcPr>
                  <w:tcW w:w="2553" w:type="dxa"/>
                  <w:tcBorders>
                    <w:tl2br w:val="nil"/>
                    <w:tr2bl w:val="nil"/>
                  </w:tcBorders>
                  <w:vAlign w:val="center"/>
                </w:tcPr>
                <w:p w14:paraId="16B70A6B">
                  <w:pPr>
                    <w:keepNext w:val="0"/>
                    <w:keepLines w:val="0"/>
                    <w:widowControl/>
                    <w:suppressLineNumbers w:val="0"/>
                    <w:jc w:val="center"/>
                    <w:textAlignment w:val="center"/>
                    <w:rPr>
                      <w:rFonts w:hint="default" w:eastAsia="宋体"/>
                      <w:color w:val="auto"/>
                      <w:szCs w:val="21"/>
                      <w:lang w:val="en-US" w:eastAsia="zh-CN"/>
                    </w:rPr>
                  </w:pPr>
                  <w:r>
                    <w:rPr>
                      <w:rFonts w:hint="eastAsia" w:cs="Times New Roman"/>
                      <w:i w:val="0"/>
                      <w:iCs w:val="0"/>
                      <w:color w:val="auto"/>
                      <w:kern w:val="0"/>
                      <w:sz w:val="21"/>
                      <w:szCs w:val="21"/>
                      <w:u w:val="none"/>
                      <w:lang w:val="en-US" w:eastAsia="zh-CN" w:bidi="ar"/>
                    </w:rPr>
                    <w:t>0.773</w:t>
                  </w:r>
                </w:p>
              </w:tc>
              <w:tc>
                <w:tcPr>
                  <w:tcW w:w="2553" w:type="dxa"/>
                  <w:tcBorders>
                    <w:tl2br w:val="nil"/>
                    <w:tr2bl w:val="nil"/>
                  </w:tcBorders>
                  <w:vAlign w:val="center"/>
                </w:tcPr>
                <w:p w14:paraId="071764B8">
                  <w:pPr>
                    <w:keepNext w:val="0"/>
                    <w:keepLines w:val="0"/>
                    <w:widowControl/>
                    <w:suppressLineNumbers w:val="0"/>
                    <w:jc w:val="center"/>
                    <w:textAlignment w:val="center"/>
                    <w:rPr>
                      <w:rFonts w:hint="default" w:eastAsia="宋体"/>
                      <w:color w:val="auto"/>
                      <w:szCs w:val="21"/>
                      <w:lang w:val="en-US" w:eastAsia="zh-CN"/>
                    </w:rPr>
                  </w:pPr>
                  <w:r>
                    <w:rPr>
                      <w:rFonts w:hint="eastAsia" w:cs="Times New Roman"/>
                      <w:i w:val="0"/>
                      <w:iCs w:val="0"/>
                      <w:color w:val="auto"/>
                      <w:kern w:val="0"/>
                      <w:sz w:val="21"/>
                      <w:szCs w:val="21"/>
                      <w:u w:val="none"/>
                      <w:lang w:val="en-US" w:eastAsia="zh-CN" w:bidi="ar"/>
                    </w:rPr>
                    <w:t>0.242</w:t>
                  </w:r>
                </w:p>
              </w:tc>
              <w:tc>
                <w:tcPr>
                  <w:tcW w:w="1000" w:type="pct"/>
                  <w:tcBorders>
                    <w:tl2br w:val="nil"/>
                    <w:tr2bl w:val="nil"/>
                  </w:tcBorders>
                  <w:vAlign w:val="center"/>
                </w:tcPr>
                <w:p w14:paraId="277FA303">
                  <w:pPr>
                    <w:widowControl/>
                    <w:jc w:val="center"/>
                    <w:textAlignment w:val="center"/>
                    <w:rPr>
                      <w:color w:val="auto"/>
                      <w:szCs w:val="21"/>
                    </w:rPr>
                  </w:pPr>
                  <w:r>
                    <w:rPr>
                      <w:rFonts w:hint="eastAsia"/>
                      <w:color w:val="auto"/>
                      <w:kern w:val="0"/>
                      <w:szCs w:val="21"/>
                      <w:lang w:bidi="ar"/>
                    </w:rPr>
                    <w:t>3200</w:t>
                  </w:r>
                </w:p>
              </w:tc>
            </w:tr>
            <w:tr w14:paraId="46217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998" w:type="pct"/>
                  <w:vMerge w:val="restart"/>
                  <w:tcBorders>
                    <w:tl2br w:val="nil"/>
                    <w:tr2bl w:val="nil"/>
                  </w:tcBorders>
                  <w:vAlign w:val="center"/>
                </w:tcPr>
                <w:p w14:paraId="43093C93">
                  <w:pPr>
                    <w:widowControl/>
                    <w:jc w:val="center"/>
                    <w:textAlignment w:val="center"/>
                    <w:rPr>
                      <w:color w:val="auto"/>
                      <w:szCs w:val="21"/>
                    </w:rPr>
                  </w:pPr>
                  <w:r>
                    <w:rPr>
                      <w:rFonts w:hint="eastAsia"/>
                      <w:color w:val="auto"/>
                      <w:szCs w:val="21"/>
                    </w:rPr>
                    <w:t>挤出区</w:t>
                  </w:r>
                </w:p>
              </w:tc>
              <w:tc>
                <w:tcPr>
                  <w:tcW w:w="999" w:type="pct"/>
                  <w:tcBorders>
                    <w:tl2br w:val="nil"/>
                    <w:tr2bl w:val="nil"/>
                  </w:tcBorders>
                  <w:vAlign w:val="center"/>
                </w:tcPr>
                <w:p w14:paraId="5465A6B9">
                  <w:pPr>
                    <w:widowControl/>
                    <w:jc w:val="center"/>
                    <w:textAlignment w:val="center"/>
                    <w:rPr>
                      <w:color w:val="auto"/>
                      <w:szCs w:val="21"/>
                    </w:rPr>
                  </w:pPr>
                  <w:r>
                    <w:rPr>
                      <w:color w:val="auto"/>
                      <w:kern w:val="0"/>
                      <w:szCs w:val="21"/>
                      <w:lang w:bidi="ar"/>
                    </w:rPr>
                    <w:t>非甲烷总烃</w:t>
                  </w:r>
                </w:p>
              </w:tc>
              <w:tc>
                <w:tcPr>
                  <w:tcW w:w="2553" w:type="dxa"/>
                  <w:tcBorders>
                    <w:tl2br w:val="nil"/>
                    <w:tr2bl w:val="nil"/>
                  </w:tcBorders>
                  <w:vAlign w:val="center"/>
                </w:tcPr>
                <w:p w14:paraId="5AB9E072">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0.225</w:t>
                  </w:r>
                </w:p>
              </w:tc>
              <w:tc>
                <w:tcPr>
                  <w:tcW w:w="2553" w:type="dxa"/>
                  <w:tcBorders>
                    <w:tl2br w:val="nil"/>
                    <w:tr2bl w:val="nil"/>
                  </w:tcBorders>
                  <w:vAlign w:val="center"/>
                </w:tcPr>
                <w:p w14:paraId="27E45C11">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0.029</w:t>
                  </w:r>
                </w:p>
              </w:tc>
              <w:tc>
                <w:tcPr>
                  <w:tcW w:w="1000" w:type="pct"/>
                  <w:vMerge w:val="restart"/>
                  <w:tcBorders>
                    <w:tl2br w:val="nil"/>
                    <w:tr2bl w:val="nil"/>
                  </w:tcBorders>
                  <w:vAlign w:val="center"/>
                </w:tcPr>
                <w:p w14:paraId="7EACCC2B">
                  <w:pPr>
                    <w:widowControl/>
                    <w:jc w:val="center"/>
                    <w:textAlignment w:val="center"/>
                    <w:rPr>
                      <w:color w:val="auto"/>
                      <w:szCs w:val="21"/>
                    </w:rPr>
                  </w:pPr>
                  <w:r>
                    <w:rPr>
                      <w:rFonts w:hint="eastAsia"/>
                      <w:color w:val="auto"/>
                      <w:kern w:val="0"/>
                      <w:szCs w:val="21"/>
                      <w:lang w:bidi="ar"/>
                    </w:rPr>
                    <w:t>7680</w:t>
                  </w:r>
                </w:p>
              </w:tc>
            </w:tr>
            <w:tr w14:paraId="5A25F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998" w:type="pct"/>
                  <w:vMerge w:val="continue"/>
                  <w:tcBorders>
                    <w:tl2br w:val="nil"/>
                    <w:tr2bl w:val="nil"/>
                  </w:tcBorders>
                  <w:vAlign w:val="center"/>
                </w:tcPr>
                <w:p w14:paraId="0E1A228C">
                  <w:pPr>
                    <w:widowControl/>
                    <w:jc w:val="center"/>
                    <w:textAlignment w:val="center"/>
                    <w:rPr>
                      <w:color w:val="auto"/>
                      <w:kern w:val="0"/>
                      <w:szCs w:val="21"/>
                      <w:lang w:bidi="ar"/>
                    </w:rPr>
                  </w:pPr>
                </w:p>
              </w:tc>
              <w:tc>
                <w:tcPr>
                  <w:tcW w:w="999" w:type="pct"/>
                  <w:tcBorders>
                    <w:tl2br w:val="nil"/>
                    <w:tr2bl w:val="nil"/>
                  </w:tcBorders>
                  <w:vAlign w:val="center"/>
                </w:tcPr>
                <w:p w14:paraId="1BAC05DD">
                  <w:pPr>
                    <w:widowControl/>
                    <w:jc w:val="center"/>
                    <w:textAlignment w:val="center"/>
                    <w:rPr>
                      <w:color w:val="auto"/>
                      <w:kern w:val="0"/>
                      <w:szCs w:val="21"/>
                      <w:lang w:bidi="ar"/>
                    </w:rPr>
                  </w:pPr>
                  <w:r>
                    <w:rPr>
                      <w:rFonts w:hint="eastAsia"/>
                      <w:color w:val="auto"/>
                      <w:kern w:val="0"/>
                      <w:szCs w:val="21"/>
                      <w:lang w:bidi="ar"/>
                    </w:rPr>
                    <w:t>氯化氢</w:t>
                  </w:r>
                </w:p>
              </w:tc>
              <w:tc>
                <w:tcPr>
                  <w:tcW w:w="1000" w:type="pct"/>
                  <w:tcBorders>
                    <w:tl2br w:val="nil"/>
                    <w:tr2bl w:val="nil"/>
                  </w:tcBorders>
                  <w:vAlign w:val="center"/>
                </w:tcPr>
                <w:p w14:paraId="3169C12F">
                  <w:pPr>
                    <w:widowControl/>
                    <w:jc w:val="center"/>
                    <w:textAlignment w:val="center"/>
                    <w:rPr>
                      <w:color w:val="auto"/>
                      <w:kern w:val="0"/>
                      <w:szCs w:val="21"/>
                      <w:lang w:bidi="ar"/>
                    </w:rPr>
                  </w:pPr>
                  <w:r>
                    <w:rPr>
                      <w:rFonts w:hint="eastAsia"/>
                      <w:color w:val="auto"/>
                      <w:kern w:val="0"/>
                      <w:szCs w:val="21"/>
                      <w:lang w:bidi="ar"/>
                    </w:rPr>
                    <w:t>少量</w:t>
                  </w:r>
                </w:p>
              </w:tc>
              <w:tc>
                <w:tcPr>
                  <w:tcW w:w="1000" w:type="pct"/>
                  <w:tcBorders>
                    <w:tl2br w:val="nil"/>
                    <w:tr2bl w:val="nil"/>
                  </w:tcBorders>
                  <w:vAlign w:val="center"/>
                </w:tcPr>
                <w:p w14:paraId="4124F001">
                  <w:pPr>
                    <w:jc w:val="center"/>
                    <w:rPr>
                      <w:color w:val="auto"/>
                      <w:szCs w:val="21"/>
                    </w:rPr>
                  </w:pPr>
                  <w:r>
                    <w:rPr>
                      <w:rFonts w:hint="eastAsia"/>
                      <w:color w:val="auto"/>
                      <w:kern w:val="0"/>
                      <w:szCs w:val="21"/>
                      <w:lang w:bidi="ar"/>
                    </w:rPr>
                    <w:t>少量</w:t>
                  </w:r>
                </w:p>
              </w:tc>
              <w:tc>
                <w:tcPr>
                  <w:tcW w:w="1000" w:type="pct"/>
                  <w:vMerge w:val="continue"/>
                  <w:tcBorders>
                    <w:tl2br w:val="nil"/>
                    <w:tr2bl w:val="nil"/>
                  </w:tcBorders>
                  <w:vAlign w:val="center"/>
                </w:tcPr>
                <w:p w14:paraId="41183E97">
                  <w:pPr>
                    <w:widowControl/>
                    <w:jc w:val="center"/>
                    <w:textAlignment w:val="center"/>
                    <w:rPr>
                      <w:color w:val="auto"/>
                      <w:kern w:val="0"/>
                      <w:szCs w:val="21"/>
                      <w:lang w:bidi="ar"/>
                    </w:rPr>
                  </w:pPr>
                </w:p>
              </w:tc>
            </w:tr>
            <w:tr w14:paraId="61939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998" w:type="pct"/>
                  <w:vMerge w:val="continue"/>
                  <w:tcBorders>
                    <w:tl2br w:val="nil"/>
                    <w:tr2bl w:val="nil"/>
                  </w:tcBorders>
                  <w:vAlign w:val="center"/>
                </w:tcPr>
                <w:p w14:paraId="7D0434B5">
                  <w:pPr>
                    <w:widowControl/>
                    <w:jc w:val="center"/>
                    <w:textAlignment w:val="center"/>
                    <w:rPr>
                      <w:color w:val="auto"/>
                      <w:kern w:val="0"/>
                      <w:szCs w:val="21"/>
                      <w:lang w:bidi="ar"/>
                    </w:rPr>
                  </w:pPr>
                </w:p>
              </w:tc>
              <w:tc>
                <w:tcPr>
                  <w:tcW w:w="999" w:type="pct"/>
                  <w:tcBorders>
                    <w:tl2br w:val="nil"/>
                    <w:tr2bl w:val="nil"/>
                  </w:tcBorders>
                  <w:vAlign w:val="center"/>
                </w:tcPr>
                <w:p w14:paraId="2566F38D">
                  <w:pPr>
                    <w:widowControl/>
                    <w:jc w:val="center"/>
                    <w:textAlignment w:val="center"/>
                    <w:rPr>
                      <w:color w:val="auto"/>
                      <w:kern w:val="0"/>
                      <w:szCs w:val="21"/>
                      <w:lang w:bidi="ar"/>
                    </w:rPr>
                  </w:pPr>
                  <w:r>
                    <w:rPr>
                      <w:rFonts w:hint="eastAsia"/>
                      <w:color w:val="auto"/>
                      <w:kern w:val="0"/>
                      <w:szCs w:val="21"/>
                      <w:lang w:bidi="ar"/>
                    </w:rPr>
                    <w:t>氯乙烯</w:t>
                  </w:r>
                </w:p>
              </w:tc>
              <w:tc>
                <w:tcPr>
                  <w:tcW w:w="1000" w:type="pct"/>
                  <w:tcBorders>
                    <w:tl2br w:val="nil"/>
                    <w:tr2bl w:val="nil"/>
                  </w:tcBorders>
                  <w:vAlign w:val="center"/>
                </w:tcPr>
                <w:p w14:paraId="799A1BFF">
                  <w:pPr>
                    <w:widowControl/>
                    <w:jc w:val="center"/>
                    <w:textAlignment w:val="center"/>
                    <w:rPr>
                      <w:color w:val="auto"/>
                      <w:kern w:val="0"/>
                      <w:szCs w:val="21"/>
                      <w:lang w:bidi="ar"/>
                    </w:rPr>
                  </w:pPr>
                  <w:r>
                    <w:rPr>
                      <w:rFonts w:hint="eastAsia"/>
                      <w:color w:val="auto"/>
                      <w:kern w:val="0"/>
                      <w:szCs w:val="21"/>
                      <w:lang w:bidi="ar"/>
                    </w:rPr>
                    <w:t>少量</w:t>
                  </w:r>
                </w:p>
              </w:tc>
              <w:tc>
                <w:tcPr>
                  <w:tcW w:w="1000" w:type="pct"/>
                  <w:tcBorders>
                    <w:tl2br w:val="nil"/>
                    <w:tr2bl w:val="nil"/>
                  </w:tcBorders>
                  <w:vAlign w:val="center"/>
                </w:tcPr>
                <w:p w14:paraId="2830F32F">
                  <w:pPr>
                    <w:jc w:val="center"/>
                    <w:rPr>
                      <w:color w:val="auto"/>
                      <w:szCs w:val="21"/>
                    </w:rPr>
                  </w:pPr>
                  <w:r>
                    <w:rPr>
                      <w:rFonts w:hint="eastAsia"/>
                      <w:color w:val="auto"/>
                      <w:kern w:val="0"/>
                      <w:szCs w:val="21"/>
                      <w:lang w:bidi="ar"/>
                    </w:rPr>
                    <w:t>少量</w:t>
                  </w:r>
                </w:p>
              </w:tc>
              <w:tc>
                <w:tcPr>
                  <w:tcW w:w="1000" w:type="pct"/>
                  <w:vMerge w:val="continue"/>
                  <w:tcBorders>
                    <w:tl2br w:val="nil"/>
                    <w:tr2bl w:val="nil"/>
                  </w:tcBorders>
                  <w:vAlign w:val="center"/>
                </w:tcPr>
                <w:p w14:paraId="78EE1B20">
                  <w:pPr>
                    <w:widowControl/>
                    <w:jc w:val="center"/>
                    <w:textAlignment w:val="center"/>
                    <w:rPr>
                      <w:color w:val="auto"/>
                      <w:kern w:val="0"/>
                      <w:szCs w:val="21"/>
                      <w:lang w:bidi="ar"/>
                    </w:rPr>
                  </w:pPr>
                </w:p>
              </w:tc>
            </w:tr>
            <w:tr w14:paraId="10B0F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14:paraId="095A27BC">
                  <w:pPr>
                    <w:widowControl/>
                    <w:jc w:val="left"/>
                    <w:textAlignment w:val="center"/>
                    <w:rPr>
                      <w:rFonts w:hint="default" w:eastAsia="宋体"/>
                      <w:color w:val="auto"/>
                      <w:kern w:val="0"/>
                      <w:szCs w:val="21"/>
                      <w:lang w:val="en-US" w:eastAsia="zh-CN" w:bidi="ar"/>
                    </w:rPr>
                  </w:pPr>
                  <w:r>
                    <w:rPr>
                      <w:rFonts w:hint="eastAsia"/>
                      <w:color w:val="auto"/>
                      <w:kern w:val="0"/>
                      <w:szCs w:val="21"/>
                      <w:lang w:val="en-US" w:eastAsia="zh-CN" w:bidi="ar"/>
                    </w:rPr>
                    <w:t>注：本项目未被收集的粉尘大部分会沉降在车间地面（本环评按80%沉降率计，人工定期清扫回用于生产），其余以无组织形式排放。</w:t>
                  </w:r>
                </w:p>
              </w:tc>
            </w:tr>
          </w:tbl>
          <w:p w14:paraId="773A223D">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项目废气产排情况一览表</w:t>
            </w:r>
          </w:p>
          <w:tbl>
            <w:tblPr>
              <w:tblStyle w:val="88"/>
              <w:tblW w:w="49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2038"/>
              <w:gridCol w:w="2092"/>
              <w:gridCol w:w="2133"/>
              <w:gridCol w:w="2169"/>
              <w:gridCol w:w="2077"/>
              <w:gridCol w:w="2248"/>
            </w:tblGrid>
            <w:tr w14:paraId="57A3A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99" w:type="pct"/>
                  <w:tcBorders>
                    <w:tl2br w:val="nil"/>
                    <w:tr2bl w:val="nil"/>
                  </w:tcBorders>
                  <w:vAlign w:val="center"/>
                </w:tcPr>
                <w:p w14:paraId="0C40797F">
                  <w:pPr>
                    <w:jc w:val="center"/>
                    <w:rPr>
                      <w:color w:val="auto"/>
                      <w:szCs w:val="21"/>
                    </w:rPr>
                  </w:pPr>
                  <w:r>
                    <w:rPr>
                      <w:color w:val="auto"/>
                      <w:szCs w:val="21"/>
                    </w:rPr>
                    <w:t>污染物</w:t>
                  </w:r>
                </w:p>
              </w:tc>
              <w:tc>
                <w:tcPr>
                  <w:tcW w:w="820" w:type="pct"/>
                  <w:tcBorders>
                    <w:tl2br w:val="nil"/>
                    <w:tr2bl w:val="nil"/>
                  </w:tcBorders>
                  <w:vAlign w:val="center"/>
                </w:tcPr>
                <w:p w14:paraId="2081B004">
                  <w:pPr>
                    <w:jc w:val="center"/>
                    <w:rPr>
                      <w:color w:val="auto"/>
                      <w:szCs w:val="21"/>
                    </w:rPr>
                  </w:pPr>
                  <w:r>
                    <w:rPr>
                      <w:color w:val="auto"/>
                      <w:szCs w:val="21"/>
                    </w:rPr>
                    <w:t>产生量</w:t>
                  </w:r>
                  <w:r>
                    <w:rPr>
                      <w:color w:val="auto"/>
                      <w:kern w:val="0"/>
                      <w:szCs w:val="21"/>
                      <w:lang w:bidi="ar"/>
                    </w:rPr>
                    <w:t>t/a</w:t>
                  </w:r>
                </w:p>
              </w:tc>
              <w:tc>
                <w:tcPr>
                  <w:tcW w:w="835" w:type="pct"/>
                  <w:tcBorders>
                    <w:tl2br w:val="nil"/>
                    <w:tr2bl w:val="nil"/>
                  </w:tcBorders>
                  <w:vAlign w:val="center"/>
                </w:tcPr>
                <w:p w14:paraId="2A4A49BE">
                  <w:pPr>
                    <w:jc w:val="center"/>
                    <w:rPr>
                      <w:color w:val="auto"/>
                      <w:szCs w:val="21"/>
                    </w:rPr>
                  </w:pPr>
                  <w:r>
                    <w:rPr>
                      <w:color w:val="auto"/>
                      <w:szCs w:val="21"/>
                    </w:rPr>
                    <w:t>削减量</w:t>
                  </w:r>
                  <w:r>
                    <w:rPr>
                      <w:color w:val="auto"/>
                      <w:kern w:val="0"/>
                      <w:szCs w:val="21"/>
                      <w:lang w:bidi="ar"/>
                    </w:rPr>
                    <w:t>t/a</w:t>
                  </w:r>
                </w:p>
              </w:tc>
              <w:tc>
                <w:tcPr>
                  <w:tcW w:w="849" w:type="pct"/>
                  <w:tcBorders>
                    <w:tl2br w:val="nil"/>
                    <w:tr2bl w:val="nil"/>
                  </w:tcBorders>
                  <w:vAlign w:val="center"/>
                </w:tcPr>
                <w:p w14:paraId="7EFBD204">
                  <w:pPr>
                    <w:jc w:val="center"/>
                    <w:rPr>
                      <w:color w:val="auto"/>
                      <w:szCs w:val="21"/>
                    </w:rPr>
                  </w:pPr>
                  <w:r>
                    <w:rPr>
                      <w:color w:val="auto"/>
                      <w:szCs w:val="21"/>
                    </w:rPr>
                    <w:t>有组织排放量</w:t>
                  </w:r>
                  <w:r>
                    <w:rPr>
                      <w:color w:val="auto"/>
                      <w:kern w:val="0"/>
                      <w:szCs w:val="21"/>
                      <w:lang w:bidi="ar"/>
                    </w:rPr>
                    <w:t>t/a</w:t>
                  </w:r>
                </w:p>
              </w:tc>
              <w:tc>
                <w:tcPr>
                  <w:tcW w:w="814" w:type="pct"/>
                  <w:tcBorders>
                    <w:tl2br w:val="nil"/>
                    <w:tr2bl w:val="nil"/>
                  </w:tcBorders>
                  <w:vAlign w:val="center"/>
                </w:tcPr>
                <w:p w14:paraId="1DB4D50C">
                  <w:pPr>
                    <w:jc w:val="center"/>
                    <w:rPr>
                      <w:color w:val="auto"/>
                      <w:szCs w:val="21"/>
                    </w:rPr>
                  </w:pPr>
                  <w:r>
                    <w:rPr>
                      <w:color w:val="auto"/>
                      <w:szCs w:val="21"/>
                    </w:rPr>
                    <w:t>无组织排放量</w:t>
                  </w:r>
                  <w:r>
                    <w:rPr>
                      <w:color w:val="auto"/>
                      <w:kern w:val="0"/>
                      <w:szCs w:val="21"/>
                      <w:lang w:bidi="ar"/>
                    </w:rPr>
                    <w:t>t/a</w:t>
                  </w:r>
                </w:p>
              </w:tc>
              <w:tc>
                <w:tcPr>
                  <w:tcW w:w="880" w:type="pct"/>
                  <w:tcBorders>
                    <w:tl2br w:val="nil"/>
                    <w:tr2bl w:val="nil"/>
                  </w:tcBorders>
                  <w:vAlign w:val="center"/>
                </w:tcPr>
                <w:p w14:paraId="3D5DEEEC">
                  <w:pPr>
                    <w:jc w:val="center"/>
                    <w:rPr>
                      <w:color w:val="auto"/>
                      <w:szCs w:val="21"/>
                    </w:rPr>
                  </w:pPr>
                  <w:r>
                    <w:rPr>
                      <w:color w:val="auto"/>
                      <w:szCs w:val="21"/>
                    </w:rPr>
                    <w:t>合计排放量</w:t>
                  </w:r>
                  <w:r>
                    <w:rPr>
                      <w:color w:val="auto"/>
                      <w:kern w:val="0"/>
                      <w:szCs w:val="21"/>
                      <w:lang w:bidi="ar"/>
                    </w:rPr>
                    <w:t>t/a</w:t>
                  </w:r>
                </w:p>
              </w:tc>
            </w:tr>
            <w:tr w14:paraId="10F8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99" w:type="pct"/>
                  <w:tcBorders>
                    <w:tl2br w:val="nil"/>
                    <w:tr2bl w:val="nil"/>
                  </w:tcBorders>
                  <w:vAlign w:val="center"/>
                </w:tcPr>
                <w:p w14:paraId="3CE7D658">
                  <w:pPr>
                    <w:jc w:val="center"/>
                    <w:rPr>
                      <w:color w:val="auto"/>
                      <w:szCs w:val="21"/>
                    </w:rPr>
                  </w:pPr>
                  <w:r>
                    <w:rPr>
                      <w:color w:val="auto"/>
                      <w:szCs w:val="21"/>
                    </w:rPr>
                    <w:t>颗粒物</w:t>
                  </w:r>
                </w:p>
              </w:tc>
              <w:tc>
                <w:tcPr>
                  <w:tcW w:w="820" w:type="pct"/>
                  <w:tcBorders>
                    <w:tl2br w:val="nil"/>
                    <w:tr2bl w:val="nil"/>
                  </w:tcBorders>
                  <w:vAlign w:val="center"/>
                </w:tcPr>
                <w:p w14:paraId="2516B5E7">
                  <w:pPr>
                    <w:widowControl/>
                    <w:jc w:val="center"/>
                    <w:textAlignment w:val="center"/>
                    <w:rPr>
                      <w:rFonts w:hint="default" w:eastAsia="宋体"/>
                      <w:color w:val="auto"/>
                      <w:szCs w:val="21"/>
                      <w:lang w:val="en-US" w:eastAsia="zh-CN"/>
                    </w:rPr>
                  </w:pPr>
                  <w:r>
                    <w:rPr>
                      <w:rFonts w:hint="eastAsia"/>
                      <w:color w:val="auto"/>
                      <w:szCs w:val="21"/>
                      <w:lang w:val="en-US" w:eastAsia="zh-CN"/>
                    </w:rPr>
                    <w:t>39.662</w:t>
                  </w:r>
                </w:p>
              </w:tc>
              <w:tc>
                <w:tcPr>
                  <w:tcW w:w="2133" w:type="dxa"/>
                  <w:tcBorders>
                    <w:tl2br w:val="nil"/>
                    <w:tr2bl w:val="nil"/>
                  </w:tcBorders>
                  <w:vAlign w:val="center"/>
                </w:tcPr>
                <w:p w14:paraId="734D20C7">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38.889</w:t>
                  </w:r>
                </w:p>
              </w:tc>
              <w:tc>
                <w:tcPr>
                  <w:tcW w:w="2169" w:type="dxa"/>
                  <w:tcBorders>
                    <w:tl2br w:val="nil"/>
                    <w:tr2bl w:val="nil"/>
                  </w:tcBorders>
                  <w:vAlign w:val="center"/>
                </w:tcPr>
                <w:p w14:paraId="70EF6588">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w:t>
                  </w:r>
                </w:p>
              </w:tc>
              <w:tc>
                <w:tcPr>
                  <w:tcW w:w="2077" w:type="dxa"/>
                  <w:tcBorders>
                    <w:tl2br w:val="nil"/>
                    <w:tr2bl w:val="nil"/>
                  </w:tcBorders>
                  <w:vAlign w:val="center"/>
                </w:tcPr>
                <w:p w14:paraId="2B16FA55">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0.773</w:t>
                  </w:r>
                </w:p>
              </w:tc>
              <w:tc>
                <w:tcPr>
                  <w:tcW w:w="2248" w:type="dxa"/>
                  <w:tcBorders>
                    <w:tl2br w:val="nil"/>
                    <w:tr2bl w:val="nil"/>
                  </w:tcBorders>
                  <w:vAlign w:val="center"/>
                </w:tcPr>
                <w:p w14:paraId="2B8E6652">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0.773</w:t>
                  </w:r>
                </w:p>
              </w:tc>
            </w:tr>
            <w:tr w14:paraId="229D7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99" w:type="pct"/>
                  <w:tcBorders>
                    <w:tl2br w:val="nil"/>
                    <w:tr2bl w:val="nil"/>
                  </w:tcBorders>
                  <w:vAlign w:val="center"/>
                </w:tcPr>
                <w:p w14:paraId="1C6F60D8">
                  <w:pPr>
                    <w:jc w:val="center"/>
                    <w:rPr>
                      <w:color w:val="auto"/>
                      <w:szCs w:val="21"/>
                    </w:rPr>
                  </w:pPr>
                  <w:r>
                    <w:rPr>
                      <w:rFonts w:hint="eastAsia"/>
                      <w:color w:val="auto"/>
                      <w:szCs w:val="21"/>
                    </w:rPr>
                    <w:t>非甲烷总烃</w:t>
                  </w:r>
                </w:p>
              </w:tc>
              <w:tc>
                <w:tcPr>
                  <w:tcW w:w="820" w:type="pct"/>
                  <w:tcBorders>
                    <w:tl2br w:val="nil"/>
                    <w:tr2bl w:val="nil"/>
                  </w:tcBorders>
                  <w:vAlign w:val="center"/>
                </w:tcPr>
                <w:p w14:paraId="77E300B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1.501</w:t>
                  </w:r>
                </w:p>
              </w:tc>
              <w:tc>
                <w:tcPr>
                  <w:tcW w:w="2133" w:type="dxa"/>
                  <w:tcBorders>
                    <w:tl2br w:val="nil"/>
                    <w:tr2bl w:val="nil"/>
                  </w:tcBorders>
                  <w:vAlign w:val="center"/>
                </w:tcPr>
                <w:p w14:paraId="5A9EE91B">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0.957</w:t>
                  </w:r>
                </w:p>
              </w:tc>
              <w:tc>
                <w:tcPr>
                  <w:tcW w:w="2169" w:type="dxa"/>
                  <w:tcBorders>
                    <w:tl2br w:val="nil"/>
                    <w:tr2bl w:val="nil"/>
                  </w:tcBorders>
                  <w:vAlign w:val="center"/>
                </w:tcPr>
                <w:p w14:paraId="1D61AA6B">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0.319</w:t>
                  </w:r>
                </w:p>
              </w:tc>
              <w:tc>
                <w:tcPr>
                  <w:tcW w:w="2077" w:type="dxa"/>
                  <w:tcBorders>
                    <w:tl2br w:val="nil"/>
                    <w:tr2bl w:val="nil"/>
                  </w:tcBorders>
                  <w:vAlign w:val="center"/>
                </w:tcPr>
                <w:p w14:paraId="46D39D2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0.225</w:t>
                  </w:r>
                </w:p>
              </w:tc>
              <w:tc>
                <w:tcPr>
                  <w:tcW w:w="2248" w:type="dxa"/>
                  <w:tcBorders>
                    <w:tl2br w:val="nil"/>
                    <w:tr2bl w:val="nil"/>
                  </w:tcBorders>
                  <w:vAlign w:val="center"/>
                </w:tcPr>
                <w:p w14:paraId="3F4058DA">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0.544</w:t>
                  </w:r>
                </w:p>
              </w:tc>
            </w:tr>
            <w:tr w14:paraId="5B6ED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99" w:type="pct"/>
                  <w:tcBorders>
                    <w:tl2br w:val="nil"/>
                    <w:tr2bl w:val="nil"/>
                  </w:tcBorders>
                  <w:vAlign w:val="center"/>
                </w:tcPr>
                <w:p w14:paraId="0DE3FEAE">
                  <w:pPr>
                    <w:jc w:val="center"/>
                    <w:rPr>
                      <w:color w:val="auto"/>
                      <w:szCs w:val="21"/>
                    </w:rPr>
                  </w:pPr>
                  <w:r>
                    <w:rPr>
                      <w:rFonts w:hint="eastAsia"/>
                      <w:color w:val="auto"/>
                      <w:szCs w:val="21"/>
                    </w:rPr>
                    <w:t>氯化氢</w:t>
                  </w:r>
                </w:p>
              </w:tc>
              <w:tc>
                <w:tcPr>
                  <w:tcW w:w="820" w:type="pct"/>
                  <w:tcBorders>
                    <w:tl2br w:val="nil"/>
                    <w:tr2bl w:val="nil"/>
                  </w:tcBorders>
                  <w:vAlign w:val="center"/>
                </w:tcPr>
                <w:p w14:paraId="7EAE0903">
                  <w:pPr>
                    <w:widowControl/>
                    <w:jc w:val="center"/>
                    <w:textAlignment w:val="center"/>
                    <w:rPr>
                      <w:color w:val="auto"/>
                      <w:kern w:val="0"/>
                      <w:szCs w:val="21"/>
                      <w:lang w:bidi="ar"/>
                    </w:rPr>
                  </w:pPr>
                  <w:r>
                    <w:rPr>
                      <w:rFonts w:hint="eastAsia"/>
                      <w:color w:val="auto"/>
                      <w:kern w:val="0"/>
                      <w:szCs w:val="21"/>
                      <w:lang w:bidi="ar"/>
                    </w:rPr>
                    <w:t>少量</w:t>
                  </w:r>
                </w:p>
              </w:tc>
              <w:tc>
                <w:tcPr>
                  <w:tcW w:w="2132" w:type="dxa"/>
                  <w:tcBorders>
                    <w:tl2br w:val="nil"/>
                    <w:tr2bl w:val="nil"/>
                  </w:tcBorders>
                  <w:vAlign w:val="center"/>
                </w:tcPr>
                <w:p w14:paraId="759CB3F2">
                  <w:pPr>
                    <w:widowControl/>
                    <w:jc w:val="center"/>
                    <w:textAlignment w:val="center"/>
                    <w:rPr>
                      <w:color w:val="auto"/>
                      <w:kern w:val="0"/>
                      <w:szCs w:val="21"/>
                      <w:lang w:bidi="ar"/>
                    </w:rPr>
                  </w:pPr>
                  <w:r>
                    <w:rPr>
                      <w:rFonts w:hint="eastAsia"/>
                      <w:color w:val="auto"/>
                      <w:kern w:val="0"/>
                      <w:szCs w:val="21"/>
                      <w:lang w:bidi="ar"/>
                    </w:rPr>
                    <w:t>少量</w:t>
                  </w:r>
                </w:p>
              </w:tc>
              <w:tc>
                <w:tcPr>
                  <w:tcW w:w="2168" w:type="dxa"/>
                  <w:tcBorders>
                    <w:tl2br w:val="nil"/>
                    <w:tr2bl w:val="nil"/>
                  </w:tcBorders>
                  <w:vAlign w:val="center"/>
                </w:tcPr>
                <w:p w14:paraId="17B02E7F">
                  <w:pPr>
                    <w:widowControl/>
                    <w:jc w:val="center"/>
                    <w:textAlignment w:val="center"/>
                    <w:rPr>
                      <w:color w:val="auto"/>
                      <w:kern w:val="0"/>
                      <w:szCs w:val="21"/>
                      <w:lang w:bidi="ar"/>
                    </w:rPr>
                  </w:pPr>
                  <w:r>
                    <w:rPr>
                      <w:rFonts w:hint="eastAsia"/>
                      <w:color w:val="auto"/>
                      <w:kern w:val="0"/>
                      <w:szCs w:val="21"/>
                      <w:lang w:bidi="ar"/>
                    </w:rPr>
                    <w:t>少量</w:t>
                  </w:r>
                </w:p>
              </w:tc>
              <w:tc>
                <w:tcPr>
                  <w:tcW w:w="2078" w:type="dxa"/>
                  <w:tcBorders>
                    <w:tl2br w:val="nil"/>
                    <w:tr2bl w:val="nil"/>
                  </w:tcBorders>
                  <w:vAlign w:val="center"/>
                </w:tcPr>
                <w:p w14:paraId="5CF4810C">
                  <w:pPr>
                    <w:widowControl/>
                    <w:jc w:val="center"/>
                    <w:textAlignment w:val="center"/>
                    <w:rPr>
                      <w:color w:val="auto"/>
                      <w:kern w:val="0"/>
                      <w:szCs w:val="21"/>
                      <w:lang w:bidi="ar"/>
                    </w:rPr>
                  </w:pPr>
                  <w:r>
                    <w:rPr>
                      <w:rFonts w:hint="eastAsia"/>
                      <w:color w:val="auto"/>
                      <w:kern w:val="0"/>
                      <w:szCs w:val="21"/>
                      <w:lang w:bidi="ar"/>
                    </w:rPr>
                    <w:t>少量</w:t>
                  </w:r>
                </w:p>
              </w:tc>
              <w:tc>
                <w:tcPr>
                  <w:tcW w:w="2247" w:type="dxa"/>
                  <w:tcBorders>
                    <w:tl2br w:val="nil"/>
                    <w:tr2bl w:val="nil"/>
                  </w:tcBorders>
                  <w:vAlign w:val="center"/>
                </w:tcPr>
                <w:p w14:paraId="2B078B11">
                  <w:pPr>
                    <w:widowControl/>
                    <w:jc w:val="center"/>
                    <w:textAlignment w:val="center"/>
                    <w:rPr>
                      <w:color w:val="auto"/>
                      <w:kern w:val="0"/>
                      <w:szCs w:val="21"/>
                      <w:lang w:bidi="ar"/>
                    </w:rPr>
                  </w:pPr>
                  <w:r>
                    <w:rPr>
                      <w:rFonts w:hint="eastAsia"/>
                      <w:color w:val="auto"/>
                      <w:kern w:val="0"/>
                      <w:szCs w:val="21"/>
                      <w:lang w:bidi="ar"/>
                    </w:rPr>
                    <w:t>少量</w:t>
                  </w:r>
                </w:p>
              </w:tc>
            </w:tr>
            <w:tr w14:paraId="1C4C9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799" w:type="pct"/>
                  <w:tcBorders>
                    <w:tl2br w:val="nil"/>
                    <w:tr2bl w:val="nil"/>
                  </w:tcBorders>
                  <w:vAlign w:val="center"/>
                </w:tcPr>
                <w:p w14:paraId="4785A570">
                  <w:pPr>
                    <w:jc w:val="center"/>
                    <w:rPr>
                      <w:color w:val="auto"/>
                      <w:szCs w:val="21"/>
                    </w:rPr>
                  </w:pPr>
                  <w:r>
                    <w:rPr>
                      <w:rFonts w:hint="eastAsia"/>
                      <w:color w:val="auto"/>
                      <w:szCs w:val="21"/>
                    </w:rPr>
                    <w:t>氯乙烯</w:t>
                  </w:r>
                </w:p>
              </w:tc>
              <w:tc>
                <w:tcPr>
                  <w:tcW w:w="820" w:type="pct"/>
                  <w:tcBorders>
                    <w:tl2br w:val="nil"/>
                    <w:tr2bl w:val="nil"/>
                  </w:tcBorders>
                  <w:vAlign w:val="center"/>
                </w:tcPr>
                <w:p w14:paraId="6D2888E2">
                  <w:pPr>
                    <w:widowControl/>
                    <w:jc w:val="center"/>
                    <w:textAlignment w:val="center"/>
                    <w:rPr>
                      <w:color w:val="auto"/>
                      <w:kern w:val="0"/>
                      <w:szCs w:val="21"/>
                      <w:lang w:bidi="ar"/>
                    </w:rPr>
                  </w:pPr>
                  <w:r>
                    <w:rPr>
                      <w:rFonts w:hint="eastAsia"/>
                      <w:color w:val="auto"/>
                      <w:kern w:val="0"/>
                      <w:szCs w:val="21"/>
                      <w:lang w:bidi="ar"/>
                    </w:rPr>
                    <w:t>少量</w:t>
                  </w:r>
                </w:p>
              </w:tc>
              <w:tc>
                <w:tcPr>
                  <w:tcW w:w="2132" w:type="dxa"/>
                  <w:tcBorders>
                    <w:tl2br w:val="nil"/>
                    <w:tr2bl w:val="nil"/>
                  </w:tcBorders>
                  <w:vAlign w:val="center"/>
                </w:tcPr>
                <w:p w14:paraId="47184614">
                  <w:pPr>
                    <w:widowControl/>
                    <w:jc w:val="center"/>
                    <w:textAlignment w:val="center"/>
                    <w:rPr>
                      <w:color w:val="auto"/>
                      <w:kern w:val="0"/>
                      <w:szCs w:val="21"/>
                      <w:lang w:bidi="ar"/>
                    </w:rPr>
                  </w:pPr>
                  <w:r>
                    <w:rPr>
                      <w:rFonts w:hint="eastAsia"/>
                      <w:color w:val="auto"/>
                      <w:kern w:val="0"/>
                      <w:szCs w:val="21"/>
                      <w:lang w:bidi="ar"/>
                    </w:rPr>
                    <w:t>少量</w:t>
                  </w:r>
                </w:p>
              </w:tc>
              <w:tc>
                <w:tcPr>
                  <w:tcW w:w="2168" w:type="dxa"/>
                  <w:tcBorders>
                    <w:tl2br w:val="nil"/>
                    <w:tr2bl w:val="nil"/>
                  </w:tcBorders>
                  <w:vAlign w:val="center"/>
                </w:tcPr>
                <w:p w14:paraId="09455066">
                  <w:pPr>
                    <w:widowControl/>
                    <w:jc w:val="center"/>
                    <w:textAlignment w:val="center"/>
                    <w:rPr>
                      <w:color w:val="auto"/>
                      <w:kern w:val="0"/>
                      <w:szCs w:val="21"/>
                      <w:lang w:bidi="ar"/>
                    </w:rPr>
                  </w:pPr>
                  <w:r>
                    <w:rPr>
                      <w:rFonts w:hint="eastAsia"/>
                      <w:color w:val="auto"/>
                      <w:kern w:val="0"/>
                      <w:szCs w:val="21"/>
                      <w:lang w:bidi="ar"/>
                    </w:rPr>
                    <w:t>少量</w:t>
                  </w:r>
                </w:p>
              </w:tc>
              <w:tc>
                <w:tcPr>
                  <w:tcW w:w="2078" w:type="dxa"/>
                  <w:tcBorders>
                    <w:tl2br w:val="nil"/>
                    <w:tr2bl w:val="nil"/>
                  </w:tcBorders>
                  <w:vAlign w:val="center"/>
                </w:tcPr>
                <w:p w14:paraId="432A1872">
                  <w:pPr>
                    <w:widowControl/>
                    <w:jc w:val="center"/>
                    <w:textAlignment w:val="center"/>
                    <w:rPr>
                      <w:color w:val="auto"/>
                      <w:kern w:val="0"/>
                      <w:szCs w:val="21"/>
                      <w:lang w:bidi="ar"/>
                    </w:rPr>
                  </w:pPr>
                  <w:r>
                    <w:rPr>
                      <w:rFonts w:hint="eastAsia"/>
                      <w:color w:val="auto"/>
                      <w:kern w:val="0"/>
                      <w:szCs w:val="21"/>
                      <w:lang w:bidi="ar"/>
                    </w:rPr>
                    <w:t>少量</w:t>
                  </w:r>
                </w:p>
              </w:tc>
              <w:tc>
                <w:tcPr>
                  <w:tcW w:w="2247" w:type="dxa"/>
                  <w:tcBorders>
                    <w:tl2br w:val="nil"/>
                    <w:tr2bl w:val="nil"/>
                  </w:tcBorders>
                  <w:vAlign w:val="center"/>
                </w:tcPr>
                <w:p w14:paraId="40F89A84">
                  <w:pPr>
                    <w:widowControl/>
                    <w:jc w:val="center"/>
                    <w:textAlignment w:val="center"/>
                    <w:rPr>
                      <w:color w:val="auto"/>
                      <w:kern w:val="0"/>
                      <w:szCs w:val="21"/>
                      <w:lang w:bidi="ar"/>
                    </w:rPr>
                  </w:pPr>
                  <w:r>
                    <w:rPr>
                      <w:rFonts w:hint="eastAsia"/>
                      <w:color w:val="auto"/>
                      <w:kern w:val="0"/>
                      <w:szCs w:val="21"/>
                      <w:lang w:bidi="ar"/>
                    </w:rPr>
                    <w:t>少量</w:t>
                  </w:r>
                </w:p>
              </w:tc>
            </w:tr>
          </w:tbl>
          <w:p w14:paraId="40478A7F">
            <w:pPr>
              <w:adjustRightInd w:val="0"/>
              <w:snapToGrid w:val="0"/>
              <w:spacing w:line="460" w:lineRule="exact"/>
              <w:ind w:firstLine="425"/>
              <w:rPr>
                <w:color w:val="auto"/>
                <w:sz w:val="24"/>
              </w:rPr>
            </w:pPr>
            <w:r>
              <w:rPr>
                <w:rFonts w:hint="eastAsia"/>
                <w:color w:val="auto"/>
                <w:sz w:val="24"/>
              </w:rPr>
              <w:t>（2）废气排放口基本情况</w:t>
            </w:r>
          </w:p>
          <w:p w14:paraId="13990567">
            <w:pPr>
              <w:adjustRightInd w:val="0"/>
              <w:snapToGrid w:val="0"/>
              <w:spacing w:line="460" w:lineRule="exact"/>
              <w:ind w:firstLine="425"/>
              <w:rPr>
                <w:color w:val="auto"/>
                <w:sz w:val="24"/>
              </w:rPr>
            </w:pPr>
            <w:r>
              <w:rPr>
                <w:rFonts w:hint="eastAsia"/>
                <w:color w:val="auto"/>
                <w:sz w:val="24"/>
              </w:rPr>
              <w:t>废气排放口基本情况见下表。</w:t>
            </w:r>
          </w:p>
          <w:p w14:paraId="7070FD08">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项目废气排放口基本情况</w:t>
            </w:r>
          </w:p>
          <w:tbl>
            <w:tblPr>
              <w:tblStyle w:val="89"/>
              <w:tblW w:w="12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04"/>
              <w:gridCol w:w="1260"/>
              <w:gridCol w:w="1200"/>
              <w:gridCol w:w="1396"/>
              <w:gridCol w:w="992"/>
              <w:gridCol w:w="1428"/>
              <w:gridCol w:w="1148"/>
              <w:gridCol w:w="1576"/>
              <w:gridCol w:w="1280"/>
            </w:tblGrid>
            <w:tr w14:paraId="5B83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0" w:type="dxa"/>
                  <w:vMerge w:val="restart"/>
                  <w:vAlign w:val="center"/>
                </w:tcPr>
                <w:p w14:paraId="39A81A16">
                  <w:pPr>
                    <w:jc w:val="center"/>
                    <w:rPr>
                      <w:color w:val="auto"/>
                      <w:szCs w:val="21"/>
                    </w:rPr>
                  </w:pPr>
                  <w:r>
                    <w:rPr>
                      <w:color w:val="auto"/>
                    </w:rPr>
                    <w:t>编号</w:t>
                  </w:r>
                </w:p>
              </w:tc>
              <w:tc>
                <w:tcPr>
                  <w:tcW w:w="1704" w:type="dxa"/>
                  <w:vMerge w:val="restart"/>
                  <w:vAlign w:val="center"/>
                </w:tcPr>
                <w:p w14:paraId="00FD9357">
                  <w:pPr>
                    <w:jc w:val="center"/>
                    <w:rPr>
                      <w:color w:val="auto"/>
                      <w:szCs w:val="21"/>
                    </w:rPr>
                  </w:pPr>
                  <w:r>
                    <w:rPr>
                      <w:color w:val="auto"/>
                    </w:rPr>
                    <w:t>名称</w:t>
                  </w:r>
                </w:p>
              </w:tc>
              <w:tc>
                <w:tcPr>
                  <w:tcW w:w="2460" w:type="dxa"/>
                  <w:gridSpan w:val="2"/>
                  <w:vAlign w:val="center"/>
                </w:tcPr>
                <w:p w14:paraId="1B0A1FD0">
                  <w:pPr>
                    <w:jc w:val="center"/>
                    <w:rPr>
                      <w:color w:val="auto"/>
                      <w:szCs w:val="21"/>
                    </w:rPr>
                  </w:pPr>
                  <w:r>
                    <w:rPr>
                      <w:color w:val="auto"/>
                    </w:rPr>
                    <w:t>排气筒底部中心坐标</w:t>
                  </w:r>
                </w:p>
              </w:tc>
              <w:tc>
                <w:tcPr>
                  <w:tcW w:w="1396" w:type="dxa"/>
                  <w:vMerge w:val="restart"/>
                  <w:vAlign w:val="center"/>
                </w:tcPr>
                <w:p w14:paraId="6E7332AC">
                  <w:pPr>
                    <w:jc w:val="center"/>
                    <w:rPr>
                      <w:rFonts w:hint="eastAsia" w:eastAsia="宋体"/>
                      <w:color w:val="auto"/>
                      <w:szCs w:val="21"/>
                      <w:lang w:eastAsia="zh-CN"/>
                    </w:rPr>
                  </w:pPr>
                  <w:r>
                    <w:rPr>
                      <w:color w:val="auto"/>
                    </w:rPr>
                    <w:t>排气筒高度</w:t>
                  </w:r>
                  <w:r>
                    <w:rPr>
                      <w:rFonts w:hint="eastAsia"/>
                      <w:color w:val="auto"/>
                      <w:lang w:val="en-US" w:eastAsia="zh-CN"/>
                    </w:rPr>
                    <w:t>(m)</w:t>
                  </w:r>
                </w:p>
              </w:tc>
              <w:tc>
                <w:tcPr>
                  <w:tcW w:w="992" w:type="dxa"/>
                  <w:vMerge w:val="restart"/>
                  <w:vAlign w:val="center"/>
                </w:tcPr>
                <w:p w14:paraId="07E390FE">
                  <w:pPr>
                    <w:jc w:val="center"/>
                    <w:rPr>
                      <w:rFonts w:hint="eastAsia"/>
                      <w:color w:val="auto"/>
                      <w:lang w:val="en-US" w:eastAsia="zh-CN"/>
                    </w:rPr>
                  </w:pPr>
                  <w:r>
                    <w:rPr>
                      <w:rFonts w:hint="eastAsia"/>
                      <w:color w:val="auto"/>
                      <w:lang w:val="en-US" w:eastAsia="zh-CN"/>
                    </w:rPr>
                    <w:t>风速</w:t>
                  </w:r>
                </w:p>
                <w:p w14:paraId="1B1B904B">
                  <w:pPr>
                    <w:jc w:val="center"/>
                    <w:rPr>
                      <w:rFonts w:hint="default"/>
                      <w:color w:val="auto"/>
                      <w:lang w:val="en-US" w:eastAsia="zh-CN"/>
                    </w:rPr>
                  </w:pPr>
                  <w:r>
                    <w:rPr>
                      <w:rFonts w:hint="eastAsia"/>
                      <w:color w:val="auto"/>
                      <w:lang w:val="en-US" w:eastAsia="zh-CN"/>
                    </w:rPr>
                    <w:t>(m/s)</w:t>
                  </w:r>
                </w:p>
              </w:tc>
              <w:tc>
                <w:tcPr>
                  <w:tcW w:w="1428" w:type="dxa"/>
                  <w:vMerge w:val="restart"/>
                  <w:vAlign w:val="center"/>
                </w:tcPr>
                <w:p w14:paraId="546BDA18">
                  <w:pPr>
                    <w:jc w:val="center"/>
                    <w:rPr>
                      <w:rFonts w:hint="default" w:eastAsia="宋体"/>
                      <w:color w:val="auto"/>
                      <w:szCs w:val="21"/>
                      <w:lang w:val="en-US" w:eastAsia="zh-CN"/>
                    </w:rPr>
                  </w:pPr>
                  <w:r>
                    <w:rPr>
                      <w:color w:val="auto"/>
                    </w:rPr>
                    <w:t>排气筒出口内径</w:t>
                  </w:r>
                  <w:r>
                    <w:rPr>
                      <w:rFonts w:hint="eastAsia"/>
                      <w:color w:val="auto"/>
                      <w:lang w:val="en-US" w:eastAsia="zh-CN"/>
                    </w:rPr>
                    <w:t>(m)</w:t>
                  </w:r>
                </w:p>
              </w:tc>
              <w:tc>
                <w:tcPr>
                  <w:tcW w:w="1148" w:type="dxa"/>
                  <w:vMerge w:val="restart"/>
                  <w:vAlign w:val="center"/>
                </w:tcPr>
                <w:p w14:paraId="489AB8A3">
                  <w:pPr>
                    <w:jc w:val="center"/>
                    <w:rPr>
                      <w:rFonts w:hint="eastAsia" w:eastAsia="宋体"/>
                      <w:color w:val="auto"/>
                      <w:szCs w:val="21"/>
                      <w:lang w:val="en-US" w:eastAsia="zh-CN"/>
                    </w:rPr>
                  </w:pPr>
                  <w:r>
                    <w:rPr>
                      <w:color w:val="auto"/>
                    </w:rPr>
                    <w:t>烟气温度</w:t>
                  </w:r>
                  <w:r>
                    <w:rPr>
                      <w:rFonts w:hint="eastAsia"/>
                      <w:color w:val="auto"/>
                      <w:lang w:val="en-US" w:eastAsia="zh-CN"/>
                    </w:rPr>
                    <w:t>（</w:t>
                  </w:r>
                  <w:r>
                    <w:rPr>
                      <w:color w:val="auto"/>
                    </w:rPr>
                    <w:t>℃</w:t>
                  </w:r>
                  <w:r>
                    <w:rPr>
                      <w:rFonts w:hint="eastAsia"/>
                      <w:color w:val="auto"/>
                      <w:lang w:eastAsia="zh-CN"/>
                    </w:rPr>
                    <w:t>）</w:t>
                  </w:r>
                </w:p>
              </w:tc>
              <w:tc>
                <w:tcPr>
                  <w:tcW w:w="1576" w:type="dxa"/>
                  <w:vMerge w:val="restart"/>
                  <w:vAlign w:val="center"/>
                </w:tcPr>
                <w:p w14:paraId="72AA30F5">
                  <w:pPr>
                    <w:jc w:val="center"/>
                    <w:rPr>
                      <w:color w:val="auto"/>
                      <w:szCs w:val="21"/>
                    </w:rPr>
                  </w:pPr>
                  <w:r>
                    <w:rPr>
                      <w:color w:val="auto"/>
                    </w:rPr>
                    <w:t>污染物</w:t>
                  </w:r>
                </w:p>
              </w:tc>
              <w:tc>
                <w:tcPr>
                  <w:tcW w:w="1280" w:type="dxa"/>
                  <w:vMerge w:val="restart"/>
                  <w:vAlign w:val="center"/>
                </w:tcPr>
                <w:p w14:paraId="06252EDA">
                  <w:pPr>
                    <w:jc w:val="center"/>
                    <w:rPr>
                      <w:color w:val="auto"/>
                      <w:szCs w:val="21"/>
                    </w:rPr>
                  </w:pPr>
                  <w:r>
                    <w:rPr>
                      <w:color w:val="auto"/>
                    </w:rPr>
                    <w:t>排放口类型</w:t>
                  </w:r>
                </w:p>
              </w:tc>
            </w:tr>
            <w:tr w14:paraId="5AA4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0" w:type="dxa"/>
                  <w:vMerge w:val="continue"/>
                  <w:vAlign w:val="center"/>
                </w:tcPr>
                <w:p w14:paraId="508E8734">
                  <w:pPr>
                    <w:jc w:val="center"/>
                    <w:rPr>
                      <w:color w:val="auto"/>
                      <w:szCs w:val="21"/>
                    </w:rPr>
                  </w:pPr>
                </w:p>
              </w:tc>
              <w:tc>
                <w:tcPr>
                  <w:tcW w:w="1704" w:type="dxa"/>
                  <w:vMerge w:val="continue"/>
                  <w:vAlign w:val="center"/>
                </w:tcPr>
                <w:p w14:paraId="06E5C636">
                  <w:pPr>
                    <w:jc w:val="center"/>
                    <w:rPr>
                      <w:color w:val="auto"/>
                      <w:szCs w:val="21"/>
                    </w:rPr>
                  </w:pPr>
                </w:p>
              </w:tc>
              <w:tc>
                <w:tcPr>
                  <w:tcW w:w="1260" w:type="dxa"/>
                  <w:vAlign w:val="center"/>
                </w:tcPr>
                <w:p w14:paraId="37F1C3CF">
                  <w:pPr>
                    <w:jc w:val="center"/>
                    <w:rPr>
                      <w:color w:val="auto"/>
                      <w:szCs w:val="21"/>
                    </w:rPr>
                  </w:pPr>
                  <w:r>
                    <w:rPr>
                      <w:color w:val="auto"/>
                    </w:rPr>
                    <w:t>X</w:t>
                  </w:r>
                </w:p>
              </w:tc>
              <w:tc>
                <w:tcPr>
                  <w:tcW w:w="1200" w:type="dxa"/>
                  <w:vAlign w:val="center"/>
                </w:tcPr>
                <w:p w14:paraId="50F1ACE5">
                  <w:pPr>
                    <w:jc w:val="center"/>
                    <w:rPr>
                      <w:color w:val="auto"/>
                      <w:szCs w:val="21"/>
                    </w:rPr>
                  </w:pPr>
                  <w:r>
                    <w:rPr>
                      <w:color w:val="auto"/>
                    </w:rPr>
                    <w:t>Y</w:t>
                  </w:r>
                </w:p>
              </w:tc>
              <w:tc>
                <w:tcPr>
                  <w:tcW w:w="1396" w:type="dxa"/>
                  <w:vMerge w:val="continue"/>
                  <w:vAlign w:val="center"/>
                </w:tcPr>
                <w:p w14:paraId="6282BF15">
                  <w:pPr>
                    <w:jc w:val="center"/>
                    <w:rPr>
                      <w:color w:val="auto"/>
                      <w:szCs w:val="21"/>
                    </w:rPr>
                  </w:pPr>
                </w:p>
              </w:tc>
              <w:tc>
                <w:tcPr>
                  <w:tcW w:w="992" w:type="dxa"/>
                  <w:vMerge w:val="continue"/>
                  <w:vAlign w:val="center"/>
                </w:tcPr>
                <w:p w14:paraId="5DC6D513">
                  <w:pPr>
                    <w:jc w:val="center"/>
                    <w:rPr>
                      <w:color w:val="auto"/>
                      <w:szCs w:val="21"/>
                    </w:rPr>
                  </w:pPr>
                </w:p>
              </w:tc>
              <w:tc>
                <w:tcPr>
                  <w:tcW w:w="1428" w:type="dxa"/>
                  <w:vMerge w:val="continue"/>
                  <w:vAlign w:val="center"/>
                </w:tcPr>
                <w:p w14:paraId="3A140CC6">
                  <w:pPr>
                    <w:jc w:val="center"/>
                    <w:rPr>
                      <w:color w:val="auto"/>
                      <w:szCs w:val="21"/>
                    </w:rPr>
                  </w:pPr>
                </w:p>
              </w:tc>
              <w:tc>
                <w:tcPr>
                  <w:tcW w:w="1148" w:type="dxa"/>
                  <w:vMerge w:val="continue"/>
                  <w:vAlign w:val="center"/>
                </w:tcPr>
                <w:p w14:paraId="30FD610F">
                  <w:pPr>
                    <w:jc w:val="center"/>
                    <w:rPr>
                      <w:color w:val="auto"/>
                      <w:szCs w:val="21"/>
                    </w:rPr>
                  </w:pPr>
                </w:p>
              </w:tc>
              <w:tc>
                <w:tcPr>
                  <w:tcW w:w="1576" w:type="dxa"/>
                  <w:vMerge w:val="continue"/>
                  <w:vAlign w:val="center"/>
                </w:tcPr>
                <w:p w14:paraId="03814FD9">
                  <w:pPr>
                    <w:jc w:val="center"/>
                    <w:rPr>
                      <w:color w:val="auto"/>
                      <w:szCs w:val="21"/>
                    </w:rPr>
                  </w:pPr>
                </w:p>
              </w:tc>
              <w:tc>
                <w:tcPr>
                  <w:tcW w:w="1280" w:type="dxa"/>
                  <w:vMerge w:val="continue"/>
                  <w:vAlign w:val="center"/>
                </w:tcPr>
                <w:p w14:paraId="12E0F1AE">
                  <w:pPr>
                    <w:jc w:val="center"/>
                    <w:rPr>
                      <w:color w:val="auto"/>
                      <w:szCs w:val="21"/>
                    </w:rPr>
                  </w:pPr>
                </w:p>
              </w:tc>
            </w:tr>
            <w:tr w14:paraId="2B4F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0" w:type="dxa"/>
                  <w:vAlign w:val="center"/>
                </w:tcPr>
                <w:p w14:paraId="0358BA65">
                  <w:pPr>
                    <w:jc w:val="center"/>
                    <w:rPr>
                      <w:rFonts w:hint="eastAsia" w:eastAsia="宋体"/>
                      <w:color w:val="auto"/>
                      <w:szCs w:val="21"/>
                      <w:lang w:eastAsia="zh-CN"/>
                    </w:rPr>
                  </w:pPr>
                  <w:r>
                    <w:rPr>
                      <w:rFonts w:hint="eastAsia"/>
                      <w:color w:val="auto"/>
                      <w:szCs w:val="21"/>
                    </w:rPr>
                    <w:t>DA00</w:t>
                  </w:r>
                  <w:r>
                    <w:rPr>
                      <w:rFonts w:hint="eastAsia"/>
                      <w:color w:val="auto"/>
                      <w:szCs w:val="21"/>
                      <w:lang w:val="en-US" w:eastAsia="zh-CN"/>
                    </w:rPr>
                    <w:t>1</w:t>
                  </w:r>
                </w:p>
              </w:tc>
              <w:tc>
                <w:tcPr>
                  <w:tcW w:w="1704" w:type="dxa"/>
                  <w:vAlign w:val="center"/>
                </w:tcPr>
                <w:p w14:paraId="7DF3598D">
                  <w:pPr>
                    <w:jc w:val="center"/>
                    <w:rPr>
                      <w:color w:val="auto"/>
                      <w:szCs w:val="21"/>
                    </w:rPr>
                  </w:pPr>
                  <w:r>
                    <w:rPr>
                      <w:rFonts w:hint="eastAsia"/>
                      <w:color w:val="auto"/>
                      <w:szCs w:val="21"/>
                    </w:rPr>
                    <w:t>挤出废气排放口</w:t>
                  </w:r>
                </w:p>
              </w:tc>
              <w:tc>
                <w:tcPr>
                  <w:tcW w:w="1260" w:type="dxa"/>
                  <w:vAlign w:val="center"/>
                </w:tcPr>
                <w:p w14:paraId="7BBF8482">
                  <w:pPr>
                    <w:jc w:val="center"/>
                    <w:rPr>
                      <w:rFonts w:hint="default" w:eastAsia="宋体"/>
                      <w:color w:val="auto"/>
                      <w:szCs w:val="21"/>
                      <w:lang w:val="en-US" w:eastAsia="zh-CN"/>
                    </w:rPr>
                  </w:pPr>
                  <w:r>
                    <w:rPr>
                      <w:rFonts w:hint="eastAsia"/>
                      <w:color w:val="auto"/>
                      <w:szCs w:val="21"/>
                    </w:rPr>
                    <w:t>120.</w:t>
                  </w:r>
                  <w:r>
                    <w:rPr>
                      <w:rFonts w:hint="eastAsia"/>
                      <w:color w:val="auto"/>
                      <w:szCs w:val="21"/>
                      <w:lang w:val="en-US" w:eastAsia="zh-CN"/>
                    </w:rPr>
                    <w:t>410049</w:t>
                  </w:r>
                </w:p>
              </w:tc>
              <w:tc>
                <w:tcPr>
                  <w:tcW w:w="1200" w:type="dxa"/>
                  <w:vAlign w:val="center"/>
                </w:tcPr>
                <w:p w14:paraId="7D4B6D07">
                  <w:pPr>
                    <w:jc w:val="center"/>
                    <w:rPr>
                      <w:rFonts w:hint="default" w:eastAsia="宋体"/>
                      <w:color w:val="auto"/>
                      <w:szCs w:val="21"/>
                      <w:lang w:val="en-US" w:eastAsia="zh-CN"/>
                    </w:rPr>
                  </w:pPr>
                  <w:r>
                    <w:rPr>
                      <w:rFonts w:hint="eastAsia"/>
                      <w:color w:val="auto"/>
                      <w:szCs w:val="21"/>
                    </w:rPr>
                    <w:t>30.767</w:t>
                  </w:r>
                  <w:r>
                    <w:rPr>
                      <w:rFonts w:hint="eastAsia"/>
                      <w:color w:val="auto"/>
                      <w:szCs w:val="21"/>
                      <w:lang w:val="en-US" w:eastAsia="zh-CN"/>
                    </w:rPr>
                    <w:t>743</w:t>
                  </w:r>
                </w:p>
              </w:tc>
              <w:tc>
                <w:tcPr>
                  <w:tcW w:w="1396" w:type="dxa"/>
                  <w:vAlign w:val="center"/>
                </w:tcPr>
                <w:p w14:paraId="51A2A4D8">
                  <w:pPr>
                    <w:jc w:val="center"/>
                    <w:rPr>
                      <w:color w:val="auto"/>
                      <w:szCs w:val="21"/>
                    </w:rPr>
                  </w:pPr>
                  <w:r>
                    <w:rPr>
                      <w:rFonts w:hint="eastAsia"/>
                      <w:color w:val="auto"/>
                      <w:szCs w:val="21"/>
                    </w:rPr>
                    <w:t>15</w:t>
                  </w:r>
                </w:p>
              </w:tc>
              <w:tc>
                <w:tcPr>
                  <w:tcW w:w="992" w:type="dxa"/>
                  <w:vAlign w:val="center"/>
                </w:tcPr>
                <w:p w14:paraId="42849655">
                  <w:pPr>
                    <w:jc w:val="center"/>
                    <w:rPr>
                      <w:rFonts w:hint="default" w:eastAsia="宋体"/>
                      <w:color w:val="auto"/>
                      <w:szCs w:val="21"/>
                      <w:lang w:val="en-US" w:eastAsia="zh-CN"/>
                    </w:rPr>
                  </w:pPr>
                  <w:r>
                    <w:rPr>
                      <w:rFonts w:hint="eastAsia"/>
                      <w:color w:val="auto"/>
                      <w:szCs w:val="21"/>
                      <w:lang w:val="en-US" w:eastAsia="zh-CN"/>
                    </w:rPr>
                    <w:t>11</w:t>
                  </w:r>
                </w:p>
              </w:tc>
              <w:tc>
                <w:tcPr>
                  <w:tcW w:w="1428" w:type="dxa"/>
                  <w:vAlign w:val="center"/>
                </w:tcPr>
                <w:p w14:paraId="679AE3AF">
                  <w:pPr>
                    <w:jc w:val="center"/>
                    <w:rPr>
                      <w:rFonts w:hint="default" w:eastAsia="宋体"/>
                      <w:color w:val="auto"/>
                      <w:szCs w:val="21"/>
                      <w:lang w:val="en-US" w:eastAsia="zh-CN"/>
                    </w:rPr>
                  </w:pPr>
                  <w:r>
                    <w:rPr>
                      <w:rFonts w:hint="eastAsia"/>
                      <w:color w:val="auto"/>
                      <w:szCs w:val="21"/>
                      <w:lang w:val="en-US" w:eastAsia="zh-CN"/>
                    </w:rPr>
                    <w:t>0.44</w:t>
                  </w:r>
                </w:p>
              </w:tc>
              <w:tc>
                <w:tcPr>
                  <w:tcW w:w="1148" w:type="dxa"/>
                  <w:vAlign w:val="center"/>
                </w:tcPr>
                <w:p w14:paraId="3C1D9C06">
                  <w:pPr>
                    <w:jc w:val="center"/>
                    <w:rPr>
                      <w:color w:val="auto"/>
                      <w:szCs w:val="21"/>
                    </w:rPr>
                  </w:pPr>
                  <w:r>
                    <w:rPr>
                      <w:rFonts w:hint="eastAsia"/>
                      <w:color w:val="auto"/>
                      <w:szCs w:val="21"/>
                    </w:rPr>
                    <w:t>30</w:t>
                  </w:r>
                </w:p>
              </w:tc>
              <w:tc>
                <w:tcPr>
                  <w:tcW w:w="1576" w:type="dxa"/>
                  <w:vAlign w:val="center"/>
                </w:tcPr>
                <w:p w14:paraId="56F757C9">
                  <w:pPr>
                    <w:jc w:val="center"/>
                    <w:rPr>
                      <w:color w:val="auto"/>
                      <w:szCs w:val="21"/>
                    </w:rPr>
                  </w:pPr>
                  <w:r>
                    <w:rPr>
                      <w:color w:val="auto"/>
                    </w:rPr>
                    <w:t>非甲烷总烃、氯化氢、氯乙烯、臭气浓度</w:t>
                  </w:r>
                </w:p>
              </w:tc>
              <w:tc>
                <w:tcPr>
                  <w:tcW w:w="1280" w:type="dxa"/>
                  <w:vAlign w:val="center"/>
                </w:tcPr>
                <w:p w14:paraId="69EFB067">
                  <w:pPr>
                    <w:pStyle w:val="194"/>
                    <w:jc w:val="center"/>
                    <w:rPr>
                      <w:rFonts w:ascii="Times New Roman" w:hAnsi="Times New Roman" w:cs="Times New Roman"/>
                      <w:color w:val="auto"/>
                    </w:rPr>
                  </w:pPr>
                  <w:r>
                    <w:rPr>
                      <w:rFonts w:ascii="Times New Roman" w:hAnsi="Times New Roman" w:cs="Times New Roman"/>
                      <w:color w:val="auto"/>
                    </w:rPr>
                    <w:t>一般排放口</w:t>
                  </w:r>
                </w:p>
              </w:tc>
            </w:tr>
          </w:tbl>
          <w:p w14:paraId="32975E2B">
            <w:pPr>
              <w:adjustRightInd w:val="0"/>
              <w:snapToGrid w:val="0"/>
              <w:spacing w:line="460" w:lineRule="exact"/>
              <w:ind w:firstLine="425"/>
              <w:rPr>
                <w:rFonts w:hint="default" w:ascii="Times New Roman" w:hAnsi="Times New Roman" w:eastAsia="宋体" w:cs="Times New Roman"/>
                <w:b w:val="0"/>
                <w:bCs w:val="0"/>
                <w:color w:val="auto"/>
                <w:sz w:val="24"/>
                <w:lang w:val="en-US" w:eastAsia="zh-CN"/>
              </w:rPr>
            </w:pPr>
            <w:r>
              <w:rPr>
                <w:rFonts w:hint="eastAsia"/>
                <w:b/>
                <w:bCs/>
                <w:color w:val="auto"/>
                <w:sz w:val="24"/>
                <w:lang w:val="en-US" w:eastAsia="zh-CN"/>
              </w:rPr>
              <w:t>排放口规范化建设：</w:t>
            </w:r>
            <w:r>
              <w:rPr>
                <w:rFonts w:hint="default" w:ascii="Times New Roman" w:hAnsi="Times New Roman" w:cs="Times New Roman"/>
                <w:b w:val="0"/>
                <w:bCs w:val="0"/>
                <w:color w:val="auto"/>
                <w:sz w:val="24"/>
                <w:lang w:val="en-US" w:eastAsia="zh-CN"/>
              </w:rPr>
              <w:t>排放口应按照《排污单位污染物排放口监测点位设置技术规范》（HJ 1405-2024）要求进行规范化建设：采样断面设置在其按照气流方向的上游距离弯头、阀门、变径管≥4倍烟道直径，其下游距离上述部件≥2 倍烟道直径（即“前4后2”）的要求；监测孔内径≥80mm并密封；监测断面距离坠落高度基准面2m以上时，应配套建设永久、安全、便于采样和测试的工作平台。护栏高度≥1.2m并设踢脚板，梯架采用斜梯或带护笼直梯；排气筒醒目位置设置信息标志牌；排气筒高度不低于15m。排放口建设与主体工程同时设计、同时施工、同时投入使用。</w:t>
            </w:r>
          </w:p>
          <w:p w14:paraId="1F08A8F4">
            <w:pPr>
              <w:adjustRightInd w:val="0"/>
              <w:snapToGrid w:val="0"/>
              <w:spacing w:line="460" w:lineRule="exact"/>
              <w:ind w:firstLine="425"/>
              <w:rPr>
                <w:color w:val="auto"/>
                <w:sz w:val="24"/>
              </w:rPr>
            </w:pPr>
            <w:r>
              <w:rPr>
                <w:rFonts w:hint="eastAsia"/>
                <w:color w:val="auto"/>
                <w:sz w:val="24"/>
              </w:rPr>
              <w:t>（3）废气非正常排放情况</w:t>
            </w:r>
          </w:p>
          <w:p w14:paraId="2A465C27">
            <w:pPr>
              <w:wordWrap w:val="0"/>
              <w:autoSpaceDE w:val="0"/>
              <w:autoSpaceDN w:val="0"/>
              <w:adjustRightInd w:val="0"/>
              <w:snapToGrid w:val="0"/>
              <w:spacing w:line="460" w:lineRule="exact"/>
              <w:ind w:firstLine="425"/>
              <w:jc w:val="left"/>
              <w:rPr>
                <w:color w:val="auto"/>
                <w:sz w:val="24"/>
              </w:rPr>
            </w:pPr>
            <w:r>
              <w:rPr>
                <w:color w:val="auto"/>
                <w:sz w:val="24"/>
              </w:rPr>
              <w:t>项目非正常排放可能有两种情况，一是停电、二是环保设施故障。</w:t>
            </w:r>
          </w:p>
          <w:p w14:paraId="684A10E4">
            <w:pPr>
              <w:wordWrap w:val="0"/>
              <w:autoSpaceDE w:val="0"/>
              <w:autoSpaceDN w:val="0"/>
              <w:adjustRightInd w:val="0"/>
              <w:snapToGrid w:val="0"/>
              <w:spacing w:line="460" w:lineRule="exact"/>
              <w:ind w:firstLine="425"/>
              <w:jc w:val="left"/>
              <w:rPr>
                <w:color w:val="auto"/>
                <w:sz w:val="24"/>
              </w:rPr>
            </w:pPr>
            <w:r>
              <w:rPr>
                <w:color w:val="auto"/>
                <w:sz w:val="24"/>
              </w:rPr>
              <w:t>①停电事故。停电包括两种情况，一是计划性停电，二是突发性停电。考虑到一旦停电，项目设备均无法运行，故不考虑停电状态下非正常排放情况。</w:t>
            </w:r>
          </w:p>
          <w:p w14:paraId="7C76FB07">
            <w:pPr>
              <w:wordWrap w:val="0"/>
              <w:autoSpaceDE w:val="0"/>
              <w:autoSpaceDN w:val="0"/>
              <w:adjustRightInd w:val="0"/>
              <w:snapToGrid w:val="0"/>
              <w:spacing w:line="460" w:lineRule="exact"/>
              <w:ind w:firstLine="425"/>
              <w:jc w:val="left"/>
              <w:rPr>
                <w:color w:val="auto"/>
                <w:sz w:val="24"/>
              </w:rPr>
            </w:pPr>
            <w:r>
              <w:rPr>
                <w:color w:val="auto"/>
                <w:sz w:val="24"/>
              </w:rPr>
              <w:t>②环保设施故障。本项目废气处理设施非正常工况主要为废气处理设施处理效率降低，风机不能正常运行两种情况。风机一旦发现故障，应立即启用备用风机，则不会对大气产生影响，故本环评仅考虑废气处理设施处理效率降低的非正常工况。本项目废气环保设施主要为布袋除尘装置和</w:t>
            </w:r>
            <w:r>
              <w:rPr>
                <w:rFonts w:hint="eastAsia"/>
                <w:color w:val="auto"/>
                <w:sz w:val="24"/>
              </w:rPr>
              <w:t>二</w:t>
            </w:r>
            <w:r>
              <w:rPr>
                <w:color w:val="auto"/>
                <w:sz w:val="24"/>
              </w:rPr>
              <w:t>级活性炭吸附装置，本环评考虑</w:t>
            </w:r>
            <w:r>
              <w:rPr>
                <w:rFonts w:hint="eastAsia"/>
                <w:color w:val="auto"/>
                <w:sz w:val="24"/>
                <w:lang w:val="en-US" w:eastAsia="zh-CN"/>
              </w:rPr>
              <w:t>布袋除尘装置</w:t>
            </w:r>
            <w:r>
              <w:rPr>
                <w:color w:val="auto"/>
                <w:sz w:val="24"/>
              </w:rPr>
              <w:t>对</w:t>
            </w:r>
            <w:r>
              <w:rPr>
                <w:rFonts w:hint="eastAsia"/>
                <w:color w:val="auto"/>
                <w:sz w:val="24"/>
                <w:lang w:val="en-US" w:eastAsia="zh-CN"/>
              </w:rPr>
              <w:t>颗粒物</w:t>
            </w:r>
            <w:r>
              <w:rPr>
                <w:color w:val="auto"/>
                <w:sz w:val="24"/>
              </w:rPr>
              <w:t>处理效率下降至</w:t>
            </w:r>
            <w:r>
              <w:rPr>
                <w:rFonts w:hint="eastAsia"/>
                <w:color w:val="auto"/>
                <w:sz w:val="24"/>
                <w:lang w:val="en-US" w:eastAsia="zh-CN"/>
              </w:rPr>
              <w:t>50%，二级活性炭装置对非甲烷总烃的处理效率下降至0%</w:t>
            </w:r>
            <w:r>
              <w:rPr>
                <w:color w:val="auto"/>
                <w:sz w:val="24"/>
              </w:rPr>
              <w:t>来核算事故工况时各污染物排放情况。</w:t>
            </w:r>
          </w:p>
          <w:p w14:paraId="7B893393">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项目废气非正常排放情况一览表</w:t>
            </w:r>
          </w:p>
          <w:tbl>
            <w:tblPr>
              <w:tblStyle w:val="89"/>
              <w:tblW w:w="12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296"/>
              <w:gridCol w:w="1111"/>
              <w:gridCol w:w="1167"/>
              <w:gridCol w:w="1167"/>
              <w:gridCol w:w="1168"/>
              <w:gridCol w:w="1249"/>
              <w:gridCol w:w="1312"/>
              <w:gridCol w:w="1088"/>
              <w:gridCol w:w="1164"/>
              <w:gridCol w:w="1028"/>
            </w:tblGrid>
            <w:tr w14:paraId="7B0B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4" w:type="dxa"/>
                  <w:vMerge w:val="restart"/>
                  <w:vAlign w:val="center"/>
                </w:tcPr>
                <w:p w14:paraId="598C8E4E">
                  <w:pPr>
                    <w:pStyle w:val="136"/>
                    <w:spacing w:line="240" w:lineRule="auto"/>
                    <w:rPr>
                      <w:rFonts w:hint="default" w:eastAsia="宋体"/>
                      <w:color w:val="auto"/>
                      <w:sz w:val="24"/>
                      <w:lang w:val="en-US" w:eastAsia="zh-CN"/>
                    </w:rPr>
                  </w:pPr>
                  <w:r>
                    <w:rPr>
                      <w:rFonts w:hint="eastAsia"/>
                      <w:color w:val="auto"/>
                      <w:lang w:val="en-US" w:eastAsia="zh-CN"/>
                    </w:rPr>
                    <w:t>排放形式</w:t>
                  </w:r>
                </w:p>
              </w:tc>
              <w:tc>
                <w:tcPr>
                  <w:tcW w:w="1296" w:type="dxa"/>
                  <w:vMerge w:val="restart"/>
                  <w:vAlign w:val="center"/>
                </w:tcPr>
                <w:p w14:paraId="003C2294">
                  <w:pPr>
                    <w:pStyle w:val="136"/>
                    <w:spacing w:line="240" w:lineRule="auto"/>
                    <w:rPr>
                      <w:color w:val="auto"/>
                      <w:sz w:val="24"/>
                      <w:lang w:val="en-US"/>
                    </w:rPr>
                  </w:pPr>
                  <w:r>
                    <w:rPr>
                      <w:color w:val="auto"/>
                    </w:rPr>
                    <w:t>污染因子</w:t>
                  </w:r>
                </w:p>
              </w:tc>
              <w:tc>
                <w:tcPr>
                  <w:tcW w:w="1111" w:type="dxa"/>
                  <w:vMerge w:val="restart"/>
                  <w:vAlign w:val="center"/>
                </w:tcPr>
                <w:p w14:paraId="1E072BE2">
                  <w:pPr>
                    <w:pStyle w:val="136"/>
                    <w:spacing w:line="240" w:lineRule="auto"/>
                    <w:rPr>
                      <w:color w:val="auto"/>
                      <w:sz w:val="24"/>
                      <w:lang w:val="en-US"/>
                    </w:rPr>
                  </w:pPr>
                  <w:r>
                    <w:rPr>
                      <w:color w:val="auto"/>
                    </w:rPr>
                    <w:t>风量</w:t>
                  </w:r>
                  <w:r>
                    <w:rPr>
                      <w:rFonts w:hint="eastAsia"/>
                      <w:color w:val="auto"/>
                    </w:rPr>
                    <w:t>（</w:t>
                  </w:r>
                  <w:r>
                    <w:rPr>
                      <w:color w:val="auto"/>
                    </w:rPr>
                    <w:t>m</w:t>
                  </w:r>
                  <w:r>
                    <w:rPr>
                      <w:color w:val="auto"/>
                      <w:vertAlign w:val="superscript"/>
                    </w:rPr>
                    <w:t>3</w:t>
                  </w:r>
                  <w:r>
                    <w:rPr>
                      <w:color w:val="auto"/>
                    </w:rPr>
                    <w:t>/h</w:t>
                  </w:r>
                  <w:r>
                    <w:rPr>
                      <w:rFonts w:hint="eastAsia"/>
                      <w:color w:val="auto"/>
                    </w:rPr>
                    <w:t>）</w:t>
                  </w:r>
                </w:p>
              </w:tc>
              <w:tc>
                <w:tcPr>
                  <w:tcW w:w="1167" w:type="dxa"/>
                  <w:vMerge w:val="restart"/>
                  <w:vAlign w:val="center"/>
                </w:tcPr>
                <w:p w14:paraId="142B45B6">
                  <w:pPr>
                    <w:pStyle w:val="119"/>
                    <w:snapToGrid w:val="0"/>
                    <w:spacing w:before="0" w:line="240" w:lineRule="auto"/>
                    <w:ind w:firstLine="0" w:firstLineChars="0"/>
                    <w:rPr>
                      <w:color w:val="auto"/>
                      <w:szCs w:val="24"/>
                      <w:lang w:val="en-US"/>
                    </w:rPr>
                  </w:pPr>
                  <w:r>
                    <w:rPr>
                      <w:rFonts w:ascii="Times New Roman"/>
                      <w:color w:val="auto"/>
                      <w:sz w:val="21"/>
                      <w:szCs w:val="21"/>
                    </w:rPr>
                    <w:t>收集效率（%）</w:t>
                  </w:r>
                </w:p>
              </w:tc>
              <w:tc>
                <w:tcPr>
                  <w:tcW w:w="1167" w:type="dxa"/>
                  <w:vMerge w:val="restart"/>
                  <w:vAlign w:val="center"/>
                </w:tcPr>
                <w:p w14:paraId="5B1E195A">
                  <w:pPr>
                    <w:pStyle w:val="119"/>
                    <w:snapToGrid w:val="0"/>
                    <w:spacing w:before="0" w:line="240" w:lineRule="auto"/>
                    <w:ind w:firstLine="0" w:firstLineChars="0"/>
                    <w:rPr>
                      <w:color w:val="auto"/>
                      <w:szCs w:val="24"/>
                      <w:lang w:val="en-US"/>
                    </w:rPr>
                  </w:pPr>
                  <w:r>
                    <w:rPr>
                      <w:rFonts w:ascii="Times New Roman"/>
                      <w:color w:val="auto"/>
                      <w:sz w:val="21"/>
                      <w:szCs w:val="21"/>
                    </w:rPr>
                    <w:t>处理效率（%）</w:t>
                  </w:r>
                </w:p>
              </w:tc>
              <w:tc>
                <w:tcPr>
                  <w:tcW w:w="1168" w:type="dxa"/>
                  <w:vAlign w:val="center"/>
                </w:tcPr>
                <w:p w14:paraId="2CBF816A">
                  <w:pPr>
                    <w:pStyle w:val="119"/>
                    <w:snapToGrid w:val="0"/>
                    <w:spacing w:before="0" w:line="240" w:lineRule="auto"/>
                    <w:ind w:firstLine="0" w:firstLineChars="0"/>
                    <w:rPr>
                      <w:color w:val="auto"/>
                      <w:szCs w:val="24"/>
                      <w:lang w:val="en-US"/>
                    </w:rPr>
                  </w:pPr>
                  <w:r>
                    <w:rPr>
                      <w:rFonts w:ascii="Times New Roman"/>
                      <w:color w:val="auto"/>
                      <w:sz w:val="21"/>
                      <w:szCs w:val="21"/>
                    </w:rPr>
                    <w:t>产生情况</w:t>
                  </w:r>
                </w:p>
              </w:tc>
              <w:tc>
                <w:tcPr>
                  <w:tcW w:w="5841" w:type="dxa"/>
                  <w:gridSpan w:val="5"/>
                  <w:vAlign w:val="center"/>
                </w:tcPr>
                <w:p w14:paraId="49D492AE">
                  <w:pPr>
                    <w:pStyle w:val="119"/>
                    <w:snapToGrid w:val="0"/>
                    <w:spacing w:before="0" w:line="240" w:lineRule="auto"/>
                    <w:ind w:firstLine="0" w:firstLineChars="0"/>
                    <w:rPr>
                      <w:color w:val="auto"/>
                      <w:szCs w:val="24"/>
                      <w:lang w:val="en-US"/>
                    </w:rPr>
                  </w:pPr>
                  <w:r>
                    <w:rPr>
                      <w:rFonts w:ascii="Times New Roman"/>
                      <w:color w:val="auto"/>
                      <w:sz w:val="21"/>
                      <w:szCs w:val="21"/>
                    </w:rPr>
                    <w:t>排放情况</w:t>
                  </w:r>
                </w:p>
              </w:tc>
            </w:tr>
            <w:tr w14:paraId="57ED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4" w:type="dxa"/>
                  <w:vMerge w:val="continue"/>
                  <w:vAlign w:val="center"/>
                </w:tcPr>
                <w:p w14:paraId="12E3D87D">
                  <w:pPr>
                    <w:pStyle w:val="136"/>
                    <w:spacing w:line="240" w:lineRule="auto"/>
                    <w:rPr>
                      <w:color w:val="auto"/>
                      <w:sz w:val="24"/>
                      <w:lang w:val="en-US"/>
                    </w:rPr>
                  </w:pPr>
                </w:p>
              </w:tc>
              <w:tc>
                <w:tcPr>
                  <w:tcW w:w="1296" w:type="dxa"/>
                  <w:vMerge w:val="continue"/>
                  <w:vAlign w:val="center"/>
                </w:tcPr>
                <w:p w14:paraId="49F4E04B">
                  <w:pPr>
                    <w:pStyle w:val="136"/>
                    <w:spacing w:line="240" w:lineRule="auto"/>
                    <w:rPr>
                      <w:color w:val="auto"/>
                      <w:sz w:val="24"/>
                      <w:lang w:val="en-US"/>
                    </w:rPr>
                  </w:pPr>
                </w:p>
              </w:tc>
              <w:tc>
                <w:tcPr>
                  <w:tcW w:w="1111" w:type="dxa"/>
                  <w:vMerge w:val="continue"/>
                  <w:vAlign w:val="center"/>
                </w:tcPr>
                <w:p w14:paraId="524D6F84">
                  <w:pPr>
                    <w:pStyle w:val="136"/>
                    <w:spacing w:line="240" w:lineRule="auto"/>
                    <w:rPr>
                      <w:color w:val="auto"/>
                      <w:sz w:val="24"/>
                      <w:lang w:val="en-US"/>
                    </w:rPr>
                  </w:pPr>
                </w:p>
              </w:tc>
              <w:tc>
                <w:tcPr>
                  <w:tcW w:w="1167" w:type="dxa"/>
                  <w:vMerge w:val="continue"/>
                  <w:vAlign w:val="center"/>
                </w:tcPr>
                <w:p w14:paraId="7FBC05B9">
                  <w:pPr>
                    <w:pStyle w:val="119"/>
                    <w:snapToGrid w:val="0"/>
                    <w:spacing w:before="0" w:line="240" w:lineRule="auto"/>
                    <w:ind w:firstLine="0" w:firstLineChars="0"/>
                    <w:rPr>
                      <w:color w:val="auto"/>
                      <w:szCs w:val="24"/>
                      <w:lang w:val="en-US"/>
                    </w:rPr>
                  </w:pPr>
                </w:p>
              </w:tc>
              <w:tc>
                <w:tcPr>
                  <w:tcW w:w="1167" w:type="dxa"/>
                  <w:vMerge w:val="continue"/>
                  <w:vAlign w:val="center"/>
                </w:tcPr>
                <w:p w14:paraId="6B348430">
                  <w:pPr>
                    <w:pStyle w:val="119"/>
                    <w:snapToGrid w:val="0"/>
                    <w:spacing w:before="0" w:line="240" w:lineRule="auto"/>
                    <w:ind w:firstLine="0" w:firstLineChars="0"/>
                    <w:rPr>
                      <w:color w:val="auto"/>
                      <w:szCs w:val="24"/>
                      <w:lang w:val="en-US"/>
                    </w:rPr>
                  </w:pPr>
                </w:p>
              </w:tc>
              <w:tc>
                <w:tcPr>
                  <w:tcW w:w="1168" w:type="dxa"/>
                  <w:vAlign w:val="center"/>
                </w:tcPr>
                <w:p w14:paraId="58C01A8D">
                  <w:pPr>
                    <w:pStyle w:val="119"/>
                    <w:snapToGrid w:val="0"/>
                    <w:spacing w:before="0" w:line="240" w:lineRule="auto"/>
                    <w:ind w:firstLine="0" w:firstLineChars="0"/>
                    <w:rPr>
                      <w:rFonts w:ascii="Times New Roman"/>
                      <w:color w:val="auto"/>
                      <w:sz w:val="21"/>
                      <w:szCs w:val="21"/>
                      <w:lang w:val="eu"/>
                    </w:rPr>
                  </w:pPr>
                  <w:r>
                    <w:rPr>
                      <w:rFonts w:ascii="Times New Roman"/>
                      <w:color w:val="auto"/>
                      <w:sz w:val="21"/>
                      <w:szCs w:val="21"/>
                    </w:rPr>
                    <w:t>产生量</w:t>
                  </w:r>
                </w:p>
                <w:p w14:paraId="5CC76977">
                  <w:pPr>
                    <w:pStyle w:val="119"/>
                    <w:snapToGrid w:val="0"/>
                    <w:spacing w:before="0" w:line="240" w:lineRule="auto"/>
                    <w:ind w:firstLine="0" w:firstLineChars="0"/>
                    <w:rPr>
                      <w:color w:val="auto"/>
                      <w:szCs w:val="24"/>
                      <w:lang w:val="en-US"/>
                    </w:rPr>
                  </w:pPr>
                  <w:r>
                    <w:rPr>
                      <w:rFonts w:ascii="Times New Roman"/>
                      <w:color w:val="auto"/>
                      <w:sz w:val="21"/>
                      <w:szCs w:val="21"/>
                      <w:lang w:val="eu"/>
                    </w:rPr>
                    <w:t>（t/a）</w:t>
                  </w:r>
                </w:p>
              </w:tc>
              <w:tc>
                <w:tcPr>
                  <w:tcW w:w="1249" w:type="dxa"/>
                  <w:vAlign w:val="center"/>
                </w:tcPr>
                <w:p w14:paraId="6925D6B1">
                  <w:pPr>
                    <w:pStyle w:val="119"/>
                    <w:snapToGrid w:val="0"/>
                    <w:spacing w:before="0" w:line="240" w:lineRule="auto"/>
                    <w:ind w:firstLine="0" w:firstLineChars="0"/>
                    <w:rPr>
                      <w:rFonts w:ascii="Times New Roman"/>
                      <w:color w:val="auto"/>
                      <w:sz w:val="21"/>
                      <w:szCs w:val="21"/>
                    </w:rPr>
                  </w:pPr>
                  <w:r>
                    <w:rPr>
                      <w:rFonts w:ascii="Times New Roman"/>
                      <w:color w:val="auto"/>
                      <w:sz w:val="21"/>
                      <w:szCs w:val="21"/>
                    </w:rPr>
                    <w:t>排放速率</w:t>
                  </w:r>
                </w:p>
                <w:p w14:paraId="6BAA23AF">
                  <w:pPr>
                    <w:pStyle w:val="119"/>
                    <w:snapToGrid w:val="0"/>
                    <w:spacing w:before="0" w:line="240" w:lineRule="auto"/>
                    <w:ind w:firstLine="0" w:firstLineChars="0"/>
                    <w:rPr>
                      <w:color w:val="auto"/>
                      <w:szCs w:val="24"/>
                      <w:lang w:val="en-US"/>
                    </w:rPr>
                  </w:pPr>
                  <w:r>
                    <w:rPr>
                      <w:rFonts w:ascii="Times New Roman"/>
                      <w:color w:val="auto"/>
                      <w:sz w:val="21"/>
                      <w:szCs w:val="21"/>
                      <w:lang w:val="eu"/>
                    </w:rPr>
                    <w:t>（kg/h）</w:t>
                  </w:r>
                </w:p>
              </w:tc>
              <w:tc>
                <w:tcPr>
                  <w:tcW w:w="1312" w:type="dxa"/>
                  <w:vAlign w:val="center"/>
                </w:tcPr>
                <w:p w14:paraId="7927D32D">
                  <w:pPr>
                    <w:pStyle w:val="119"/>
                    <w:snapToGrid w:val="0"/>
                    <w:spacing w:before="0" w:line="240" w:lineRule="auto"/>
                    <w:ind w:firstLine="0" w:firstLineChars="0"/>
                    <w:rPr>
                      <w:rFonts w:ascii="Times New Roman"/>
                      <w:color w:val="auto"/>
                      <w:sz w:val="21"/>
                      <w:szCs w:val="21"/>
                    </w:rPr>
                  </w:pPr>
                  <w:r>
                    <w:rPr>
                      <w:rFonts w:ascii="Times New Roman"/>
                      <w:color w:val="auto"/>
                      <w:sz w:val="21"/>
                      <w:szCs w:val="21"/>
                    </w:rPr>
                    <w:t>排放浓度</w:t>
                  </w:r>
                </w:p>
                <w:p w14:paraId="07DD670D">
                  <w:pPr>
                    <w:pStyle w:val="119"/>
                    <w:snapToGrid w:val="0"/>
                    <w:spacing w:before="0" w:line="240" w:lineRule="auto"/>
                    <w:ind w:firstLine="0" w:firstLineChars="0"/>
                    <w:rPr>
                      <w:color w:val="auto"/>
                      <w:szCs w:val="24"/>
                      <w:lang w:val="en-US"/>
                    </w:rPr>
                  </w:pPr>
                  <w:r>
                    <w:rPr>
                      <w:rFonts w:ascii="Times New Roman"/>
                      <w:color w:val="auto"/>
                      <w:sz w:val="21"/>
                      <w:szCs w:val="21"/>
                      <w:lang w:val="eu"/>
                    </w:rPr>
                    <w:t>（mg/m</w:t>
                  </w:r>
                  <w:r>
                    <w:rPr>
                      <w:rFonts w:ascii="Times New Roman"/>
                      <w:color w:val="auto"/>
                      <w:sz w:val="21"/>
                      <w:szCs w:val="21"/>
                      <w:vertAlign w:val="superscript"/>
                      <w:lang w:val="eu"/>
                    </w:rPr>
                    <w:t>3</w:t>
                  </w:r>
                  <w:r>
                    <w:rPr>
                      <w:rFonts w:ascii="Times New Roman"/>
                      <w:color w:val="auto"/>
                      <w:sz w:val="21"/>
                      <w:szCs w:val="21"/>
                      <w:lang w:val="eu"/>
                    </w:rPr>
                    <w:t>）</w:t>
                  </w:r>
                </w:p>
              </w:tc>
              <w:tc>
                <w:tcPr>
                  <w:tcW w:w="1088" w:type="dxa"/>
                  <w:vAlign w:val="center"/>
                </w:tcPr>
                <w:p w14:paraId="53C72162">
                  <w:pPr>
                    <w:pStyle w:val="119"/>
                    <w:snapToGrid w:val="0"/>
                    <w:spacing w:before="0" w:line="240" w:lineRule="auto"/>
                    <w:ind w:firstLine="0" w:firstLineChars="0"/>
                    <w:rPr>
                      <w:color w:val="auto"/>
                      <w:szCs w:val="24"/>
                      <w:lang w:val="en-US"/>
                    </w:rPr>
                  </w:pPr>
                  <w:r>
                    <w:rPr>
                      <w:rFonts w:ascii="Times New Roman"/>
                      <w:color w:val="auto"/>
                      <w:sz w:val="21"/>
                      <w:szCs w:val="21"/>
                    </w:rPr>
                    <w:t>排放频次</w:t>
                  </w:r>
                </w:p>
              </w:tc>
              <w:tc>
                <w:tcPr>
                  <w:tcW w:w="1164" w:type="dxa"/>
                  <w:vAlign w:val="center"/>
                </w:tcPr>
                <w:p w14:paraId="19588744">
                  <w:pPr>
                    <w:pStyle w:val="119"/>
                    <w:snapToGrid w:val="0"/>
                    <w:spacing w:before="0" w:line="240" w:lineRule="auto"/>
                    <w:ind w:firstLine="0" w:firstLineChars="0"/>
                    <w:rPr>
                      <w:color w:val="auto"/>
                      <w:szCs w:val="24"/>
                      <w:lang w:val="en-US"/>
                    </w:rPr>
                  </w:pPr>
                  <w:r>
                    <w:rPr>
                      <w:rFonts w:hint="eastAsia" w:ascii="Times New Roman"/>
                      <w:color w:val="auto"/>
                      <w:sz w:val="21"/>
                      <w:szCs w:val="21"/>
                      <w:lang w:val="en-US"/>
                    </w:rPr>
                    <w:t>单次持续</w:t>
                  </w:r>
                  <w:r>
                    <w:rPr>
                      <w:rFonts w:ascii="Times New Roman"/>
                      <w:color w:val="auto"/>
                      <w:sz w:val="21"/>
                      <w:szCs w:val="21"/>
                    </w:rPr>
                    <w:t>时间</w:t>
                  </w:r>
                </w:p>
              </w:tc>
              <w:tc>
                <w:tcPr>
                  <w:tcW w:w="1028" w:type="dxa"/>
                  <w:vAlign w:val="center"/>
                </w:tcPr>
                <w:p w14:paraId="744A0D4C">
                  <w:pPr>
                    <w:pStyle w:val="119"/>
                    <w:snapToGrid w:val="0"/>
                    <w:spacing w:before="0" w:line="240" w:lineRule="auto"/>
                    <w:ind w:firstLine="0" w:firstLineChars="0"/>
                    <w:rPr>
                      <w:color w:val="auto"/>
                      <w:szCs w:val="24"/>
                      <w:lang w:val="en-US"/>
                    </w:rPr>
                  </w:pPr>
                  <w:r>
                    <w:rPr>
                      <w:rFonts w:ascii="Times New Roman"/>
                      <w:color w:val="auto"/>
                      <w:sz w:val="21"/>
                      <w:szCs w:val="21"/>
                    </w:rPr>
                    <w:t>排放量（</w:t>
                  </w:r>
                  <w:r>
                    <w:rPr>
                      <w:rFonts w:ascii="Times New Roman"/>
                      <w:color w:val="auto"/>
                      <w:sz w:val="21"/>
                      <w:szCs w:val="21"/>
                      <w:lang w:val="eu"/>
                    </w:rPr>
                    <w:t>kg</w:t>
                  </w:r>
                  <w:r>
                    <w:rPr>
                      <w:rFonts w:hint="eastAsia" w:ascii="Times New Roman"/>
                      <w:color w:val="auto"/>
                      <w:sz w:val="21"/>
                      <w:szCs w:val="21"/>
                      <w:lang w:val="en-US"/>
                    </w:rPr>
                    <w:t>/a</w:t>
                  </w:r>
                  <w:r>
                    <w:rPr>
                      <w:rFonts w:ascii="Times New Roman"/>
                      <w:color w:val="auto"/>
                      <w:sz w:val="21"/>
                      <w:szCs w:val="21"/>
                    </w:rPr>
                    <w:t>）</w:t>
                  </w:r>
                </w:p>
              </w:tc>
            </w:tr>
            <w:tr w14:paraId="5F6F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4" w:type="dxa"/>
                  <w:vAlign w:val="center"/>
                </w:tcPr>
                <w:p w14:paraId="3D5A960A">
                  <w:pPr>
                    <w:jc w:val="center"/>
                    <w:rPr>
                      <w:rFonts w:hint="eastAsia" w:eastAsia="宋体"/>
                      <w:color w:val="auto"/>
                      <w:sz w:val="24"/>
                      <w:lang w:eastAsia="zh-CN"/>
                    </w:rPr>
                  </w:pPr>
                  <w:r>
                    <w:rPr>
                      <w:rFonts w:hint="eastAsia"/>
                      <w:color w:val="auto"/>
                      <w:lang w:val="en-US" w:eastAsia="zh-CN"/>
                    </w:rPr>
                    <w:t>无组织</w:t>
                  </w:r>
                </w:p>
              </w:tc>
              <w:tc>
                <w:tcPr>
                  <w:tcW w:w="1296" w:type="dxa"/>
                  <w:vAlign w:val="center"/>
                </w:tcPr>
                <w:p w14:paraId="573AC902">
                  <w:pPr>
                    <w:pStyle w:val="195"/>
                    <w:spacing w:line="240" w:lineRule="auto"/>
                    <w:ind w:firstLine="0"/>
                    <w:jc w:val="center"/>
                    <w:rPr>
                      <w:color w:val="auto"/>
                      <w:sz w:val="24"/>
                      <w:szCs w:val="24"/>
                    </w:rPr>
                  </w:pPr>
                  <w:r>
                    <w:rPr>
                      <w:color w:val="auto"/>
                      <w:sz w:val="21"/>
                      <w:szCs w:val="21"/>
                    </w:rPr>
                    <w:t>颗粒物</w:t>
                  </w:r>
                </w:p>
              </w:tc>
              <w:tc>
                <w:tcPr>
                  <w:tcW w:w="1111" w:type="dxa"/>
                  <w:vAlign w:val="center"/>
                </w:tcPr>
                <w:p w14:paraId="053E4798">
                  <w:pPr>
                    <w:jc w:val="center"/>
                    <w:rPr>
                      <w:rFonts w:hint="default"/>
                      <w:color w:val="auto"/>
                      <w:lang w:val="en-US"/>
                    </w:rPr>
                  </w:pPr>
                  <w:r>
                    <w:rPr>
                      <w:rFonts w:hint="eastAsia"/>
                      <w:color w:val="auto"/>
                      <w:lang w:val="en-US" w:eastAsia="zh-CN"/>
                    </w:rPr>
                    <w:t>20000</w:t>
                  </w:r>
                </w:p>
              </w:tc>
              <w:tc>
                <w:tcPr>
                  <w:tcW w:w="1167" w:type="dxa"/>
                  <w:vAlign w:val="center"/>
                </w:tcPr>
                <w:p w14:paraId="414D3AFB">
                  <w:pPr>
                    <w:jc w:val="center"/>
                    <w:rPr>
                      <w:rFonts w:hint="default" w:eastAsia="宋体"/>
                      <w:color w:val="auto"/>
                      <w:lang w:val="en-US" w:eastAsia="zh-CN"/>
                    </w:rPr>
                  </w:pPr>
                  <w:r>
                    <w:rPr>
                      <w:rFonts w:hint="eastAsia"/>
                      <w:color w:val="auto"/>
                      <w:lang w:val="en-US" w:eastAsia="zh-CN"/>
                    </w:rPr>
                    <w:t>95</w:t>
                  </w:r>
                </w:p>
              </w:tc>
              <w:tc>
                <w:tcPr>
                  <w:tcW w:w="1167" w:type="dxa"/>
                  <w:vAlign w:val="center"/>
                </w:tcPr>
                <w:p w14:paraId="4ADC81D4">
                  <w:pPr>
                    <w:jc w:val="center"/>
                    <w:rPr>
                      <w:rFonts w:hint="default" w:eastAsia="宋体"/>
                      <w:color w:val="auto"/>
                      <w:lang w:val="en-US" w:eastAsia="zh-CN"/>
                    </w:rPr>
                  </w:pPr>
                  <w:r>
                    <w:rPr>
                      <w:rFonts w:hint="eastAsia"/>
                      <w:color w:val="auto"/>
                      <w:lang w:val="en-US" w:eastAsia="zh-CN"/>
                    </w:rPr>
                    <w:t>50</w:t>
                  </w:r>
                </w:p>
              </w:tc>
              <w:tc>
                <w:tcPr>
                  <w:tcW w:w="1168" w:type="dxa"/>
                  <w:vAlign w:val="center"/>
                </w:tcPr>
                <w:p w14:paraId="086D8945">
                  <w:pPr>
                    <w:jc w:val="center"/>
                    <w:rPr>
                      <w:rFonts w:hint="default"/>
                      <w:color w:val="auto"/>
                      <w:lang w:val="en-US" w:eastAsia="zh-CN"/>
                    </w:rPr>
                  </w:pPr>
                  <w:r>
                    <w:rPr>
                      <w:rFonts w:hint="eastAsia"/>
                      <w:color w:val="auto"/>
                      <w:lang w:val="en-US" w:eastAsia="zh-CN"/>
                    </w:rPr>
                    <w:t>39.662</w:t>
                  </w:r>
                </w:p>
              </w:tc>
              <w:tc>
                <w:tcPr>
                  <w:tcW w:w="1249" w:type="dxa"/>
                  <w:vAlign w:val="center"/>
                </w:tcPr>
                <w:p w14:paraId="6D37DB14">
                  <w:pPr>
                    <w:jc w:val="center"/>
                    <w:rPr>
                      <w:rFonts w:hint="default"/>
                      <w:color w:val="auto"/>
                      <w:lang w:val="en-US" w:eastAsia="zh-CN"/>
                    </w:rPr>
                  </w:pPr>
                  <w:r>
                    <w:rPr>
                      <w:rFonts w:hint="eastAsia"/>
                      <w:color w:val="auto"/>
                      <w:lang w:val="en-US" w:eastAsia="zh-CN"/>
                    </w:rPr>
                    <w:t>1.302</w:t>
                  </w:r>
                </w:p>
              </w:tc>
              <w:tc>
                <w:tcPr>
                  <w:tcW w:w="1312" w:type="dxa"/>
                  <w:vAlign w:val="center"/>
                </w:tcPr>
                <w:p w14:paraId="12DC8541">
                  <w:pPr>
                    <w:jc w:val="center"/>
                    <w:rPr>
                      <w:rFonts w:hint="default"/>
                      <w:color w:val="auto"/>
                      <w:lang w:val="en-US" w:eastAsia="zh-CN"/>
                    </w:rPr>
                  </w:pPr>
                  <w:r>
                    <w:rPr>
                      <w:rFonts w:hint="eastAsia"/>
                      <w:color w:val="auto"/>
                      <w:lang w:val="en-US" w:eastAsia="zh-CN"/>
                    </w:rPr>
                    <w:t>/</w:t>
                  </w:r>
                </w:p>
              </w:tc>
              <w:tc>
                <w:tcPr>
                  <w:tcW w:w="1088" w:type="dxa"/>
                  <w:vAlign w:val="center"/>
                </w:tcPr>
                <w:p w14:paraId="30F0D32D">
                  <w:pPr>
                    <w:jc w:val="center"/>
                    <w:rPr>
                      <w:color w:val="auto"/>
                    </w:rPr>
                  </w:pPr>
                  <w:r>
                    <w:rPr>
                      <w:color w:val="auto"/>
                    </w:rPr>
                    <w:t>1次/年</w:t>
                  </w:r>
                </w:p>
              </w:tc>
              <w:tc>
                <w:tcPr>
                  <w:tcW w:w="1164" w:type="dxa"/>
                  <w:vAlign w:val="center"/>
                </w:tcPr>
                <w:p w14:paraId="21E2208B">
                  <w:pPr>
                    <w:jc w:val="center"/>
                    <w:rPr>
                      <w:color w:val="auto"/>
                    </w:rPr>
                  </w:pPr>
                  <w:r>
                    <w:rPr>
                      <w:color w:val="auto"/>
                    </w:rPr>
                    <w:t>1h</w:t>
                  </w:r>
                </w:p>
              </w:tc>
              <w:tc>
                <w:tcPr>
                  <w:tcW w:w="1028" w:type="dxa"/>
                  <w:vAlign w:val="center"/>
                </w:tcPr>
                <w:p w14:paraId="7B073B00">
                  <w:pPr>
                    <w:jc w:val="center"/>
                    <w:rPr>
                      <w:rFonts w:hint="default"/>
                      <w:color w:val="auto"/>
                      <w:lang w:val="en-US" w:eastAsia="zh-CN"/>
                    </w:rPr>
                  </w:pPr>
                  <w:r>
                    <w:rPr>
                      <w:rFonts w:hint="eastAsia"/>
                      <w:color w:val="auto"/>
                      <w:lang w:val="en-US" w:eastAsia="zh-CN"/>
                    </w:rPr>
                    <w:t>1.302</w:t>
                  </w:r>
                </w:p>
              </w:tc>
            </w:tr>
            <w:tr w14:paraId="2FB8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4" w:type="dxa"/>
                  <w:vAlign w:val="center"/>
                </w:tcPr>
                <w:p w14:paraId="7F36D312">
                  <w:pPr>
                    <w:jc w:val="center"/>
                    <w:rPr>
                      <w:rFonts w:hint="eastAsia" w:eastAsia="宋体"/>
                      <w:color w:val="auto"/>
                      <w:lang w:val="en-US" w:eastAsia="zh-CN"/>
                    </w:rPr>
                  </w:pPr>
                  <w:r>
                    <w:rPr>
                      <w:rFonts w:hint="eastAsia"/>
                      <w:color w:val="auto"/>
                      <w:lang w:val="en-US" w:eastAsia="zh-CN"/>
                    </w:rPr>
                    <w:t>有组织</w:t>
                  </w:r>
                </w:p>
                <w:p w14:paraId="5099D49B">
                  <w:pPr>
                    <w:jc w:val="center"/>
                    <w:rPr>
                      <w:rFonts w:hint="eastAsia" w:eastAsia="宋体"/>
                      <w:color w:val="auto"/>
                      <w:sz w:val="24"/>
                      <w:lang w:val="en-US" w:eastAsia="zh-CN"/>
                    </w:rPr>
                  </w:pPr>
                  <w:r>
                    <w:rPr>
                      <w:color w:val="auto"/>
                    </w:rPr>
                    <w:t>DA00</w:t>
                  </w:r>
                  <w:r>
                    <w:rPr>
                      <w:rFonts w:hint="eastAsia"/>
                      <w:color w:val="auto"/>
                      <w:lang w:val="en-US" w:eastAsia="zh-CN"/>
                    </w:rPr>
                    <w:t>1</w:t>
                  </w:r>
                </w:p>
              </w:tc>
              <w:tc>
                <w:tcPr>
                  <w:tcW w:w="1296" w:type="dxa"/>
                  <w:vAlign w:val="center"/>
                </w:tcPr>
                <w:p w14:paraId="387E1EF8">
                  <w:pPr>
                    <w:pStyle w:val="195"/>
                    <w:spacing w:line="240" w:lineRule="auto"/>
                    <w:ind w:firstLine="0"/>
                    <w:jc w:val="center"/>
                    <w:rPr>
                      <w:color w:val="auto"/>
                      <w:sz w:val="24"/>
                      <w:szCs w:val="24"/>
                    </w:rPr>
                  </w:pPr>
                  <w:r>
                    <w:rPr>
                      <w:color w:val="auto"/>
                      <w:sz w:val="21"/>
                      <w:szCs w:val="21"/>
                    </w:rPr>
                    <w:t>非甲烷总烃</w:t>
                  </w:r>
                </w:p>
              </w:tc>
              <w:tc>
                <w:tcPr>
                  <w:tcW w:w="1111" w:type="dxa"/>
                  <w:vAlign w:val="center"/>
                </w:tcPr>
                <w:p w14:paraId="5976CFB5">
                  <w:pPr>
                    <w:jc w:val="center"/>
                    <w:rPr>
                      <w:rFonts w:hint="default" w:eastAsia="宋体"/>
                      <w:color w:val="auto"/>
                      <w:lang w:val="en-US" w:eastAsia="zh-CN"/>
                    </w:rPr>
                  </w:pPr>
                  <w:r>
                    <w:rPr>
                      <w:rFonts w:hint="eastAsia"/>
                      <w:color w:val="auto"/>
                      <w:lang w:val="en-US" w:eastAsia="zh-CN"/>
                    </w:rPr>
                    <w:t>12000</w:t>
                  </w:r>
                </w:p>
              </w:tc>
              <w:tc>
                <w:tcPr>
                  <w:tcW w:w="1167" w:type="dxa"/>
                  <w:vAlign w:val="center"/>
                </w:tcPr>
                <w:p w14:paraId="3E0B34C3">
                  <w:pPr>
                    <w:jc w:val="center"/>
                    <w:rPr>
                      <w:rFonts w:hint="eastAsia" w:eastAsia="宋体"/>
                      <w:color w:val="auto"/>
                      <w:lang w:val="en-US" w:eastAsia="zh-CN"/>
                    </w:rPr>
                  </w:pPr>
                  <w:r>
                    <w:rPr>
                      <w:rFonts w:hint="eastAsia"/>
                      <w:color w:val="auto"/>
                    </w:rPr>
                    <w:t>8</w:t>
                  </w:r>
                  <w:r>
                    <w:rPr>
                      <w:rFonts w:hint="eastAsia"/>
                      <w:color w:val="auto"/>
                      <w:lang w:val="en-US" w:eastAsia="zh-CN"/>
                    </w:rPr>
                    <w:t>5</w:t>
                  </w:r>
                </w:p>
              </w:tc>
              <w:tc>
                <w:tcPr>
                  <w:tcW w:w="1167" w:type="dxa"/>
                  <w:vAlign w:val="center"/>
                </w:tcPr>
                <w:p w14:paraId="4EF3E6CB">
                  <w:pPr>
                    <w:jc w:val="center"/>
                    <w:rPr>
                      <w:rFonts w:hint="default" w:eastAsia="宋体"/>
                      <w:color w:val="auto"/>
                      <w:lang w:val="en-US" w:eastAsia="zh-CN"/>
                    </w:rPr>
                  </w:pPr>
                  <w:r>
                    <w:rPr>
                      <w:rFonts w:hint="eastAsia"/>
                      <w:color w:val="auto"/>
                      <w:lang w:val="en-US" w:eastAsia="zh-CN"/>
                    </w:rPr>
                    <w:t>0</w:t>
                  </w:r>
                </w:p>
              </w:tc>
              <w:tc>
                <w:tcPr>
                  <w:tcW w:w="1168" w:type="dxa"/>
                  <w:vAlign w:val="center"/>
                </w:tcPr>
                <w:p w14:paraId="7DE9DE4C">
                  <w:pPr>
                    <w:jc w:val="center"/>
                    <w:rPr>
                      <w:rFonts w:hint="default"/>
                      <w:color w:val="auto"/>
                      <w:lang w:val="en-US" w:eastAsia="zh-CN"/>
                    </w:rPr>
                  </w:pPr>
                  <w:r>
                    <w:rPr>
                      <w:rFonts w:hint="eastAsia"/>
                      <w:color w:val="auto"/>
                      <w:lang w:val="en-US" w:eastAsia="zh-CN"/>
                    </w:rPr>
                    <w:t>1.501</w:t>
                  </w:r>
                </w:p>
              </w:tc>
              <w:tc>
                <w:tcPr>
                  <w:tcW w:w="1249" w:type="dxa"/>
                  <w:vAlign w:val="center"/>
                </w:tcPr>
                <w:p w14:paraId="100200AC">
                  <w:pPr>
                    <w:jc w:val="center"/>
                    <w:rPr>
                      <w:rFonts w:hint="default"/>
                      <w:color w:val="auto"/>
                      <w:lang w:val="en-US" w:eastAsia="zh-CN"/>
                    </w:rPr>
                  </w:pPr>
                  <w:r>
                    <w:rPr>
                      <w:rFonts w:hint="eastAsia"/>
                      <w:color w:val="auto"/>
                      <w:lang w:val="en-US" w:eastAsia="zh-CN"/>
                    </w:rPr>
                    <w:t>0.166</w:t>
                  </w:r>
                </w:p>
              </w:tc>
              <w:tc>
                <w:tcPr>
                  <w:tcW w:w="1312" w:type="dxa"/>
                  <w:vAlign w:val="center"/>
                </w:tcPr>
                <w:p w14:paraId="37E09216">
                  <w:pPr>
                    <w:jc w:val="center"/>
                    <w:rPr>
                      <w:rFonts w:hint="default"/>
                      <w:color w:val="auto"/>
                      <w:lang w:val="en-US" w:eastAsia="zh-CN"/>
                    </w:rPr>
                  </w:pPr>
                  <w:r>
                    <w:rPr>
                      <w:rFonts w:hint="default"/>
                      <w:color w:val="auto"/>
                      <w:lang w:val="en-US" w:eastAsia="zh-CN"/>
                    </w:rPr>
                    <w:t>13.844</w:t>
                  </w:r>
                </w:p>
              </w:tc>
              <w:tc>
                <w:tcPr>
                  <w:tcW w:w="1088" w:type="dxa"/>
                  <w:vAlign w:val="center"/>
                </w:tcPr>
                <w:p w14:paraId="3D513A66">
                  <w:pPr>
                    <w:jc w:val="center"/>
                    <w:rPr>
                      <w:color w:val="auto"/>
                    </w:rPr>
                  </w:pPr>
                  <w:r>
                    <w:rPr>
                      <w:color w:val="auto"/>
                    </w:rPr>
                    <w:t>1次/年</w:t>
                  </w:r>
                </w:p>
              </w:tc>
              <w:tc>
                <w:tcPr>
                  <w:tcW w:w="1164" w:type="dxa"/>
                  <w:vAlign w:val="center"/>
                </w:tcPr>
                <w:p w14:paraId="703A1DD0">
                  <w:pPr>
                    <w:jc w:val="center"/>
                    <w:rPr>
                      <w:color w:val="auto"/>
                    </w:rPr>
                  </w:pPr>
                  <w:r>
                    <w:rPr>
                      <w:color w:val="auto"/>
                    </w:rPr>
                    <w:t>1h</w:t>
                  </w:r>
                </w:p>
              </w:tc>
              <w:tc>
                <w:tcPr>
                  <w:tcW w:w="1028" w:type="dxa"/>
                  <w:vAlign w:val="center"/>
                </w:tcPr>
                <w:p w14:paraId="0096AEB3">
                  <w:pPr>
                    <w:jc w:val="center"/>
                    <w:rPr>
                      <w:rFonts w:hint="default"/>
                      <w:color w:val="auto"/>
                      <w:lang w:val="en-US" w:eastAsia="zh-CN"/>
                    </w:rPr>
                  </w:pPr>
                  <w:r>
                    <w:rPr>
                      <w:rFonts w:hint="eastAsia"/>
                      <w:color w:val="auto"/>
                      <w:lang w:val="en-US" w:eastAsia="zh-CN"/>
                    </w:rPr>
                    <w:t>0.166</w:t>
                  </w:r>
                </w:p>
              </w:tc>
            </w:tr>
            <w:tr w14:paraId="696A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844" w:type="dxa"/>
                  <w:gridSpan w:val="11"/>
                  <w:vAlign w:val="center"/>
                </w:tcPr>
                <w:p w14:paraId="3452FFFA">
                  <w:pPr>
                    <w:jc w:val="center"/>
                    <w:rPr>
                      <w:rFonts w:hint="eastAsia"/>
                      <w:color w:val="auto"/>
                      <w:lang w:val="en-US" w:eastAsia="zh-CN"/>
                    </w:rPr>
                  </w:pPr>
                  <w:r>
                    <w:rPr>
                      <w:rFonts w:hint="eastAsia"/>
                      <w:color w:val="auto"/>
                      <w:kern w:val="0"/>
                      <w:szCs w:val="21"/>
                      <w:lang w:val="en-US" w:eastAsia="zh-CN" w:bidi="ar"/>
                    </w:rPr>
                    <w:t>注：本项目未被收集的粉尘大部分会沉降在车间地面（本环评按80%沉降率计，人工定期清扫回用于生产），其余以无组织形式排放。</w:t>
                  </w:r>
                </w:p>
              </w:tc>
            </w:tr>
          </w:tbl>
          <w:p w14:paraId="5D976D5D">
            <w:pPr>
              <w:wordWrap w:val="0"/>
              <w:autoSpaceDE w:val="0"/>
              <w:autoSpaceDN w:val="0"/>
              <w:adjustRightInd w:val="0"/>
              <w:snapToGrid w:val="0"/>
              <w:spacing w:line="460" w:lineRule="exact"/>
              <w:ind w:firstLine="425"/>
              <w:jc w:val="left"/>
              <w:rPr>
                <w:color w:val="auto"/>
                <w:sz w:val="24"/>
              </w:rPr>
            </w:pPr>
            <w:r>
              <w:rPr>
                <w:color w:val="auto"/>
                <w:sz w:val="24"/>
              </w:rPr>
              <w:t>在非正常工况下，颗粒物、非甲烷总烃排放浓度大幅提高，因此本环评要求在发现废气处理装置异常后及时停产检修，避免长时间废气异常排放。</w:t>
            </w:r>
          </w:p>
          <w:p w14:paraId="154B624A">
            <w:pPr>
              <w:wordWrap w:val="0"/>
              <w:autoSpaceDE w:val="0"/>
              <w:autoSpaceDN w:val="0"/>
              <w:adjustRightInd w:val="0"/>
              <w:snapToGrid w:val="0"/>
              <w:spacing w:line="460" w:lineRule="exact"/>
              <w:ind w:firstLine="425"/>
              <w:jc w:val="left"/>
              <w:rPr>
                <w:color w:val="auto"/>
                <w:sz w:val="24"/>
              </w:rPr>
            </w:pPr>
            <w:r>
              <w:rPr>
                <w:rFonts w:hint="eastAsia"/>
                <w:color w:val="auto"/>
                <w:sz w:val="24"/>
              </w:rPr>
              <w:t>5、环境监测等其他要求</w:t>
            </w:r>
          </w:p>
          <w:p w14:paraId="57DEF4C2">
            <w:pPr>
              <w:wordWrap w:val="0"/>
              <w:autoSpaceDE w:val="0"/>
              <w:autoSpaceDN w:val="0"/>
              <w:adjustRightInd w:val="0"/>
              <w:snapToGrid w:val="0"/>
              <w:spacing w:line="460" w:lineRule="exact"/>
              <w:ind w:firstLine="425"/>
              <w:jc w:val="left"/>
              <w:rPr>
                <w:color w:val="auto"/>
              </w:rPr>
            </w:pPr>
            <w:r>
              <w:rPr>
                <w:rFonts w:hint="eastAsia"/>
                <w:color w:val="auto"/>
                <w:sz w:val="24"/>
              </w:rPr>
              <w:t>项目废气环境监测计划详见后续章节4.</w:t>
            </w:r>
            <w:r>
              <w:rPr>
                <w:rFonts w:hint="eastAsia"/>
                <w:color w:val="auto"/>
                <w:sz w:val="24"/>
                <w:lang w:val="en-US" w:eastAsia="zh-CN"/>
              </w:rPr>
              <w:t>3</w:t>
            </w:r>
            <w:r>
              <w:rPr>
                <w:rFonts w:hint="eastAsia"/>
                <w:color w:val="auto"/>
                <w:sz w:val="24"/>
              </w:rPr>
              <w:t>环境监测计划。建设单位日常运营过</w:t>
            </w:r>
            <w:r>
              <w:rPr>
                <w:rFonts w:hint="eastAsia"/>
                <w:color w:val="auto"/>
                <w:sz w:val="24"/>
                <w:lang w:eastAsia="zh-CN"/>
              </w:rPr>
              <w:t>程中</w:t>
            </w:r>
            <w:r>
              <w:rPr>
                <w:rFonts w:hint="eastAsia"/>
                <w:color w:val="auto"/>
                <w:sz w:val="24"/>
              </w:rPr>
              <w:t>应配备专门人员，负责环保设施的运行，确保废气达标排放。</w:t>
            </w:r>
          </w:p>
        </w:tc>
      </w:tr>
    </w:tbl>
    <w:p w14:paraId="56DDC17A">
      <w:pPr>
        <w:rPr>
          <w:rFonts w:eastAsia="黑体"/>
          <w:snapToGrid w:val="0"/>
          <w:color w:val="auto"/>
          <w:sz w:val="30"/>
          <w:szCs w:val="30"/>
        </w:rPr>
      </w:pPr>
    </w:p>
    <w:p w14:paraId="14543E6A">
      <w:pPr>
        <w:pStyle w:val="82"/>
        <w:adjustRightInd w:val="0"/>
        <w:snapToGrid w:val="0"/>
        <w:spacing w:before="0" w:beforeAutospacing="0" w:after="0" w:afterAutospacing="0"/>
        <w:jc w:val="center"/>
        <w:rPr>
          <w:rFonts w:ascii="Times New Roman" w:hAnsi="Times New Roman"/>
          <w:color w:val="auto"/>
          <w:kern w:val="2"/>
          <w:szCs w:val="24"/>
        </w:rPr>
        <w:sectPr>
          <w:pgSz w:w="16840" w:h="11907" w:orient="landscape"/>
          <w:pgMar w:top="1531" w:right="2126"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1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0"/>
        <w:gridCol w:w="9088"/>
      </w:tblGrid>
      <w:tr w14:paraId="6CD4D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4" w:hRule="atLeast"/>
          <w:jc w:val="center"/>
        </w:trPr>
        <w:tc>
          <w:tcPr>
            <w:tcW w:w="118" w:type="pct"/>
            <w:tcMar>
              <w:left w:w="28" w:type="dxa"/>
              <w:right w:w="28" w:type="dxa"/>
            </w:tcMar>
            <w:vAlign w:val="center"/>
          </w:tcPr>
          <w:p w14:paraId="7EEB1ADB">
            <w:pPr>
              <w:pStyle w:val="82"/>
              <w:adjustRightInd w:val="0"/>
              <w:snapToGrid w:val="0"/>
              <w:spacing w:before="0" w:beforeAutospacing="0" w:after="0" w:afterAutospacing="0"/>
              <w:jc w:val="center"/>
              <w:rPr>
                <w:rFonts w:ascii="Times New Roman" w:hAnsi="Times New Roman"/>
                <w:color w:val="auto"/>
                <w:kern w:val="2"/>
                <w:sz w:val="21"/>
                <w:szCs w:val="21"/>
              </w:rPr>
            </w:pPr>
          </w:p>
        </w:tc>
        <w:tc>
          <w:tcPr>
            <w:tcW w:w="4881" w:type="pct"/>
          </w:tcPr>
          <w:p w14:paraId="1C724629">
            <w:pPr>
              <w:numPr>
                <w:ilvl w:val="0"/>
                <w:numId w:val="26"/>
              </w:numPr>
              <w:tabs>
                <w:tab w:val="left" w:pos="993"/>
                <w:tab w:val="clear" w:pos="0"/>
              </w:tabs>
              <w:adjustRightInd w:val="0"/>
              <w:spacing w:line="360" w:lineRule="auto"/>
              <w:rPr>
                <w:b/>
                <w:bCs/>
                <w:color w:val="auto"/>
                <w:sz w:val="24"/>
              </w:rPr>
            </w:pPr>
            <w:r>
              <w:rPr>
                <w:b/>
                <w:bCs/>
                <w:color w:val="auto"/>
                <w:sz w:val="24"/>
              </w:rPr>
              <w:t>废水</w:t>
            </w:r>
          </w:p>
          <w:p w14:paraId="66FA5D72">
            <w:pPr>
              <w:spacing w:line="360" w:lineRule="auto"/>
              <w:ind w:firstLine="480" w:firstLineChars="200"/>
              <w:rPr>
                <w:color w:val="auto"/>
                <w:sz w:val="24"/>
              </w:rPr>
            </w:pPr>
            <w:r>
              <w:rPr>
                <w:color w:val="auto"/>
                <w:sz w:val="24"/>
              </w:rPr>
              <w:t>1、废水污染源强</w:t>
            </w:r>
            <w:r>
              <w:rPr>
                <w:rFonts w:hint="eastAsia"/>
                <w:color w:val="auto"/>
                <w:sz w:val="24"/>
              </w:rPr>
              <w:t>及产污环节</w:t>
            </w:r>
          </w:p>
          <w:p w14:paraId="2DDFD45A">
            <w:pPr>
              <w:spacing w:line="360" w:lineRule="auto"/>
              <w:ind w:firstLine="480" w:firstLineChars="200"/>
              <w:rPr>
                <w:color w:val="auto"/>
                <w:sz w:val="24"/>
              </w:rPr>
            </w:pPr>
            <w:r>
              <w:rPr>
                <w:rFonts w:hint="eastAsia"/>
                <w:color w:val="auto"/>
                <w:sz w:val="24"/>
              </w:rPr>
              <w:t>本项目废水主要为生活污水、冷却循环水。</w:t>
            </w:r>
          </w:p>
          <w:p w14:paraId="7EE256C9">
            <w:pPr>
              <w:spacing w:line="360" w:lineRule="auto"/>
              <w:ind w:firstLine="480" w:firstLineChars="200"/>
              <w:rPr>
                <w:color w:val="auto"/>
                <w:sz w:val="24"/>
              </w:rPr>
            </w:pPr>
            <w:r>
              <w:rPr>
                <w:rFonts w:hint="eastAsia"/>
                <w:color w:val="auto"/>
                <w:sz w:val="24"/>
              </w:rPr>
              <w:t>（1）生活污水</w:t>
            </w:r>
          </w:p>
          <w:p w14:paraId="4C2851E8">
            <w:pPr>
              <w:spacing w:line="360" w:lineRule="auto"/>
              <w:ind w:firstLine="480" w:firstLineChars="200"/>
              <w:rPr>
                <w:color w:val="auto"/>
                <w:sz w:val="24"/>
              </w:rPr>
            </w:pPr>
            <w:r>
              <w:rPr>
                <w:color w:val="auto"/>
                <w:sz w:val="24"/>
              </w:rPr>
              <w:t>企业营运过程中产生职工生活污水。项目职工定员</w:t>
            </w:r>
            <w:r>
              <w:rPr>
                <w:rFonts w:hint="eastAsia"/>
                <w:color w:val="auto"/>
                <w:sz w:val="24"/>
              </w:rPr>
              <w:t>30</w:t>
            </w:r>
            <w:r>
              <w:rPr>
                <w:color w:val="auto"/>
                <w:sz w:val="24"/>
              </w:rPr>
              <w:t>人，年工作日为3</w:t>
            </w:r>
            <w:r>
              <w:rPr>
                <w:rFonts w:hint="eastAsia"/>
                <w:color w:val="auto"/>
                <w:sz w:val="24"/>
              </w:rPr>
              <w:t>20</w:t>
            </w:r>
            <w:r>
              <w:rPr>
                <w:color w:val="auto"/>
                <w:sz w:val="24"/>
              </w:rPr>
              <w:t>天计，职工生活用水量以100L/人</w:t>
            </w:r>
            <w:r>
              <w:rPr>
                <w:rFonts w:hint="eastAsia"/>
                <w:color w:val="auto"/>
                <w:sz w:val="24"/>
              </w:rPr>
              <w:t>·</w:t>
            </w:r>
            <w:r>
              <w:rPr>
                <w:color w:val="auto"/>
                <w:sz w:val="24"/>
              </w:rPr>
              <w:t>d计，则年用水量为</w:t>
            </w:r>
            <w:r>
              <w:rPr>
                <w:rFonts w:hint="eastAsia"/>
                <w:color w:val="auto"/>
                <w:sz w:val="24"/>
              </w:rPr>
              <w:t>960</w:t>
            </w:r>
            <w:r>
              <w:rPr>
                <w:color w:val="auto"/>
                <w:sz w:val="24"/>
              </w:rPr>
              <w:t>t，污水排放量按用水量的8</w:t>
            </w:r>
            <w:r>
              <w:rPr>
                <w:rFonts w:hint="eastAsia"/>
                <w:color w:val="auto"/>
                <w:sz w:val="24"/>
                <w:lang w:val="en-US" w:eastAsia="zh-CN"/>
              </w:rPr>
              <w:t>5</w:t>
            </w:r>
            <w:r>
              <w:rPr>
                <w:color w:val="auto"/>
                <w:sz w:val="24"/>
              </w:rPr>
              <w:t>%计，经计算得生活污水排放</w:t>
            </w:r>
            <w:r>
              <w:rPr>
                <w:rFonts w:hint="eastAsia"/>
                <w:color w:val="auto"/>
                <w:sz w:val="24"/>
              </w:rPr>
              <w:t>量为</w:t>
            </w:r>
            <w:r>
              <w:rPr>
                <w:rFonts w:hint="eastAsia"/>
                <w:color w:val="auto"/>
                <w:sz w:val="24"/>
                <w:lang w:val="en-US" w:eastAsia="zh-CN"/>
              </w:rPr>
              <w:t>816</w:t>
            </w:r>
            <w:r>
              <w:rPr>
                <w:color w:val="auto"/>
                <w:sz w:val="24"/>
              </w:rPr>
              <w:t>t/a。生活污水经化粪池预处理后纳管排放，其水质大致为COD：300mg/L、NH</w:t>
            </w:r>
            <w:r>
              <w:rPr>
                <w:color w:val="auto"/>
                <w:sz w:val="24"/>
                <w:vertAlign w:val="subscript"/>
              </w:rPr>
              <w:t>3</w:t>
            </w:r>
            <w:r>
              <w:rPr>
                <w:color w:val="auto"/>
                <w:sz w:val="24"/>
              </w:rPr>
              <w:t>-N：30mg/L</w:t>
            </w:r>
            <w:r>
              <w:rPr>
                <w:rFonts w:hint="eastAsia"/>
                <w:color w:val="auto"/>
                <w:sz w:val="24"/>
              </w:rPr>
              <w:t>；则主要污染物的产生量为</w:t>
            </w:r>
            <w:r>
              <w:rPr>
                <w:color w:val="auto"/>
                <w:sz w:val="24"/>
                <w:lang w:val="eu"/>
              </w:rPr>
              <w:t>COD：0.</w:t>
            </w:r>
            <w:r>
              <w:rPr>
                <w:color w:val="auto"/>
                <w:sz w:val="24"/>
              </w:rPr>
              <w:t>2</w:t>
            </w:r>
            <w:r>
              <w:rPr>
                <w:rFonts w:hint="eastAsia"/>
                <w:color w:val="auto"/>
                <w:sz w:val="24"/>
                <w:lang w:val="en-US" w:eastAsia="zh-CN"/>
              </w:rPr>
              <w:t>45</w:t>
            </w:r>
            <w:r>
              <w:rPr>
                <w:color w:val="auto"/>
                <w:sz w:val="24"/>
                <w:lang w:val="eu"/>
              </w:rPr>
              <w:t>/a、NH</w:t>
            </w:r>
            <w:r>
              <w:rPr>
                <w:color w:val="auto"/>
                <w:sz w:val="24"/>
                <w:vertAlign w:val="subscript"/>
                <w:lang w:val="eu"/>
              </w:rPr>
              <w:t>3</w:t>
            </w:r>
            <w:r>
              <w:rPr>
                <w:color w:val="auto"/>
                <w:sz w:val="24"/>
                <w:lang w:val="eu"/>
              </w:rPr>
              <w:t>-N：0.0</w:t>
            </w:r>
            <w:r>
              <w:rPr>
                <w:color w:val="auto"/>
                <w:sz w:val="24"/>
              </w:rPr>
              <w:t>2</w:t>
            </w:r>
            <w:r>
              <w:rPr>
                <w:rFonts w:hint="eastAsia"/>
                <w:color w:val="auto"/>
                <w:sz w:val="24"/>
                <w:lang w:val="en-US" w:eastAsia="zh-CN"/>
              </w:rPr>
              <w:t>4</w:t>
            </w:r>
            <w:r>
              <w:rPr>
                <w:color w:val="auto"/>
                <w:sz w:val="24"/>
                <w:lang w:val="eu"/>
              </w:rPr>
              <w:t>t/a</w:t>
            </w:r>
            <w:r>
              <w:rPr>
                <w:rFonts w:hint="eastAsia"/>
                <w:color w:val="auto"/>
                <w:sz w:val="24"/>
                <w:lang w:val="eu"/>
              </w:rPr>
              <w:t>。</w:t>
            </w:r>
          </w:p>
          <w:p w14:paraId="41DB18E8">
            <w:pPr>
              <w:adjustRightInd w:val="0"/>
              <w:spacing w:line="360" w:lineRule="auto"/>
              <w:ind w:firstLine="480" w:firstLineChars="200"/>
              <w:rPr>
                <w:color w:val="auto"/>
                <w:sz w:val="24"/>
              </w:rPr>
            </w:pPr>
            <w:r>
              <w:rPr>
                <w:rFonts w:hint="eastAsia"/>
                <w:color w:val="auto"/>
                <w:sz w:val="24"/>
              </w:rPr>
              <w:t>（2）冷却循环水</w:t>
            </w:r>
          </w:p>
          <w:p w14:paraId="0D575E24">
            <w:pPr>
              <w:spacing w:line="360" w:lineRule="auto"/>
              <w:ind w:firstLine="480" w:firstLineChars="200"/>
              <w:rPr>
                <w:color w:val="auto"/>
                <w:sz w:val="24"/>
              </w:rPr>
            </w:pPr>
            <w:r>
              <w:rPr>
                <w:color w:val="auto"/>
                <w:sz w:val="24"/>
              </w:rPr>
              <w:t>本项目</w:t>
            </w:r>
            <w:r>
              <w:rPr>
                <w:rFonts w:hint="eastAsia"/>
                <w:color w:val="auto"/>
                <w:sz w:val="24"/>
              </w:rPr>
              <w:t>生产过程需对混料机采用水冷装置进行</w:t>
            </w:r>
            <w:r>
              <w:rPr>
                <w:rFonts w:hint="eastAsia"/>
                <w:color w:val="auto"/>
                <w:sz w:val="24"/>
                <w:lang w:val="en-US" w:eastAsia="zh-CN"/>
              </w:rPr>
              <w:t>间接</w:t>
            </w:r>
            <w:r>
              <w:rPr>
                <w:rFonts w:hint="eastAsia"/>
                <w:color w:val="auto"/>
                <w:sz w:val="24"/>
              </w:rPr>
              <w:t>冷却、产品采用水冷装置进行</w:t>
            </w:r>
            <w:r>
              <w:rPr>
                <w:rFonts w:hint="eastAsia"/>
                <w:color w:val="auto"/>
                <w:sz w:val="24"/>
                <w:lang w:val="en-US" w:eastAsia="zh-CN"/>
              </w:rPr>
              <w:t>直接</w:t>
            </w:r>
            <w:r>
              <w:rPr>
                <w:rFonts w:hint="eastAsia"/>
                <w:color w:val="auto"/>
                <w:sz w:val="24"/>
              </w:rPr>
              <w:t>冷却</w:t>
            </w:r>
            <w:r>
              <w:rPr>
                <w:color w:val="auto"/>
                <w:sz w:val="24"/>
              </w:rPr>
              <w:t>，设循环</w:t>
            </w:r>
            <w:r>
              <w:rPr>
                <w:rFonts w:hint="eastAsia"/>
                <w:color w:val="auto"/>
                <w:sz w:val="24"/>
              </w:rPr>
              <w:t>水箱</w:t>
            </w:r>
            <w:r>
              <w:rPr>
                <w:color w:val="auto"/>
                <w:sz w:val="24"/>
              </w:rPr>
              <w:t>（</w:t>
            </w:r>
            <w:r>
              <w:rPr>
                <w:rFonts w:hint="eastAsia"/>
                <w:color w:val="auto"/>
                <w:sz w:val="24"/>
              </w:rPr>
              <w:t>2个，蓄水量共20t</w:t>
            </w:r>
            <w:r>
              <w:rPr>
                <w:color w:val="auto"/>
                <w:sz w:val="24"/>
              </w:rPr>
              <w:t>）用于冷却循环。冷却循环水主要以蒸发形式损耗，</w:t>
            </w:r>
            <w:r>
              <w:rPr>
                <w:color w:val="auto"/>
                <w:sz w:val="24"/>
                <w:lang w:val="eu"/>
              </w:rPr>
              <w:t>根据</w:t>
            </w:r>
            <w:r>
              <w:rPr>
                <w:color w:val="auto"/>
                <w:sz w:val="24"/>
              </w:rPr>
              <w:t>同类型企业</w:t>
            </w:r>
            <w:r>
              <w:rPr>
                <w:color w:val="auto"/>
                <w:sz w:val="24"/>
                <w:lang w:val="eu"/>
              </w:rPr>
              <w:t>生产经</w:t>
            </w:r>
            <w:r>
              <w:rPr>
                <w:color w:val="auto"/>
                <w:sz w:val="24"/>
              </w:rPr>
              <w:t>验</w:t>
            </w:r>
            <w:r>
              <w:rPr>
                <w:color w:val="auto"/>
                <w:sz w:val="24"/>
                <w:lang w:val="eu"/>
              </w:rPr>
              <w:t>，</w:t>
            </w:r>
            <w:r>
              <w:rPr>
                <w:rFonts w:hint="eastAsia"/>
                <w:color w:val="auto"/>
                <w:sz w:val="24"/>
                <w:lang w:val="en-US" w:eastAsia="zh-CN"/>
              </w:rPr>
              <w:t>间接</w:t>
            </w:r>
            <w:r>
              <w:rPr>
                <w:color w:val="auto"/>
                <w:sz w:val="24"/>
              </w:rPr>
              <w:t>冷却水蒸发</w:t>
            </w:r>
            <w:r>
              <w:rPr>
                <w:color w:val="auto"/>
                <w:sz w:val="24"/>
                <w:lang w:val="eu"/>
              </w:rPr>
              <w:t>量</w:t>
            </w:r>
            <w:r>
              <w:rPr>
                <w:color w:val="auto"/>
                <w:sz w:val="24"/>
              </w:rPr>
              <w:t>约</w:t>
            </w:r>
            <w:r>
              <w:rPr>
                <w:rFonts w:hint="eastAsia"/>
                <w:color w:val="auto"/>
                <w:sz w:val="24"/>
                <w:lang w:val="en-US" w:eastAsia="zh-CN"/>
              </w:rPr>
              <w:t>占</w:t>
            </w:r>
            <w:r>
              <w:rPr>
                <w:color w:val="auto"/>
                <w:sz w:val="24"/>
                <w:lang w:val="eu"/>
              </w:rPr>
              <w:t>循环量的</w:t>
            </w:r>
            <w:r>
              <w:rPr>
                <w:color w:val="auto"/>
                <w:sz w:val="24"/>
              </w:rPr>
              <w:t>1.5</w:t>
            </w:r>
            <w:r>
              <w:rPr>
                <w:color w:val="auto"/>
                <w:sz w:val="24"/>
                <w:lang w:val="eu"/>
              </w:rPr>
              <w:t>%</w:t>
            </w:r>
            <w:r>
              <w:rPr>
                <w:color w:val="auto"/>
                <w:sz w:val="24"/>
              </w:rPr>
              <w:t>，</w:t>
            </w:r>
            <w:r>
              <w:rPr>
                <w:rFonts w:hint="eastAsia"/>
                <w:color w:val="auto"/>
                <w:sz w:val="24"/>
                <w:lang w:val="en-US" w:eastAsia="zh-CN"/>
              </w:rPr>
              <w:t>直接冷却水蒸发量约占循环水量的3%，</w:t>
            </w:r>
            <w:r>
              <w:rPr>
                <w:color w:val="auto"/>
                <w:sz w:val="24"/>
              </w:rPr>
              <w:t>项目</w:t>
            </w:r>
            <w:r>
              <w:rPr>
                <w:rFonts w:hint="eastAsia"/>
                <w:color w:val="auto"/>
                <w:sz w:val="24"/>
                <w:lang w:val="en-US" w:eastAsia="zh-CN"/>
              </w:rPr>
              <w:t>间接</w:t>
            </w:r>
            <w:r>
              <w:rPr>
                <w:color w:val="auto"/>
                <w:sz w:val="24"/>
              </w:rPr>
              <w:t>冷却水</w:t>
            </w:r>
            <w:r>
              <w:rPr>
                <w:rFonts w:hint="eastAsia"/>
                <w:color w:val="auto"/>
                <w:sz w:val="24"/>
                <w:lang w:val="en-US" w:eastAsia="zh-CN"/>
              </w:rPr>
              <w:t>和和直接冷却水</w:t>
            </w:r>
            <w:r>
              <w:rPr>
                <w:color w:val="auto"/>
                <w:sz w:val="24"/>
              </w:rPr>
              <w:t>循环量</w:t>
            </w:r>
            <w:r>
              <w:rPr>
                <w:rFonts w:hint="eastAsia"/>
                <w:color w:val="auto"/>
                <w:sz w:val="24"/>
                <w:lang w:val="en-US" w:eastAsia="zh-CN"/>
              </w:rPr>
              <w:t>均为5</w:t>
            </w:r>
            <w:r>
              <w:rPr>
                <w:rFonts w:hint="eastAsia"/>
                <w:color w:val="auto"/>
                <w:sz w:val="24"/>
              </w:rPr>
              <w:t>t</w:t>
            </w:r>
            <w:r>
              <w:rPr>
                <w:color w:val="auto"/>
                <w:sz w:val="24"/>
              </w:rPr>
              <w:t>/h，则</w:t>
            </w:r>
            <w:r>
              <w:rPr>
                <w:rFonts w:hint="eastAsia"/>
                <w:color w:val="auto"/>
                <w:sz w:val="24"/>
                <w:lang w:val="en-US" w:eastAsia="zh-CN"/>
              </w:rPr>
              <w:t>间接冷却水</w:t>
            </w:r>
            <w:r>
              <w:rPr>
                <w:color w:val="auto"/>
                <w:sz w:val="24"/>
              </w:rPr>
              <w:t>蒸发水量约</w:t>
            </w:r>
            <w:r>
              <w:rPr>
                <w:rFonts w:hint="eastAsia"/>
                <w:color w:val="auto"/>
                <w:sz w:val="24"/>
                <w:lang w:val="en-US" w:eastAsia="zh-CN"/>
              </w:rPr>
              <w:t>576</w:t>
            </w:r>
            <w:r>
              <w:rPr>
                <w:rFonts w:hint="eastAsia"/>
                <w:color w:val="auto"/>
                <w:sz w:val="24"/>
              </w:rPr>
              <w:t>t</w:t>
            </w:r>
            <w:r>
              <w:rPr>
                <w:color w:val="auto"/>
                <w:sz w:val="24"/>
              </w:rPr>
              <w:t>/a</w:t>
            </w:r>
            <w:r>
              <w:rPr>
                <w:rFonts w:hint="eastAsia"/>
                <w:color w:val="auto"/>
                <w:sz w:val="24"/>
                <w:lang w:eastAsia="zh-CN"/>
              </w:rPr>
              <w:t>，</w:t>
            </w:r>
            <w:r>
              <w:rPr>
                <w:rFonts w:hint="eastAsia"/>
                <w:color w:val="auto"/>
                <w:sz w:val="24"/>
                <w:lang w:val="en-US" w:eastAsia="zh-CN"/>
              </w:rPr>
              <w:t>直接冷却水蒸发水量约1152t/a</w:t>
            </w:r>
            <w:r>
              <w:rPr>
                <w:color w:val="auto"/>
                <w:sz w:val="24"/>
              </w:rPr>
              <w:t>。</w:t>
            </w:r>
            <w:r>
              <w:rPr>
                <w:rFonts w:hint="eastAsia"/>
                <w:color w:val="auto"/>
                <w:sz w:val="24"/>
              </w:rPr>
              <w:t>本项目冷却水分为间接冷却和直接冷却两类。其中，间接冷却水用于混料机设备冷却，直接冷却水用于成型产品外壁冷却。两类冷却水均无污染物引入，水质稳定，且仅起冷却作用，对水质要求较低。冷却水均循环使用，不外排，仅定期补充因蒸发等造成的损耗量</w:t>
            </w:r>
            <w:r>
              <w:rPr>
                <w:color w:val="auto"/>
                <w:sz w:val="24"/>
              </w:rPr>
              <w:t>。</w:t>
            </w:r>
          </w:p>
          <w:p w14:paraId="6BC34718">
            <w:pPr>
              <w:spacing w:line="360" w:lineRule="auto"/>
              <w:ind w:firstLine="480" w:firstLineChars="200"/>
              <w:rPr>
                <w:color w:val="auto"/>
                <w:sz w:val="24"/>
              </w:rPr>
            </w:pPr>
            <w:r>
              <w:rPr>
                <w:rFonts w:hint="eastAsia"/>
                <w:color w:val="auto"/>
                <w:sz w:val="24"/>
              </w:rPr>
              <w:t>2、废水处理排放情况</w:t>
            </w:r>
          </w:p>
          <w:p w14:paraId="3D8B5084">
            <w:pPr>
              <w:spacing w:line="360" w:lineRule="auto"/>
              <w:ind w:firstLine="480" w:firstLineChars="200"/>
              <w:rPr>
                <w:color w:val="auto"/>
                <w:sz w:val="24"/>
              </w:rPr>
            </w:pPr>
            <w:r>
              <w:rPr>
                <w:rFonts w:hint="eastAsia"/>
                <w:color w:val="auto"/>
                <w:sz w:val="24"/>
              </w:rPr>
              <w:t>（1）废水及主要污染物排放</w:t>
            </w:r>
          </w:p>
          <w:p w14:paraId="249CA7E7">
            <w:pPr>
              <w:spacing w:line="360" w:lineRule="auto"/>
              <w:ind w:firstLine="480" w:firstLineChars="200"/>
              <w:rPr>
                <w:color w:val="auto"/>
                <w:sz w:val="24"/>
              </w:rPr>
            </w:pPr>
            <w:r>
              <w:rPr>
                <w:rFonts w:hint="eastAsia"/>
                <w:color w:val="auto"/>
                <w:sz w:val="24"/>
              </w:rPr>
              <w:t>根据区域污水收集规划，项目区域属湖州光正水质净化有限公司收集处理范围，纳管废水执行《污水综合排放标准》（GB8978-1996）三级标准，其中，氨氮、总磷排放参考执行《工业企业废水氮、磷污染物间接排放限值》（DB33/887-2013）相关标准限值。最终经</w:t>
            </w:r>
            <w:r>
              <w:rPr>
                <w:color w:val="auto"/>
                <w:sz w:val="24"/>
              </w:rPr>
              <w:t>湖州光正水质净化有限公司</w:t>
            </w:r>
            <w:r>
              <w:rPr>
                <w:rFonts w:hint="eastAsia"/>
                <w:color w:val="auto"/>
                <w:sz w:val="24"/>
              </w:rPr>
              <w:t>处理达到《城镇污水处理厂污染物排放标准》</w:t>
            </w:r>
            <w:r>
              <w:rPr>
                <w:rFonts w:hint="eastAsia"/>
                <w:color w:val="auto"/>
                <w:sz w:val="24"/>
                <w:lang w:eastAsia="zh-CN"/>
              </w:rPr>
              <w:t>（</w:t>
            </w:r>
            <w:r>
              <w:rPr>
                <w:rFonts w:hint="eastAsia"/>
                <w:color w:val="auto"/>
                <w:sz w:val="24"/>
              </w:rPr>
              <w:t>GB18918-2002</w:t>
            </w:r>
            <w:r>
              <w:rPr>
                <w:rFonts w:hint="eastAsia"/>
                <w:color w:val="auto"/>
                <w:sz w:val="24"/>
                <w:lang w:eastAsia="zh-CN"/>
              </w:rPr>
              <w:t>，</w:t>
            </w:r>
            <w:r>
              <w:rPr>
                <w:rFonts w:hint="eastAsia"/>
                <w:color w:val="auto"/>
                <w:sz w:val="24"/>
                <w:lang w:val="zh-CN"/>
              </w:rPr>
              <w:t>含2006年、2025年修改单</w:t>
            </w:r>
            <w:r>
              <w:rPr>
                <w:rFonts w:hint="eastAsia"/>
                <w:color w:val="auto"/>
                <w:sz w:val="24"/>
                <w:lang w:eastAsia="zh-CN"/>
              </w:rPr>
              <w:t>）</w:t>
            </w:r>
            <w:r>
              <w:rPr>
                <w:rFonts w:hint="eastAsia"/>
                <w:color w:val="auto"/>
                <w:sz w:val="24"/>
              </w:rPr>
              <w:t>中的一级A标准，化学需氧量、氨氮、总氮、总磷4项指标执行《城镇污水处理厂主要水污染物排放标准》（DB33/2169-2018）要求后排放。</w:t>
            </w:r>
          </w:p>
          <w:p w14:paraId="28E21B7E">
            <w:pPr>
              <w:spacing w:line="360" w:lineRule="auto"/>
              <w:ind w:firstLine="480" w:firstLineChars="200"/>
              <w:rPr>
                <w:color w:val="auto"/>
                <w:sz w:val="24"/>
              </w:rPr>
            </w:pPr>
            <w:r>
              <w:rPr>
                <w:rFonts w:hint="eastAsia"/>
                <w:color w:val="auto"/>
                <w:sz w:val="24"/>
              </w:rPr>
              <w:t>项目废水及主要污染物处理方式及排放情况如下表。</w:t>
            </w:r>
          </w:p>
          <w:p w14:paraId="05456AB2">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项目废水源强核算表</w:t>
            </w:r>
          </w:p>
          <w:tbl>
            <w:tblPr>
              <w:tblStyle w:val="18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1"/>
              <w:gridCol w:w="1131"/>
              <w:gridCol w:w="1392"/>
              <w:gridCol w:w="1392"/>
              <w:gridCol w:w="1333"/>
              <w:gridCol w:w="1232"/>
              <w:gridCol w:w="1247"/>
            </w:tblGrid>
            <w:tr w14:paraId="49D53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8" w:type="pct"/>
                  <w:vMerge w:val="restart"/>
                  <w:tcBorders>
                    <w:tl2br w:val="nil"/>
                    <w:tr2bl w:val="nil"/>
                  </w:tcBorders>
                  <w:vAlign w:val="center"/>
                </w:tcPr>
                <w:p w14:paraId="531AF1CD">
                  <w:pPr>
                    <w:autoSpaceDE w:val="0"/>
                    <w:autoSpaceDN w:val="0"/>
                    <w:jc w:val="center"/>
                    <w:rPr>
                      <w:color w:val="auto"/>
                      <w:szCs w:val="21"/>
                    </w:rPr>
                  </w:pPr>
                  <w:r>
                    <w:rPr>
                      <w:color w:val="auto"/>
                      <w:szCs w:val="21"/>
                    </w:rPr>
                    <w:t>序号</w:t>
                  </w:r>
                </w:p>
              </w:tc>
              <w:tc>
                <w:tcPr>
                  <w:tcW w:w="638" w:type="pct"/>
                  <w:vMerge w:val="restart"/>
                  <w:tcBorders>
                    <w:tl2br w:val="nil"/>
                    <w:tr2bl w:val="nil"/>
                  </w:tcBorders>
                  <w:vAlign w:val="center"/>
                </w:tcPr>
                <w:p w14:paraId="4BBB15B8">
                  <w:pPr>
                    <w:autoSpaceDE w:val="0"/>
                    <w:autoSpaceDN w:val="0"/>
                    <w:jc w:val="center"/>
                    <w:rPr>
                      <w:color w:val="auto"/>
                      <w:szCs w:val="21"/>
                      <w:lang w:eastAsia="en-US"/>
                    </w:rPr>
                  </w:pPr>
                  <w:r>
                    <w:rPr>
                      <w:color w:val="auto"/>
                      <w:szCs w:val="21"/>
                      <w:lang w:eastAsia="en-US"/>
                    </w:rPr>
                    <w:t>污染源</w:t>
                  </w:r>
                </w:p>
              </w:tc>
              <w:tc>
                <w:tcPr>
                  <w:tcW w:w="785" w:type="pct"/>
                  <w:vMerge w:val="restart"/>
                  <w:tcBorders>
                    <w:tl2br w:val="nil"/>
                    <w:tr2bl w:val="nil"/>
                  </w:tcBorders>
                  <w:vAlign w:val="center"/>
                </w:tcPr>
                <w:p w14:paraId="633D2249">
                  <w:pPr>
                    <w:autoSpaceDE w:val="0"/>
                    <w:autoSpaceDN w:val="0"/>
                    <w:jc w:val="center"/>
                    <w:rPr>
                      <w:color w:val="auto"/>
                      <w:szCs w:val="21"/>
                      <w:lang w:eastAsia="en-US"/>
                    </w:rPr>
                  </w:pPr>
                  <w:r>
                    <w:rPr>
                      <w:color w:val="auto"/>
                      <w:szCs w:val="21"/>
                      <w:lang w:eastAsia="en-US"/>
                    </w:rPr>
                    <w:t>废水量</w:t>
                  </w:r>
                </w:p>
              </w:tc>
              <w:tc>
                <w:tcPr>
                  <w:tcW w:w="785" w:type="pct"/>
                  <w:vMerge w:val="restart"/>
                  <w:tcBorders>
                    <w:tl2br w:val="nil"/>
                    <w:tr2bl w:val="nil"/>
                  </w:tcBorders>
                  <w:vAlign w:val="center"/>
                </w:tcPr>
                <w:p w14:paraId="3B5940AF">
                  <w:pPr>
                    <w:autoSpaceDE w:val="0"/>
                    <w:autoSpaceDN w:val="0"/>
                    <w:jc w:val="center"/>
                    <w:rPr>
                      <w:color w:val="auto"/>
                      <w:szCs w:val="21"/>
                      <w:lang w:eastAsia="en-US"/>
                    </w:rPr>
                  </w:pPr>
                  <w:r>
                    <w:rPr>
                      <w:color w:val="auto"/>
                      <w:szCs w:val="21"/>
                      <w:lang w:eastAsia="en-US"/>
                    </w:rPr>
                    <w:t>污染物</w:t>
                  </w:r>
                </w:p>
              </w:tc>
              <w:tc>
                <w:tcPr>
                  <w:tcW w:w="1447" w:type="pct"/>
                  <w:gridSpan w:val="2"/>
                  <w:tcBorders>
                    <w:tl2br w:val="nil"/>
                    <w:tr2bl w:val="nil"/>
                  </w:tcBorders>
                  <w:vAlign w:val="center"/>
                </w:tcPr>
                <w:p w14:paraId="6A133E35">
                  <w:pPr>
                    <w:autoSpaceDE w:val="0"/>
                    <w:autoSpaceDN w:val="0"/>
                    <w:jc w:val="center"/>
                    <w:rPr>
                      <w:color w:val="auto"/>
                      <w:szCs w:val="21"/>
                      <w:lang w:eastAsia="en-US"/>
                    </w:rPr>
                  </w:pPr>
                  <w:r>
                    <w:rPr>
                      <w:color w:val="auto"/>
                      <w:szCs w:val="21"/>
                      <w:lang w:eastAsia="en-US"/>
                    </w:rPr>
                    <w:t>产生量</w:t>
                  </w:r>
                </w:p>
              </w:tc>
              <w:tc>
                <w:tcPr>
                  <w:tcW w:w="704" w:type="pct"/>
                  <w:vMerge w:val="restart"/>
                  <w:tcBorders>
                    <w:tl2br w:val="nil"/>
                    <w:tr2bl w:val="nil"/>
                  </w:tcBorders>
                  <w:vAlign w:val="center"/>
                </w:tcPr>
                <w:p w14:paraId="7F465FC6">
                  <w:pPr>
                    <w:autoSpaceDE w:val="0"/>
                    <w:autoSpaceDN w:val="0"/>
                    <w:jc w:val="center"/>
                    <w:rPr>
                      <w:color w:val="auto"/>
                      <w:szCs w:val="21"/>
                      <w:lang w:eastAsia="en-US"/>
                    </w:rPr>
                  </w:pPr>
                  <w:r>
                    <w:rPr>
                      <w:color w:val="auto"/>
                      <w:spacing w:val="8"/>
                      <w:szCs w:val="21"/>
                      <w:lang w:eastAsia="en-US"/>
                    </w:rPr>
                    <w:t>污染排放措</w:t>
                  </w:r>
                  <w:r>
                    <w:rPr>
                      <w:color w:val="auto"/>
                      <w:spacing w:val="7"/>
                      <w:szCs w:val="21"/>
                      <w:lang w:eastAsia="en-US"/>
                    </w:rPr>
                    <w:t>施</w:t>
                  </w:r>
                </w:p>
              </w:tc>
            </w:tr>
            <w:tr w14:paraId="4631F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8" w:type="pct"/>
                  <w:vMerge w:val="continue"/>
                  <w:tcBorders>
                    <w:tl2br w:val="nil"/>
                    <w:tr2bl w:val="nil"/>
                  </w:tcBorders>
                  <w:vAlign w:val="center"/>
                </w:tcPr>
                <w:p w14:paraId="14BA0371">
                  <w:pPr>
                    <w:autoSpaceDE w:val="0"/>
                    <w:autoSpaceDN w:val="0"/>
                    <w:jc w:val="center"/>
                    <w:rPr>
                      <w:color w:val="auto"/>
                      <w:szCs w:val="21"/>
                      <w:lang w:eastAsia="en-US"/>
                    </w:rPr>
                  </w:pPr>
                </w:p>
              </w:tc>
              <w:tc>
                <w:tcPr>
                  <w:tcW w:w="638" w:type="pct"/>
                  <w:vMerge w:val="continue"/>
                  <w:tcBorders>
                    <w:tl2br w:val="nil"/>
                    <w:tr2bl w:val="nil"/>
                  </w:tcBorders>
                  <w:vAlign w:val="center"/>
                </w:tcPr>
                <w:p w14:paraId="3F22B88E">
                  <w:pPr>
                    <w:autoSpaceDE w:val="0"/>
                    <w:autoSpaceDN w:val="0"/>
                    <w:jc w:val="center"/>
                    <w:rPr>
                      <w:color w:val="auto"/>
                      <w:szCs w:val="21"/>
                      <w:lang w:eastAsia="en-US"/>
                    </w:rPr>
                  </w:pPr>
                </w:p>
              </w:tc>
              <w:tc>
                <w:tcPr>
                  <w:tcW w:w="785" w:type="pct"/>
                  <w:vMerge w:val="continue"/>
                  <w:tcBorders>
                    <w:tl2br w:val="nil"/>
                    <w:tr2bl w:val="nil"/>
                  </w:tcBorders>
                  <w:vAlign w:val="center"/>
                </w:tcPr>
                <w:p w14:paraId="320EE366">
                  <w:pPr>
                    <w:autoSpaceDE w:val="0"/>
                    <w:autoSpaceDN w:val="0"/>
                    <w:jc w:val="center"/>
                    <w:rPr>
                      <w:color w:val="auto"/>
                      <w:szCs w:val="21"/>
                      <w:lang w:eastAsia="en-US"/>
                    </w:rPr>
                  </w:pPr>
                </w:p>
              </w:tc>
              <w:tc>
                <w:tcPr>
                  <w:tcW w:w="785" w:type="pct"/>
                  <w:vMerge w:val="continue"/>
                  <w:tcBorders>
                    <w:tl2br w:val="nil"/>
                    <w:tr2bl w:val="nil"/>
                  </w:tcBorders>
                  <w:vAlign w:val="center"/>
                </w:tcPr>
                <w:p w14:paraId="0036824C">
                  <w:pPr>
                    <w:autoSpaceDE w:val="0"/>
                    <w:autoSpaceDN w:val="0"/>
                    <w:jc w:val="center"/>
                    <w:rPr>
                      <w:color w:val="auto"/>
                      <w:szCs w:val="21"/>
                      <w:lang w:eastAsia="en-US"/>
                    </w:rPr>
                  </w:pPr>
                </w:p>
              </w:tc>
              <w:tc>
                <w:tcPr>
                  <w:tcW w:w="752" w:type="pct"/>
                  <w:tcBorders>
                    <w:tl2br w:val="nil"/>
                    <w:tr2bl w:val="nil"/>
                  </w:tcBorders>
                  <w:vAlign w:val="center"/>
                </w:tcPr>
                <w:p w14:paraId="4631409A">
                  <w:pPr>
                    <w:autoSpaceDE w:val="0"/>
                    <w:autoSpaceDN w:val="0"/>
                    <w:jc w:val="center"/>
                    <w:rPr>
                      <w:color w:val="auto"/>
                      <w:szCs w:val="21"/>
                      <w:lang w:eastAsia="en-US"/>
                    </w:rPr>
                  </w:pPr>
                  <w:r>
                    <w:rPr>
                      <w:color w:val="auto"/>
                      <w:szCs w:val="21"/>
                      <w:lang w:eastAsia="en-US"/>
                    </w:rPr>
                    <w:t>浓度</w:t>
                  </w:r>
                </w:p>
              </w:tc>
              <w:tc>
                <w:tcPr>
                  <w:tcW w:w="695" w:type="pct"/>
                  <w:tcBorders>
                    <w:tl2br w:val="nil"/>
                    <w:tr2bl w:val="nil"/>
                  </w:tcBorders>
                  <w:vAlign w:val="center"/>
                </w:tcPr>
                <w:p w14:paraId="6A88271D">
                  <w:pPr>
                    <w:autoSpaceDE w:val="0"/>
                    <w:autoSpaceDN w:val="0"/>
                    <w:jc w:val="center"/>
                    <w:rPr>
                      <w:color w:val="auto"/>
                      <w:szCs w:val="21"/>
                      <w:lang w:eastAsia="en-US"/>
                    </w:rPr>
                  </w:pPr>
                  <w:r>
                    <w:rPr>
                      <w:color w:val="auto"/>
                      <w:szCs w:val="21"/>
                      <w:lang w:eastAsia="en-US"/>
                    </w:rPr>
                    <w:t>污染物量</w:t>
                  </w:r>
                </w:p>
              </w:tc>
              <w:tc>
                <w:tcPr>
                  <w:tcW w:w="704" w:type="pct"/>
                  <w:vMerge w:val="continue"/>
                  <w:tcBorders>
                    <w:tl2br w:val="nil"/>
                    <w:tr2bl w:val="nil"/>
                  </w:tcBorders>
                  <w:vAlign w:val="center"/>
                </w:tcPr>
                <w:p w14:paraId="04518397">
                  <w:pPr>
                    <w:autoSpaceDE w:val="0"/>
                    <w:autoSpaceDN w:val="0"/>
                    <w:jc w:val="center"/>
                    <w:rPr>
                      <w:color w:val="auto"/>
                      <w:szCs w:val="21"/>
                      <w:lang w:eastAsia="en-US"/>
                    </w:rPr>
                  </w:pPr>
                </w:p>
              </w:tc>
            </w:tr>
            <w:tr w14:paraId="744B4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8" w:type="pct"/>
                  <w:vMerge w:val="continue"/>
                  <w:tcBorders>
                    <w:tl2br w:val="nil"/>
                    <w:tr2bl w:val="nil"/>
                  </w:tcBorders>
                  <w:vAlign w:val="center"/>
                </w:tcPr>
                <w:p w14:paraId="068DB17E">
                  <w:pPr>
                    <w:autoSpaceDE w:val="0"/>
                    <w:autoSpaceDN w:val="0"/>
                    <w:jc w:val="center"/>
                    <w:rPr>
                      <w:color w:val="auto"/>
                      <w:szCs w:val="21"/>
                      <w:lang w:eastAsia="en-US"/>
                    </w:rPr>
                  </w:pPr>
                </w:p>
              </w:tc>
              <w:tc>
                <w:tcPr>
                  <w:tcW w:w="638" w:type="pct"/>
                  <w:vMerge w:val="continue"/>
                  <w:tcBorders>
                    <w:tl2br w:val="nil"/>
                    <w:tr2bl w:val="nil"/>
                  </w:tcBorders>
                  <w:vAlign w:val="center"/>
                </w:tcPr>
                <w:p w14:paraId="04DED5E4">
                  <w:pPr>
                    <w:autoSpaceDE w:val="0"/>
                    <w:autoSpaceDN w:val="0"/>
                    <w:jc w:val="center"/>
                    <w:rPr>
                      <w:color w:val="auto"/>
                      <w:szCs w:val="21"/>
                      <w:lang w:eastAsia="en-US"/>
                    </w:rPr>
                  </w:pPr>
                </w:p>
              </w:tc>
              <w:tc>
                <w:tcPr>
                  <w:tcW w:w="785" w:type="pct"/>
                  <w:vMerge w:val="continue"/>
                  <w:tcBorders>
                    <w:tl2br w:val="nil"/>
                    <w:tr2bl w:val="nil"/>
                  </w:tcBorders>
                  <w:vAlign w:val="center"/>
                </w:tcPr>
                <w:p w14:paraId="73C03842">
                  <w:pPr>
                    <w:autoSpaceDE w:val="0"/>
                    <w:autoSpaceDN w:val="0"/>
                    <w:jc w:val="center"/>
                    <w:rPr>
                      <w:color w:val="auto"/>
                      <w:szCs w:val="21"/>
                      <w:lang w:eastAsia="en-US"/>
                    </w:rPr>
                  </w:pPr>
                </w:p>
              </w:tc>
              <w:tc>
                <w:tcPr>
                  <w:tcW w:w="785" w:type="pct"/>
                  <w:vMerge w:val="continue"/>
                  <w:tcBorders>
                    <w:tl2br w:val="nil"/>
                    <w:tr2bl w:val="nil"/>
                  </w:tcBorders>
                  <w:vAlign w:val="center"/>
                </w:tcPr>
                <w:p w14:paraId="303B312A">
                  <w:pPr>
                    <w:autoSpaceDE w:val="0"/>
                    <w:autoSpaceDN w:val="0"/>
                    <w:jc w:val="center"/>
                    <w:rPr>
                      <w:color w:val="auto"/>
                      <w:szCs w:val="21"/>
                      <w:lang w:eastAsia="en-US"/>
                    </w:rPr>
                  </w:pPr>
                </w:p>
              </w:tc>
              <w:tc>
                <w:tcPr>
                  <w:tcW w:w="752" w:type="pct"/>
                  <w:tcBorders>
                    <w:tl2br w:val="nil"/>
                    <w:tr2bl w:val="nil"/>
                  </w:tcBorders>
                  <w:vAlign w:val="center"/>
                </w:tcPr>
                <w:p w14:paraId="69D9F564">
                  <w:pPr>
                    <w:autoSpaceDE w:val="0"/>
                    <w:autoSpaceDN w:val="0"/>
                    <w:jc w:val="center"/>
                    <w:rPr>
                      <w:color w:val="auto"/>
                      <w:szCs w:val="21"/>
                      <w:lang w:eastAsia="en-US"/>
                    </w:rPr>
                  </w:pPr>
                  <w:r>
                    <w:rPr>
                      <w:color w:val="auto"/>
                      <w:szCs w:val="21"/>
                      <w:lang w:eastAsia="en-US"/>
                    </w:rPr>
                    <w:t>mg/L</w:t>
                  </w:r>
                </w:p>
              </w:tc>
              <w:tc>
                <w:tcPr>
                  <w:tcW w:w="695" w:type="pct"/>
                  <w:tcBorders>
                    <w:tl2br w:val="nil"/>
                    <w:tr2bl w:val="nil"/>
                  </w:tcBorders>
                  <w:vAlign w:val="center"/>
                </w:tcPr>
                <w:p w14:paraId="69A7F510">
                  <w:pPr>
                    <w:autoSpaceDE w:val="0"/>
                    <w:autoSpaceDN w:val="0"/>
                    <w:jc w:val="center"/>
                    <w:rPr>
                      <w:color w:val="auto"/>
                      <w:szCs w:val="21"/>
                      <w:lang w:eastAsia="en-US"/>
                    </w:rPr>
                  </w:pPr>
                  <w:r>
                    <w:rPr>
                      <w:color w:val="auto"/>
                      <w:szCs w:val="21"/>
                      <w:lang w:eastAsia="en-US"/>
                    </w:rPr>
                    <w:t>t/a</w:t>
                  </w:r>
                </w:p>
              </w:tc>
              <w:tc>
                <w:tcPr>
                  <w:tcW w:w="704" w:type="pct"/>
                  <w:tcBorders>
                    <w:tl2br w:val="nil"/>
                    <w:tr2bl w:val="nil"/>
                  </w:tcBorders>
                  <w:vAlign w:val="center"/>
                </w:tcPr>
                <w:p w14:paraId="6B714AB1">
                  <w:pPr>
                    <w:autoSpaceDE w:val="0"/>
                    <w:autoSpaceDN w:val="0"/>
                    <w:jc w:val="center"/>
                    <w:rPr>
                      <w:color w:val="auto"/>
                      <w:szCs w:val="21"/>
                    </w:rPr>
                  </w:pPr>
                  <w:r>
                    <w:rPr>
                      <w:color w:val="auto"/>
                      <w:szCs w:val="21"/>
                    </w:rPr>
                    <w:t>/</w:t>
                  </w:r>
                </w:p>
              </w:tc>
            </w:tr>
            <w:tr w14:paraId="19A92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8" w:type="pct"/>
                  <w:vMerge w:val="restart"/>
                  <w:tcBorders>
                    <w:tl2br w:val="nil"/>
                    <w:tr2bl w:val="nil"/>
                  </w:tcBorders>
                  <w:vAlign w:val="center"/>
                </w:tcPr>
                <w:p w14:paraId="06F00859">
                  <w:pPr>
                    <w:autoSpaceDE w:val="0"/>
                    <w:autoSpaceDN w:val="0"/>
                    <w:jc w:val="center"/>
                    <w:rPr>
                      <w:color w:val="auto"/>
                      <w:szCs w:val="21"/>
                    </w:rPr>
                  </w:pPr>
                  <w:r>
                    <w:rPr>
                      <w:color w:val="auto"/>
                      <w:szCs w:val="21"/>
                    </w:rPr>
                    <w:t>1</w:t>
                  </w:r>
                </w:p>
              </w:tc>
              <w:tc>
                <w:tcPr>
                  <w:tcW w:w="638" w:type="pct"/>
                  <w:vMerge w:val="restart"/>
                  <w:tcBorders>
                    <w:tl2br w:val="nil"/>
                    <w:tr2bl w:val="nil"/>
                  </w:tcBorders>
                  <w:vAlign w:val="center"/>
                </w:tcPr>
                <w:p w14:paraId="417CF21C">
                  <w:pPr>
                    <w:autoSpaceDE w:val="0"/>
                    <w:autoSpaceDN w:val="0"/>
                    <w:jc w:val="center"/>
                    <w:rPr>
                      <w:color w:val="auto"/>
                      <w:szCs w:val="21"/>
                      <w:lang w:eastAsia="en-US"/>
                    </w:rPr>
                  </w:pPr>
                  <w:r>
                    <w:rPr>
                      <w:color w:val="auto"/>
                      <w:szCs w:val="21"/>
                      <w:lang w:eastAsia="en-US"/>
                    </w:rPr>
                    <w:t>生活污水</w:t>
                  </w:r>
                </w:p>
              </w:tc>
              <w:tc>
                <w:tcPr>
                  <w:tcW w:w="785" w:type="pct"/>
                  <w:vMerge w:val="restart"/>
                  <w:tcBorders>
                    <w:tl2br w:val="nil"/>
                    <w:tr2bl w:val="nil"/>
                  </w:tcBorders>
                  <w:vAlign w:val="center"/>
                </w:tcPr>
                <w:p w14:paraId="7160E35A">
                  <w:pPr>
                    <w:autoSpaceDE w:val="0"/>
                    <w:autoSpaceDN w:val="0"/>
                    <w:jc w:val="center"/>
                    <w:rPr>
                      <w:color w:val="auto"/>
                      <w:szCs w:val="21"/>
                    </w:rPr>
                  </w:pPr>
                  <w:r>
                    <w:rPr>
                      <w:rFonts w:hint="eastAsia"/>
                      <w:color w:val="auto"/>
                      <w:szCs w:val="21"/>
                    </w:rPr>
                    <w:t>768</w:t>
                  </w:r>
                </w:p>
              </w:tc>
              <w:tc>
                <w:tcPr>
                  <w:tcW w:w="785" w:type="pct"/>
                  <w:tcBorders>
                    <w:tl2br w:val="nil"/>
                    <w:tr2bl w:val="nil"/>
                  </w:tcBorders>
                  <w:vAlign w:val="center"/>
                </w:tcPr>
                <w:p w14:paraId="2CFEE2F7">
                  <w:pPr>
                    <w:autoSpaceDE w:val="0"/>
                    <w:autoSpaceDN w:val="0"/>
                    <w:jc w:val="center"/>
                    <w:rPr>
                      <w:color w:val="auto"/>
                      <w:szCs w:val="21"/>
                      <w:lang w:eastAsia="en-US"/>
                    </w:rPr>
                  </w:pPr>
                  <w:r>
                    <w:rPr>
                      <w:color w:val="auto"/>
                      <w:szCs w:val="21"/>
                      <w:lang w:eastAsia="en-US"/>
                    </w:rPr>
                    <w:t>COD</w:t>
                  </w:r>
                  <w:r>
                    <w:rPr>
                      <w:rFonts w:hint="eastAsia"/>
                      <w:color w:val="auto"/>
                      <w:szCs w:val="21"/>
                      <w:vertAlign w:val="subscript"/>
                    </w:rPr>
                    <w:t>C</w:t>
                  </w:r>
                  <w:r>
                    <w:rPr>
                      <w:color w:val="auto"/>
                      <w:szCs w:val="21"/>
                      <w:vertAlign w:val="subscript"/>
                      <w:lang w:eastAsia="en-US"/>
                    </w:rPr>
                    <w:t>r</w:t>
                  </w:r>
                </w:p>
              </w:tc>
              <w:tc>
                <w:tcPr>
                  <w:tcW w:w="752" w:type="pct"/>
                  <w:tcBorders>
                    <w:tl2br w:val="nil"/>
                    <w:tr2bl w:val="nil"/>
                  </w:tcBorders>
                  <w:vAlign w:val="center"/>
                </w:tcPr>
                <w:p w14:paraId="4955ED87">
                  <w:pPr>
                    <w:widowControl/>
                    <w:jc w:val="center"/>
                    <w:textAlignment w:val="center"/>
                    <w:rPr>
                      <w:color w:val="auto"/>
                      <w:szCs w:val="21"/>
                    </w:rPr>
                  </w:pPr>
                  <w:r>
                    <w:rPr>
                      <w:color w:val="auto"/>
                      <w:kern w:val="0"/>
                      <w:szCs w:val="21"/>
                      <w:lang w:bidi="ar"/>
                    </w:rPr>
                    <w:t>3</w:t>
                  </w:r>
                  <w:r>
                    <w:rPr>
                      <w:rFonts w:hint="eastAsia"/>
                      <w:color w:val="auto"/>
                      <w:kern w:val="0"/>
                      <w:szCs w:val="21"/>
                      <w:lang w:bidi="ar"/>
                    </w:rPr>
                    <w:t>00</w:t>
                  </w:r>
                </w:p>
              </w:tc>
              <w:tc>
                <w:tcPr>
                  <w:tcW w:w="1211" w:type="dxa"/>
                  <w:tcBorders>
                    <w:tl2br w:val="nil"/>
                    <w:tr2bl w:val="nil"/>
                  </w:tcBorders>
                  <w:vAlign w:val="center"/>
                </w:tcPr>
                <w:p w14:paraId="00863F0B">
                  <w:pPr>
                    <w:widowControl/>
                    <w:jc w:val="center"/>
                    <w:textAlignment w:val="center"/>
                    <w:rPr>
                      <w:color w:val="auto"/>
                      <w:szCs w:val="21"/>
                    </w:rPr>
                  </w:pPr>
                  <w:r>
                    <w:rPr>
                      <w:rFonts w:hint="eastAsia"/>
                      <w:color w:val="auto"/>
                      <w:kern w:val="0"/>
                      <w:szCs w:val="21"/>
                      <w:lang w:bidi="ar"/>
                    </w:rPr>
                    <w:t>0.230</w:t>
                  </w:r>
                </w:p>
              </w:tc>
              <w:tc>
                <w:tcPr>
                  <w:tcW w:w="704" w:type="pct"/>
                  <w:vMerge w:val="restart"/>
                  <w:tcBorders>
                    <w:tl2br w:val="nil"/>
                    <w:tr2bl w:val="nil"/>
                  </w:tcBorders>
                  <w:vAlign w:val="center"/>
                </w:tcPr>
                <w:p w14:paraId="392D4B29">
                  <w:pPr>
                    <w:widowControl/>
                    <w:autoSpaceDE w:val="0"/>
                    <w:autoSpaceDN w:val="0"/>
                    <w:jc w:val="center"/>
                    <w:textAlignment w:val="center"/>
                    <w:rPr>
                      <w:color w:val="auto"/>
                      <w:szCs w:val="21"/>
                      <w:lang w:eastAsia="en-US"/>
                    </w:rPr>
                  </w:pPr>
                  <w:r>
                    <w:rPr>
                      <w:color w:val="auto"/>
                      <w:szCs w:val="21"/>
                    </w:rPr>
                    <w:t>进生活污水处理系统</w:t>
                  </w:r>
                </w:p>
              </w:tc>
            </w:tr>
            <w:tr w14:paraId="2AB69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8" w:type="pct"/>
                  <w:vMerge w:val="continue"/>
                  <w:tcBorders>
                    <w:tl2br w:val="nil"/>
                    <w:tr2bl w:val="nil"/>
                  </w:tcBorders>
                  <w:vAlign w:val="center"/>
                </w:tcPr>
                <w:p w14:paraId="092E7AEA">
                  <w:pPr>
                    <w:autoSpaceDE w:val="0"/>
                    <w:autoSpaceDN w:val="0"/>
                    <w:jc w:val="center"/>
                    <w:rPr>
                      <w:color w:val="auto"/>
                      <w:szCs w:val="21"/>
                      <w:lang w:eastAsia="en-US"/>
                    </w:rPr>
                  </w:pPr>
                </w:p>
              </w:tc>
              <w:tc>
                <w:tcPr>
                  <w:tcW w:w="638" w:type="pct"/>
                  <w:vMerge w:val="continue"/>
                  <w:tcBorders>
                    <w:tl2br w:val="nil"/>
                    <w:tr2bl w:val="nil"/>
                  </w:tcBorders>
                  <w:vAlign w:val="center"/>
                </w:tcPr>
                <w:p w14:paraId="572E25EB">
                  <w:pPr>
                    <w:autoSpaceDE w:val="0"/>
                    <w:autoSpaceDN w:val="0"/>
                    <w:jc w:val="center"/>
                    <w:rPr>
                      <w:color w:val="auto"/>
                      <w:szCs w:val="21"/>
                      <w:lang w:eastAsia="en-US"/>
                    </w:rPr>
                  </w:pPr>
                </w:p>
              </w:tc>
              <w:tc>
                <w:tcPr>
                  <w:tcW w:w="785" w:type="pct"/>
                  <w:vMerge w:val="continue"/>
                  <w:tcBorders>
                    <w:tl2br w:val="nil"/>
                    <w:tr2bl w:val="nil"/>
                  </w:tcBorders>
                  <w:vAlign w:val="center"/>
                </w:tcPr>
                <w:p w14:paraId="20718A14">
                  <w:pPr>
                    <w:autoSpaceDE w:val="0"/>
                    <w:autoSpaceDN w:val="0"/>
                    <w:jc w:val="center"/>
                    <w:rPr>
                      <w:color w:val="auto"/>
                      <w:szCs w:val="21"/>
                      <w:lang w:eastAsia="en-US"/>
                    </w:rPr>
                  </w:pPr>
                </w:p>
              </w:tc>
              <w:tc>
                <w:tcPr>
                  <w:tcW w:w="785" w:type="pct"/>
                  <w:tcBorders>
                    <w:tl2br w:val="nil"/>
                    <w:tr2bl w:val="nil"/>
                  </w:tcBorders>
                  <w:vAlign w:val="center"/>
                </w:tcPr>
                <w:p w14:paraId="3ECAF5B6">
                  <w:pPr>
                    <w:autoSpaceDE w:val="0"/>
                    <w:autoSpaceDN w:val="0"/>
                    <w:jc w:val="center"/>
                    <w:rPr>
                      <w:color w:val="auto"/>
                      <w:szCs w:val="21"/>
                    </w:rPr>
                  </w:pPr>
                  <w:r>
                    <w:rPr>
                      <w:color w:val="auto"/>
                      <w:szCs w:val="21"/>
                    </w:rPr>
                    <w:t>氨氮</w:t>
                  </w:r>
                </w:p>
              </w:tc>
              <w:tc>
                <w:tcPr>
                  <w:tcW w:w="752" w:type="pct"/>
                  <w:tcBorders>
                    <w:tl2br w:val="nil"/>
                    <w:tr2bl w:val="nil"/>
                  </w:tcBorders>
                  <w:vAlign w:val="center"/>
                </w:tcPr>
                <w:p w14:paraId="0B4115CC">
                  <w:pPr>
                    <w:widowControl/>
                    <w:jc w:val="center"/>
                    <w:textAlignment w:val="center"/>
                    <w:rPr>
                      <w:color w:val="auto"/>
                      <w:szCs w:val="21"/>
                    </w:rPr>
                  </w:pPr>
                  <w:r>
                    <w:rPr>
                      <w:rFonts w:hint="eastAsia"/>
                      <w:color w:val="auto"/>
                      <w:kern w:val="0"/>
                      <w:szCs w:val="21"/>
                      <w:lang w:bidi="ar"/>
                    </w:rPr>
                    <w:t>30</w:t>
                  </w:r>
                </w:p>
              </w:tc>
              <w:tc>
                <w:tcPr>
                  <w:tcW w:w="1211" w:type="dxa"/>
                  <w:tcBorders>
                    <w:tl2br w:val="nil"/>
                    <w:tr2bl w:val="nil"/>
                  </w:tcBorders>
                  <w:vAlign w:val="center"/>
                </w:tcPr>
                <w:p w14:paraId="5AEDDBF2">
                  <w:pPr>
                    <w:widowControl/>
                    <w:jc w:val="center"/>
                    <w:textAlignment w:val="center"/>
                    <w:rPr>
                      <w:color w:val="auto"/>
                      <w:szCs w:val="21"/>
                    </w:rPr>
                  </w:pPr>
                  <w:r>
                    <w:rPr>
                      <w:color w:val="auto"/>
                      <w:kern w:val="0"/>
                      <w:szCs w:val="21"/>
                      <w:lang w:bidi="ar"/>
                    </w:rPr>
                    <w:t>0.0</w:t>
                  </w:r>
                  <w:r>
                    <w:rPr>
                      <w:rFonts w:hint="eastAsia"/>
                      <w:color w:val="auto"/>
                      <w:kern w:val="0"/>
                      <w:szCs w:val="21"/>
                      <w:lang w:bidi="ar"/>
                    </w:rPr>
                    <w:t>23</w:t>
                  </w:r>
                </w:p>
              </w:tc>
              <w:tc>
                <w:tcPr>
                  <w:tcW w:w="704" w:type="pct"/>
                  <w:vMerge w:val="continue"/>
                  <w:tcBorders>
                    <w:tl2br w:val="nil"/>
                    <w:tr2bl w:val="nil"/>
                  </w:tcBorders>
                  <w:vAlign w:val="center"/>
                </w:tcPr>
                <w:p w14:paraId="721BAC87">
                  <w:pPr>
                    <w:widowControl/>
                    <w:autoSpaceDE w:val="0"/>
                    <w:autoSpaceDN w:val="0"/>
                    <w:jc w:val="center"/>
                    <w:textAlignment w:val="center"/>
                    <w:rPr>
                      <w:color w:val="auto"/>
                      <w:szCs w:val="21"/>
                      <w:lang w:eastAsia="en-US"/>
                    </w:rPr>
                  </w:pPr>
                </w:p>
              </w:tc>
            </w:tr>
          </w:tbl>
          <w:p w14:paraId="14DF52A3">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项目废水及主要污染物排放汇总一览表</w:t>
            </w:r>
          </w:p>
          <w:tbl>
            <w:tblPr>
              <w:tblStyle w:val="88"/>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1019"/>
              <w:gridCol w:w="828"/>
              <w:gridCol w:w="2750"/>
              <w:gridCol w:w="2392"/>
              <w:gridCol w:w="864"/>
              <w:gridCol w:w="998"/>
            </w:tblGrid>
            <w:tr w14:paraId="56D53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tcBorders>
                    <w:tl2br w:val="nil"/>
                    <w:tr2bl w:val="nil"/>
                  </w:tcBorders>
                  <w:noWrap/>
                  <w:vAlign w:val="center"/>
                </w:tcPr>
                <w:p w14:paraId="5671E30C">
                  <w:pPr>
                    <w:jc w:val="center"/>
                    <w:rPr>
                      <w:color w:val="auto"/>
                      <w:szCs w:val="21"/>
                    </w:rPr>
                  </w:pPr>
                  <w:r>
                    <w:rPr>
                      <w:color w:val="auto"/>
                      <w:szCs w:val="21"/>
                    </w:rPr>
                    <w:t>名称</w:t>
                  </w:r>
                </w:p>
              </w:tc>
              <w:tc>
                <w:tcPr>
                  <w:tcW w:w="467" w:type="pct"/>
                  <w:tcBorders>
                    <w:tl2br w:val="nil"/>
                    <w:tr2bl w:val="nil"/>
                  </w:tcBorders>
                  <w:vAlign w:val="center"/>
                </w:tcPr>
                <w:p w14:paraId="6A202729">
                  <w:pPr>
                    <w:jc w:val="center"/>
                    <w:rPr>
                      <w:color w:val="auto"/>
                      <w:szCs w:val="21"/>
                    </w:rPr>
                  </w:pPr>
                  <w:r>
                    <w:rPr>
                      <w:color w:val="auto"/>
                      <w:szCs w:val="21"/>
                    </w:rPr>
                    <w:t>年排放量</w:t>
                  </w:r>
                </w:p>
                <w:p w14:paraId="6E8B4DFF">
                  <w:pPr>
                    <w:jc w:val="center"/>
                    <w:rPr>
                      <w:color w:val="auto"/>
                      <w:szCs w:val="21"/>
                    </w:rPr>
                  </w:pPr>
                  <w:r>
                    <w:rPr>
                      <w:color w:val="auto"/>
                      <w:szCs w:val="21"/>
                    </w:rPr>
                    <w:t>（t/a）</w:t>
                  </w:r>
                </w:p>
              </w:tc>
              <w:tc>
                <w:tcPr>
                  <w:tcW w:w="1552" w:type="pct"/>
                  <w:tcBorders>
                    <w:tl2br w:val="nil"/>
                    <w:tr2bl w:val="nil"/>
                  </w:tcBorders>
                  <w:vAlign w:val="center"/>
                </w:tcPr>
                <w:p w14:paraId="713C245F">
                  <w:pPr>
                    <w:jc w:val="center"/>
                    <w:rPr>
                      <w:color w:val="auto"/>
                      <w:szCs w:val="21"/>
                    </w:rPr>
                  </w:pPr>
                  <w:r>
                    <w:rPr>
                      <w:color w:val="auto"/>
                      <w:szCs w:val="21"/>
                    </w:rPr>
                    <w:t>处理方式</w:t>
                  </w:r>
                </w:p>
              </w:tc>
              <w:tc>
                <w:tcPr>
                  <w:tcW w:w="1350" w:type="pct"/>
                  <w:tcBorders>
                    <w:tl2br w:val="nil"/>
                    <w:tr2bl w:val="nil"/>
                  </w:tcBorders>
                  <w:vAlign w:val="center"/>
                </w:tcPr>
                <w:p w14:paraId="2B4C50B7">
                  <w:pPr>
                    <w:widowControl/>
                    <w:ind w:firstLine="360"/>
                    <w:jc w:val="center"/>
                    <w:rPr>
                      <w:color w:val="auto"/>
                      <w:szCs w:val="21"/>
                    </w:rPr>
                  </w:pPr>
                  <w:r>
                    <w:rPr>
                      <w:color w:val="auto"/>
                      <w:szCs w:val="21"/>
                    </w:rPr>
                    <w:t>污染物名项目</w:t>
                  </w:r>
                </w:p>
              </w:tc>
              <w:tc>
                <w:tcPr>
                  <w:tcW w:w="488" w:type="pct"/>
                  <w:tcBorders>
                    <w:tl2br w:val="nil"/>
                    <w:tr2bl w:val="nil"/>
                  </w:tcBorders>
                  <w:noWrap/>
                  <w:vAlign w:val="center"/>
                </w:tcPr>
                <w:p w14:paraId="29C14E3B">
                  <w:pPr>
                    <w:widowControl/>
                    <w:jc w:val="center"/>
                    <w:rPr>
                      <w:color w:val="auto"/>
                      <w:szCs w:val="21"/>
                    </w:rPr>
                  </w:pPr>
                  <w:r>
                    <w:rPr>
                      <w:color w:val="auto"/>
                      <w:szCs w:val="21"/>
                    </w:rPr>
                    <w:t>COD</w:t>
                  </w:r>
                  <w:r>
                    <w:rPr>
                      <w:color w:val="auto"/>
                      <w:szCs w:val="21"/>
                      <w:vertAlign w:val="subscript"/>
                    </w:rPr>
                    <w:t>Cr</w:t>
                  </w:r>
                </w:p>
              </w:tc>
              <w:tc>
                <w:tcPr>
                  <w:tcW w:w="564" w:type="pct"/>
                  <w:tcBorders>
                    <w:tl2br w:val="nil"/>
                    <w:tr2bl w:val="nil"/>
                  </w:tcBorders>
                  <w:noWrap/>
                  <w:vAlign w:val="center"/>
                </w:tcPr>
                <w:p w14:paraId="77E2E76D">
                  <w:pPr>
                    <w:widowControl/>
                    <w:jc w:val="center"/>
                    <w:rPr>
                      <w:color w:val="auto"/>
                      <w:szCs w:val="21"/>
                    </w:rPr>
                  </w:pPr>
                  <w:r>
                    <w:rPr>
                      <w:color w:val="auto"/>
                      <w:szCs w:val="21"/>
                    </w:rPr>
                    <w:t>氨氮</w:t>
                  </w:r>
                </w:p>
              </w:tc>
            </w:tr>
            <w:tr w14:paraId="6C26A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Merge w:val="restart"/>
                  <w:tcBorders>
                    <w:tl2br w:val="nil"/>
                    <w:tr2bl w:val="nil"/>
                  </w:tcBorders>
                  <w:vAlign w:val="center"/>
                </w:tcPr>
                <w:p w14:paraId="4BC82561">
                  <w:pPr>
                    <w:jc w:val="center"/>
                    <w:rPr>
                      <w:color w:val="auto"/>
                      <w:szCs w:val="21"/>
                    </w:rPr>
                  </w:pPr>
                  <w:r>
                    <w:rPr>
                      <w:color w:val="auto"/>
                      <w:szCs w:val="21"/>
                    </w:rPr>
                    <w:t>纳管排放量</w:t>
                  </w:r>
                </w:p>
              </w:tc>
              <w:tc>
                <w:tcPr>
                  <w:tcW w:w="467" w:type="pct"/>
                  <w:vMerge w:val="restart"/>
                  <w:tcBorders>
                    <w:tl2br w:val="nil"/>
                    <w:tr2bl w:val="nil"/>
                  </w:tcBorders>
                  <w:vAlign w:val="center"/>
                </w:tcPr>
                <w:p w14:paraId="584EC9A9">
                  <w:pPr>
                    <w:jc w:val="center"/>
                    <w:rPr>
                      <w:color w:val="auto"/>
                      <w:szCs w:val="21"/>
                    </w:rPr>
                  </w:pPr>
                  <w:r>
                    <w:rPr>
                      <w:rFonts w:hint="eastAsia"/>
                      <w:color w:val="auto"/>
                      <w:szCs w:val="21"/>
                    </w:rPr>
                    <w:t>768</w:t>
                  </w:r>
                </w:p>
              </w:tc>
              <w:tc>
                <w:tcPr>
                  <w:tcW w:w="1552" w:type="pct"/>
                  <w:vMerge w:val="restart"/>
                  <w:tcBorders>
                    <w:tl2br w:val="nil"/>
                    <w:tr2bl w:val="nil"/>
                  </w:tcBorders>
                  <w:vAlign w:val="center"/>
                </w:tcPr>
                <w:p w14:paraId="619B46E9">
                  <w:pPr>
                    <w:jc w:val="center"/>
                    <w:rPr>
                      <w:color w:val="auto"/>
                      <w:szCs w:val="21"/>
                    </w:rPr>
                  </w:pPr>
                  <w:r>
                    <w:rPr>
                      <w:color w:val="auto"/>
                      <w:szCs w:val="21"/>
                    </w:rPr>
                    <w:t>纳入区域市政污水管网</w:t>
                  </w:r>
                </w:p>
              </w:tc>
              <w:tc>
                <w:tcPr>
                  <w:tcW w:w="1350" w:type="pct"/>
                  <w:tcBorders>
                    <w:tl2br w:val="nil"/>
                    <w:tr2bl w:val="nil"/>
                  </w:tcBorders>
                  <w:noWrap/>
                  <w:vAlign w:val="center"/>
                </w:tcPr>
                <w:p w14:paraId="1CFC55C7">
                  <w:pPr>
                    <w:jc w:val="center"/>
                    <w:rPr>
                      <w:color w:val="auto"/>
                      <w:szCs w:val="21"/>
                    </w:rPr>
                  </w:pPr>
                  <w:r>
                    <w:rPr>
                      <w:color w:val="auto"/>
                      <w:szCs w:val="21"/>
                    </w:rPr>
                    <w:t>浓度（mg/L）</w:t>
                  </w:r>
                </w:p>
              </w:tc>
              <w:tc>
                <w:tcPr>
                  <w:tcW w:w="488" w:type="pct"/>
                  <w:tcBorders>
                    <w:tl2br w:val="nil"/>
                    <w:tr2bl w:val="nil"/>
                  </w:tcBorders>
                  <w:noWrap/>
                  <w:vAlign w:val="center"/>
                </w:tcPr>
                <w:p w14:paraId="177373CF">
                  <w:pPr>
                    <w:widowControl/>
                    <w:jc w:val="center"/>
                    <w:textAlignment w:val="center"/>
                    <w:rPr>
                      <w:color w:val="auto"/>
                      <w:szCs w:val="21"/>
                    </w:rPr>
                  </w:pPr>
                  <w:r>
                    <w:rPr>
                      <w:rFonts w:hint="eastAsia"/>
                      <w:color w:val="auto"/>
                      <w:kern w:val="0"/>
                      <w:szCs w:val="21"/>
                      <w:lang w:bidi="ar"/>
                    </w:rPr>
                    <w:t>300</w:t>
                  </w:r>
                </w:p>
              </w:tc>
              <w:tc>
                <w:tcPr>
                  <w:tcW w:w="564" w:type="pct"/>
                  <w:tcBorders>
                    <w:tl2br w:val="nil"/>
                    <w:tr2bl w:val="nil"/>
                  </w:tcBorders>
                  <w:noWrap/>
                  <w:vAlign w:val="center"/>
                </w:tcPr>
                <w:p w14:paraId="432E8EBC">
                  <w:pPr>
                    <w:widowControl/>
                    <w:jc w:val="center"/>
                    <w:textAlignment w:val="center"/>
                    <w:rPr>
                      <w:color w:val="auto"/>
                      <w:szCs w:val="21"/>
                    </w:rPr>
                  </w:pPr>
                  <w:r>
                    <w:rPr>
                      <w:rFonts w:hint="eastAsia"/>
                      <w:color w:val="auto"/>
                      <w:kern w:val="0"/>
                      <w:szCs w:val="21"/>
                      <w:lang w:bidi="ar"/>
                    </w:rPr>
                    <w:t>30</w:t>
                  </w:r>
                </w:p>
              </w:tc>
            </w:tr>
            <w:tr w14:paraId="71E4F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Merge w:val="continue"/>
                  <w:tcBorders>
                    <w:tl2br w:val="nil"/>
                    <w:tr2bl w:val="nil"/>
                  </w:tcBorders>
                  <w:vAlign w:val="center"/>
                </w:tcPr>
                <w:p w14:paraId="21F5A8BB">
                  <w:pPr>
                    <w:jc w:val="center"/>
                    <w:rPr>
                      <w:color w:val="auto"/>
                      <w:szCs w:val="21"/>
                    </w:rPr>
                  </w:pPr>
                </w:p>
              </w:tc>
              <w:tc>
                <w:tcPr>
                  <w:tcW w:w="467" w:type="pct"/>
                  <w:vMerge w:val="continue"/>
                  <w:tcBorders>
                    <w:tl2br w:val="nil"/>
                    <w:tr2bl w:val="nil"/>
                  </w:tcBorders>
                  <w:vAlign w:val="center"/>
                </w:tcPr>
                <w:p w14:paraId="6856DAE2">
                  <w:pPr>
                    <w:jc w:val="center"/>
                    <w:rPr>
                      <w:color w:val="auto"/>
                      <w:szCs w:val="21"/>
                    </w:rPr>
                  </w:pPr>
                </w:p>
              </w:tc>
              <w:tc>
                <w:tcPr>
                  <w:tcW w:w="1552" w:type="pct"/>
                  <w:vMerge w:val="continue"/>
                  <w:tcBorders>
                    <w:tl2br w:val="nil"/>
                    <w:tr2bl w:val="nil"/>
                  </w:tcBorders>
                  <w:vAlign w:val="center"/>
                </w:tcPr>
                <w:p w14:paraId="6717FED8">
                  <w:pPr>
                    <w:jc w:val="center"/>
                    <w:rPr>
                      <w:color w:val="auto"/>
                      <w:szCs w:val="21"/>
                    </w:rPr>
                  </w:pPr>
                </w:p>
              </w:tc>
              <w:tc>
                <w:tcPr>
                  <w:tcW w:w="1350" w:type="pct"/>
                  <w:tcBorders>
                    <w:tl2br w:val="nil"/>
                    <w:tr2bl w:val="nil"/>
                  </w:tcBorders>
                  <w:noWrap/>
                  <w:vAlign w:val="center"/>
                </w:tcPr>
                <w:p w14:paraId="1E989025">
                  <w:pPr>
                    <w:jc w:val="center"/>
                    <w:rPr>
                      <w:color w:val="auto"/>
                      <w:szCs w:val="21"/>
                    </w:rPr>
                  </w:pPr>
                  <w:r>
                    <w:rPr>
                      <w:color w:val="auto"/>
                      <w:szCs w:val="21"/>
                    </w:rPr>
                    <w:t>年排放量（t/a）</w:t>
                  </w:r>
                </w:p>
              </w:tc>
              <w:tc>
                <w:tcPr>
                  <w:tcW w:w="488" w:type="pct"/>
                  <w:tcBorders>
                    <w:tl2br w:val="nil"/>
                    <w:tr2bl w:val="nil"/>
                  </w:tcBorders>
                  <w:noWrap/>
                  <w:vAlign w:val="center"/>
                </w:tcPr>
                <w:p w14:paraId="5DDE8F97">
                  <w:pPr>
                    <w:widowControl/>
                    <w:jc w:val="center"/>
                    <w:textAlignment w:val="center"/>
                    <w:rPr>
                      <w:color w:val="auto"/>
                      <w:szCs w:val="21"/>
                    </w:rPr>
                  </w:pPr>
                  <w:r>
                    <w:rPr>
                      <w:color w:val="auto"/>
                      <w:kern w:val="0"/>
                      <w:szCs w:val="21"/>
                      <w:lang w:bidi="ar"/>
                    </w:rPr>
                    <w:t>0.</w:t>
                  </w:r>
                  <w:r>
                    <w:rPr>
                      <w:rFonts w:hint="eastAsia"/>
                      <w:color w:val="auto"/>
                      <w:kern w:val="0"/>
                      <w:szCs w:val="21"/>
                      <w:lang w:bidi="ar"/>
                    </w:rPr>
                    <w:t>230</w:t>
                  </w:r>
                </w:p>
              </w:tc>
              <w:tc>
                <w:tcPr>
                  <w:tcW w:w="564" w:type="pct"/>
                  <w:tcBorders>
                    <w:tl2br w:val="nil"/>
                    <w:tr2bl w:val="nil"/>
                  </w:tcBorders>
                  <w:noWrap/>
                  <w:vAlign w:val="center"/>
                </w:tcPr>
                <w:p w14:paraId="3E377DE1">
                  <w:pPr>
                    <w:widowControl/>
                    <w:jc w:val="center"/>
                    <w:textAlignment w:val="center"/>
                    <w:rPr>
                      <w:color w:val="auto"/>
                      <w:szCs w:val="21"/>
                    </w:rPr>
                  </w:pPr>
                  <w:r>
                    <w:rPr>
                      <w:color w:val="auto"/>
                      <w:kern w:val="0"/>
                      <w:szCs w:val="21"/>
                      <w:lang w:bidi="ar"/>
                    </w:rPr>
                    <w:t>0.0</w:t>
                  </w:r>
                  <w:r>
                    <w:rPr>
                      <w:rFonts w:hint="eastAsia"/>
                      <w:color w:val="auto"/>
                      <w:kern w:val="0"/>
                      <w:szCs w:val="21"/>
                      <w:lang w:bidi="ar"/>
                    </w:rPr>
                    <w:t>23</w:t>
                  </w:r>
                </w:p>
              </w:tc>
            </w:tr>
            <w:tr w14:paraId="61C2C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Merge w:val="restart"/>
                  <w:tcBorders>
                    <w:tl2br w:val="nil"/>
                    <w:tr2bl w:val="nil"/>
                  </w:tcBorders>
                  <w:vAlign w:val="center"/>
                </w:tcPr>
                <w:p w14:paraId="788D7003">
                  <w:pPr>
                    <w:jc w:val="center"/>
                    <w:rPr>
                      <w:color w:val="auto"/>
                      <w:szCs w:val="21"/>
                    </w:rPr>
                  </w:pPr>
                  <w:r>
                    <w:rPr>
                      <w:color w:val="auto"/>
                      <w:szCs w:val="21"/>
                    </w:rPr>
                    <w:t>环境排放量</w:t>
                  </w:r>
                </w:p>
              </w:tc>
              <w:tc>
                <w:tcPr>
                  <w:tcW w:w="467" w:type="pct"/>
                  <w:vMerge w:val="restart"/>
                  <w:tcBorders>
                    <w:tl2br w:val="nil"/>
                    <w:tr2bl w:val="nil"/>
                  </w:tcBorders>
                  <w:vAlign w:val="center"/>
                </w:tcPr>
                <w:p w14:paraId="650F1BF2">
                  <w:pPr>
                    <w:jc w:val="center"/>
                    <w:rPr>
                      <w:color w:val="auto"/>
                      <w:szCs w:val="21"/>
                    </w:rPr>
                  </w:pPr>
                  <w:r>
                    <w:rPr>
                      <w:rFonts w:hint="eastAsia"/>
                      <w:color w:val="auto"/>
                      <w:szCs w:val="21"/>
                    </w:rPr>
                    <w:t>768</w:t>
                  </w:r>
                </w:p>
              </w:tc>
              <w:tc>
                <w:tcPr>
                  <w:tcW w:w="1552" w:type="pct"/>
                  <w:vMerge w:val="restart"/>
                  <w:tcBorders>
                    <w:tl2br w:val="nil"/>
                    <w:tr2bl w:val="nil"/>
                  </w:tcBorders>
                  <w:vAlign w:val="center"/>
                </w:tcPr>
                <w:p w14:paraId="0FB012AC">
                  <w:pPr>
                    <w:jc w:val="center"/>
                    <w:rPr>
                      <w:color w:val="auto"/>
                      <w:szCs w:val="21"/>
                    </w:rPr>
                  </w:pPr>
                  <w:r>
                    <w:rPr>
                      <w:color w:val="auto"/>
                      <w:szCs w:val="21"/>
                    </w:rPr>
                    <w:t>接入</w:t>
                  </w:r>
                  <w:r>
                    <w:rPr>
                      <w:rFonts w:hint="eastAsia"/>
                      <w:color w:val="auto"/>
                      <w:szCs w:val="21"/>
                    </w:rPr>
                    <w:t>湖州光正水质净化有限公司</w:t>
                  </w:r>
                  <w:r>
                    <w:rPr>
                      <w:color w:val="auto"/>
                      <w:szCs w:val="21"/>
                    </w:rPr>
                    <w:t>进行处理</w:t>
                  </w:r>
                </w:p>
              </w:tc>
              <w:tc>
                <w:tcPr>
                  <w:tcW w:w="1350" w:type="pct"/>
                  <w:tcBorders>
                    <w:tl2br w:val="nil"/>
                    <w:tr2bl w:val="nil"/>
                  </w:tcBorders>
                  <w:noWrap/>
                  <w:vAlign w:val="center"/>
                </w:tcPr>
                <w:p w14:paraId="70C8F858">
                  <w:pPr>
                    <w:jc w:val="center"/>
                    <w:rPr>
                      <w:color w:val="auto"/>
                      <w:szCs w:val="21"/>
                    </w:rPr>
                  </w:pPr>
                  <w:r>
                    <w:rPr>
                      <w:color w:val="auto"/>
                      <w:szCs w:val="21"/>
                    </w:rPr>
                    <w:t>浓度（mg/L）</w:t>
                  </w:r>
                </w:p>
              </w:tc>
              <w:tc>
                <w:tcPr>
                  <w:tcW w:w="488" w:type="pct"/>
                  <w:tcBorders>
                    <w:tl2br w:val="nil"/>
                    <w:tr2bl w:val="nil"/>
                  </w:tcBorders>
                  <w:noWrap/>
                  <w:vAlign w:val="center"/>
                </w:tcPr>
                <w:p w14:paraId="68EC3A15">
                  <w:pPr>
                    <w:widowControl/>
                    <w:jc w:val="center"/>
                    <w:textAlignment w:val="center"/>
                    <w:rPr>
                      <w:color w:val="auto"/>
                      <w:szCs w:val="21"/>
                    </w:rPr>
                  </w:pPr>
                  <w:r>
                    <w:rPr>
                      <w:color w:val="auto"/>
                      <w:kern w:val="0"/>
                      <w:szCs w:val="21"/>
                      <w:lang w:bidi="ar"/>
                    </w:rPr>
                    <w:t>40</w:t>
                  </w:r>
                </w:p>
              </w:tc>
              <w:tc>
                <w:tcPr>
                  <w:tcW w:w="564" w:type="pct"/>
                  <w:tcBorders>
                    <w:tl2br w:val="nil"/>
                    <w:tr2bl w:val="nil"/>
                  </w:tcBorders>
                  <w:noWrap/>
                  <w:vAlign w:val="center"/>
                </w:tcPr>
                <w:p w14:paraId="497D2A0B">
                  <w:pPr>
                    <w:widowControl/>
                    <w:jc w:val="center"/>
                    <w:textAlignment w:val="center"/>
                    <w:rPr>
                      <w:color w:val="auto"/>
                      <w:szCs w:val="21"/>
                    </w:rPr>
                  </w:pPr>
                  <w:r>
                    <w:rPr>
                      <w:color w:val="auto"/>
                      <w:kern w:val="0"/>
                      <w:szCs w:val="21"/>
                      <w:lang w:bidi="ar"/>
                    </w:rPr>
                    <w:t>2</w:t>
                  </w:r>
                </w:p>
              </w:tc>
            </w:tr>
            <w:tr w14:paraId="7E2E6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575" w:type="pct"/>
                  <w:vMerge w:val="continue"/>
                  <w:tcBorders>
                    <w:tl2br w:val="nil"/>
                    <w:tr2bl w:val="nil"/>
                  </w:tcBorders>
                  <w:vAlign w:val="center"/>
                </w:tcPr>
                <w:p w14:paraId="09AC883C">
                  <w:pPr>
                    <w:jc w:val="center"/>
                    <w:rPr>
                      <w:color w:val="auto"/>
                      <w:szCs w:val="21"/>
                    </w:rPr>
                  </w:pPr>
                </w:p>
              </w:tc>
              <w:tc>
                <w:tcPr>
                  <w:tcW w:w="467" w:type="pct"/>
                  <w:vMerge w:val="continue"/>
                  <w:tcBorders>
                    <w:tl2br w:val="nil"/>
                    <w:tr2bl w:val="nil"/>
                  </w:tcBorders>
                  <w:vAlign w:val="center"/>
                </w:tcPr>
                <w:p w14:paraId="3AF31574">
                  <w:pPr>
                    <w:jc w:val="center"/>
                    <w:rPr>
                      <w:color w:val="auto"/>
                      <w:szCs w:val="21"/>
                    </w:rPr>
                  </w:pPr>
                </w:p>
              </w:tc>
              <w:tc>
                <w:tcPr>
                  <w:tcW w:w="1552" w:type="pct"/>
                  <w:vMerge w:val="continue"/>
                  <w:tcBorders>
                    <w:tl2br w:val="nil"/>
                    <w:tr2bl w:val="nil"/>
                  </w:tcBorders>
                  <w:vAlign w:val="center"/>
                </w:tcPr>
                <w:p w14:paraId="1A8ACAB3">
                  <w:pPr>
                    <w:jc w:val="center"/>
                    <w:rPr>
                      <w:color w:val="auto"/>
                      <w:szCs w:val="21"/>
                    </w:rPr>
                  </w:pPr>
                </w:p>
              </w:tc>
              <w:tc>
                <w:tcPr>
                  <w:tcW w:w="1350" w:type="pct"/>
                  <w:tcBorders>
                    <w:tl2br w:val="nil"/>
                    <w:tr2bl w:val="nil"/>
                  </w:tcBorders>
                  <w:noWrap/>
                  <w:vAlign w:val="center"/>
                </w:tcPr>
                <w:p w14:paraId="598EFA69">
                  <w:pPr>
                    <w:jc w:val="center"/>
                    <w:rPr>
                      <w:color w:val="auto"/>
                      <w:szCs w:val="21"/>
                    </w:rPr>
                  </w:pPr>
                  <w:r>
                    <w:rPr>
                      <w:color w:val="auto"/>
                      <w:szCs w:val="21"/>
                    </w:rPr>
                    <w:t>年排放量（t/a）</w:t>
                  </w:r>
                </w:p>
              </w:tc>
              <w:tc>
                <w:tcPr>
                  <w:tcW w:w="488" w:type="pct"/>
                  <w:tcBorders>
                    <w:tl2br w:val="nil"/>
                    <w:tr2bl w:val="nil"/>
                  </w:tcBorders>
                  <w:noWrap/>
                  <w:vAlign w:val="center"/>
                </w:tcPr>
                <w:p w14:paraId="5D296FA0">
                  <w:pPr>
                    <w:widowControl/>
                    <w:jc w:val="center"/>
                    <w:textAlignment w:val="center"/>
                    <w:rPr>
                      <w:color w:val="auto"/>
                      <w:szCs w:val="21"/>
                    </w:rPr>
                  </w:pPr>
                  <w:r>
                    <w:rPr>
                      <w:rFonts w:hint="eastAsia"/>
                      <w:color w:val="auto"/>
                      <w:szCs w:val="21"/>
                    </w:rPr>
                    <w:t>0.031</w:t>
                  </w:r>
                </w:p>
              </w:tc>
              <w:tc>
                <w:tcPr>
                  <w:tcW w:w="564" w:type="pct"/>
                  <w:tcBorders>
                    <w:tl2br w:val="nil"/>
                    <w:tr2bl w:val="nil"/>
                  </w:tcBorders>
                  <w:noWrap/>
                  <w:vAlign w:val="center"/>
                </w:tcPr>
                <w:p w14:paraId="19AC3308">
                  <w:pPr>
                    <w:widowControl/>
                    <w:jc w:val="center"/>
                    <w:textAlignment w:val="center"/>
                    <w:rPr>
                      <w:color w:val="auto"/>
                      <w:szCs w:val="21"/>
                    </w:rPr>
                  </w:pPr>
                  <w:r>
                    <w:rPr>
                      <w:rFonts w:hint="eastAsia"/>
                      <w:color w:val="auto"/>
                      <w:szCs w:val="21"/>
                    </w:rPr>
                    <w:t>0.002</w:t>
                  </w:r>
                </w:p>
              </w:tc>
            </w:tr>
          </w:tbl>
          <w:p w14:paraId="56551834">
            <w:pPr>
              <w:spacing w:line="360" w:lineRule="auto"/>
              <w:ind w:firstLine="480" w:firstLineChars="200"/>
              <w:rPr>
                <w:color w:val="auto"/>
                <w:sz w:val="24"/>
              </w:rPr>
            </w:pPr>
            <w:r>
              <w:rPr>
                <w:rFonts w:hint="eastAsia"/>
                <w:color w:val="auto"/>
                <w:sz w:val="24"/>
              </w:rPr>
              <w:t>（2）</w:t>
            </w:r>
            <w:r>
              <w:rPr>
                <w:color w:val="auto"/>
                <w:sz w:val="24"/>
              </w:rPr>
              <w:t>废水排放口基本情况</w:t>
            </w:r>
          </w:p>
          <w:p w14:paraId="198E6739">
            <w:pPr>
              <w:spacing w:line="360" w:lineRule="auto"/>
              <w:ind w:firstLine="480" w:firstLineChars="200"/>
              <w:rPr>
                <w:color w:val="auto"/>
                <w:sz w:val="24"/>
              </w:rPr>
            </w:pPr>
            <w:r>
              <w:rPr>
                <w:color w:val="auto"/>
                <w:sz w:val="24"/>
              </w:rPr>
              <w:t>结合前述分析，项目废水排放口基本情况如下表。</w:t>
            </w:r>
          </w:p>
          <w:p w14:paraId="071AB181">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废水排放口基本情况一览表</w:t>
            </w:r>
          </w:p>
          <w:tbl>
            <w:tblPr>
              <w:tblStyle w:val="88"/>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344"/>
              <w:gridCol w:w="656"/>
              <w:gridCol w:w="681"/>
              <w:gridCol w:w="949"/>
              <w:gridCol w:w="960"/>
              <w:gridCol w:w="862"/>
              <w:gridCol w:w="690"/>
              <w:gridCol w:w="658"/>
              <w:gridCol w:w="657"/>
              <w:gridCol w:w="798"/>
              <w:gridCol w:w="798"/>
              <w:gridCol w:w="798"/>
            </w:tblGrid>
            <w:tr w14:paraId="7713B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194" w:type="pct"/>
                  <w:vMerge w:val="restart"/>
                  <w:tcBorders>
                    <w:tl2br w:val="nil"/>
                    <w:tr2bl w:val="nil"/>
                  </w:tcBorders>
                  <w:vAlign w:val="center"/>
                </w:tcPr>
                <w:p w14:paraId="26185365">
                  <w:pPr>
                    <w:jc w:val="center"/>
                    <w:rPr>
                      <w:color w:val="auto"/>
                      <w:sz w:val="18"/>
                      <w:szCs w:val="18"/>
                    </w:rPr>
                  </w:pPr>
                  <w:r>
                    <w:rPr>
                      <w:color w:val="auto"/>
                      <w:sz w:val="18"/>
                      <w:szCs w:val="18"/>
                    </w:rPr>
                    <w:t>序号</w:t>
                  </w:r>
                </w:p>
              </w:tc>
              <w:tc>
                <w:tcPr>
                  <w:tcW w:w="370" w:type="pct"/>
                  <w:vMerge w:val="restart"/>
                  <w:tcBorders>
                    <w:tl2br w:val="nil"/>
                    <w:tr2bl w:val="nil"/>
                  </w:tcBorders>
                  <w:vAlign w:val="center"/>
                </w:tcPr>
                <w:p w14:paraId="0E43FFA5">
                  <w:pPr>
                    <w:jc w:val="center"/>
                    <w:rPr>
                      <w:color w:val="auto"/>
                      <w:sz w:val="18"/>
                      <w:szCs w:val="18"/>
                    </w:rPr>
                  </w:pPr>
                  <w:r>
                    <w:rPr>
                      <w:color w:val="auto"/>
                      <w:sz w:val="18"/>
                      <w:szCs w:val="18"/>
                    </w:rPr>
                    <w:t>废水类别</w:t>
                  </w:r>
                </w:p>
              </w:tc>
              <w:tc>
                <w:tcPr>
                  <w:tcW w:w="384" w:type="pct"/>
                  <w:vMerge w:val="restart"/>
                  <w:tcBorders>
                    <w:tl2br w:val="nil"/>
                    <w:tr2bl w:val="nil"/>
                  </w:tcBorders>
                  <w:vAlign w:val="center"/>
                </w:tcPr>
                <w:p w14:paraId="61B30806">
                  <w:pPr>
                    <w:jc w:val="center"/>
                    <w:rPr>
                      <w:color w:val="auto"/>
                      <w:sz w:val="18"/>
                      <w:szCs w:val="18"/>
                    </w:rPr>
                  </w:pPr>
                  <w:r>
                    <w:rPr>
                      <w:color w:val="auto"/>
                      <w:sz w:val="18"/>
                      <w:szCs w:val="18"/>
                    </w:rPr>
                    <w:t>污染物</w:t>
                  </w:r>
                </w:p>
                <w:p w14:paraId="2C47B907">
                  <w:pPr>
                    <w:jc w:val="center"/>
                    <w:rPr>
                      <w:color w:val="auto"/>
                      <w:sz w:val="18"/>
                      <w:szCs w:val="18"/>
                    </w:rPr>
                  </w:pPr>
                  <w:r>
                    <w:rPr>
                      <w:color w:val="auto"/>
                      <w:sz w:val="18"/>
                      <w:szCs w:val="18"/>
                    </w:rPr>
                    <w:t>种类</w:t>
                  </w:r>
                </w:p>
              </w:tc>
              <w:tc>
                <w:tcPr>
                  <w:tcW w:w="1955" w:type="pct"/>
                  <w:gridSpan w:val="4"/>
                  <w:tcBorders>
                    <w:tl2br w:val="nil"/>
                    <w:tr2bl w:val="nil"/>
                  </w:tcBorders>
                  <w:vAlign w:val="center"/>
                </w:tcPr>
                <w:p w14:paraId="56921C21">
                  <w:pPr>
                    <w:jc w:val="center"/>
                    <w:rPr>
                      <w:color w:val="auto"/>
                      <w:sz w:val="18"/>
                      <w:szCs w:val="18"/>
                    </w:rPr>
                  </w:pPr>
                  <w:r>
                    <w:rPr>
                      <w:color w:val="auto"/>
                      <w:sz w:val="18"/>
                      <w:szCs w:val="18"/>
                    </w:rPr>
                    <w:t>污染治理设施</w:t>
                  </w:r>
                </w:p>
              </w:tc>
              <w:tc>
                <w:tcPr>
                  <w:tcW w:w="371" w:type="pct"/>
                  <w:vMerge w:val="restart"/>
                  <w:tcBorders>
                    <w:tl2br w:val="nil"/>
                    <w:tr2bl w:val="nil"/>
                  </w:tcBorders>
                  <w:vAlign w:val="center"/>
                </w:tcPr>
                <w:p w14:paraId="3E4E0EFB">
                  <w:pPr>
                    <w:jc w:val="center"/>
                    <w:rPr>
                      <w:color w:val="auto"/>
                      <w:sz w:val="18"/>
                      <w:szCs w:val="18"/>
                    </w:rPr>
                  </w:pPr>
                  <w:r>
                    <w:rPr>
                      <w:color w:val="auto"/>
                      <w:sz w:val="18"/>
                      <w:szCs w:val="18"/>
                    </w:rPr>
                    <w:t>排放去向</w:t>
                  </w:r>
                </w:p>
              </w:tc>
              <w:tc>
                <w:tcPr>
                  <w:tcW w:w="371" w:type="pct"/>
                  <w:vMerge w:val="restart"/>
                  <w:tcBorders>
                    <w:tl2br w:val="nil"/>
                    <w:tr2bl w:val="nil"/>
                  </w:tcBorders>
                  <w:vAlign w:val="center"/>
                </w:tcPr>
                <w:p w14:paraId="53A189BA">
                  <w:pPr>
                    <w:jc w:val="center"/>
                    <w:rPr>
                      <w:color w:val="auto"/>
                      <w:sz w:val="18"/>
                      <w:szCs w:val="18"/>
                    </w:rPr>
                  </w:pPr>
                  <w:r>
                    <w:rPr>
                      <w:color w:val="auto"/>
                      <w:sz w:val="18"/>
                      <w:szCs w:val="18"/>
                    </w:rPr>
                    <w:t>排放方式</w:t>
                  </w:r>
                </w:p>
              </w:tc>
              <w:tc>
                <w:tcPr>
                  <w:tcW w:w="450" w:type="pct"/>
                  <w:vMerge w:val="restart"/>
                  <w:tcBorders>
                    <w:tl2br w:val="nil"/>
                    <w:tr2bl w:val="nil"/>
                  </w:tcBorders>
                  <w:vAlign w:val="center"/>
                </w:tcPr>
                <w:p w14:paraId="772D768A">
                  <w:pPr>
                    <w:jc w:val="center"/>
                    <w:rPr>
                      <w:color w:val="auto"/>
                      <w:sz w:val="18"/>
                      <w:szCs w:val="18"/>
                    </w:rPr>
                  </w:pPr>
                  <w:r>
                    <w:rPr>
                      <w:color w:val="auto"/>
                      <w:sz w:val="18"/>
                      <w:szCs w:val="18"/>
                    </w:rPr>
                    <w:t>排放规律</w:t>
                  </w:r>
                </w:p>
              </w:tc>
              <w:tc>
                <w:tcPr>
                  <w:tcW w:w="450" w:type="pct"/>
                  <w:vMerge w:val="restart"/>
                  <w:tcBorders>
                    <w:tl2br w:val="nil"/>
                    <w:tr2bl w:val="nil"/>
                  </w:tcBorders>
                  <w:vAlign w:val="center"/>
                </w:tcPr>
                <w:p w14:paraId="26298166">
                  <w:pPr>
                    <w:jc w:val="center"/>
                    <w:rPr>
                      <w:color w:val="auto"/>
                      <w:sz w:val="18"/>
                      <w:szCs w:val="18"/>
                    </w:rPr>
                  </w:pPr>
                  <w:r>
                    <w:rPr>
                      <w:color w:val="auto"/>
                      <w:sz w:val="18"/>
                      <w:szCs w:val="18"/>
                    </w:rPr>
                    <w:t>排放口类型</w:t>
                  </w:r>
                </w:p>
              </w:tc>
              <w:tc>
                <w:tcPr>
                  <w:tcW w:w="450" w:type="pct"/>
                  <w:vMerge w:val="restart"/>
                  <w:tcBorders>
                    <w:tl2br w:val="nil"/>
                    <w:tr2bl w:val="nil"/>
                  </w:tcBorders>
                  <w:vAlign w:val="center"/>
                </w:tcPr>
                <w:p w14:paraId="2155E3DF">
                  <w:pPr>
                    <w:jc w:val="center"/>
                    <w:rPr>
                      <w:color w:val="auto"/>
                      <w:sz w:val="18"/>
                      <w:szCs w:val="18"/>
                    </w:rPr>
                  </w:pPr>
                  <w:r>
                    <w:rPr>
                      <w:color w:val="auto"/>
                      <w:sz w:val="18"/>
                      <w:szCs w:val="18"/>
                    </w:rPr>
                    <w:t>排放口编号</w:t>
                  </w:r>
                </w:p>
              </w:tc>
            </w:tr>
            <w:tr w14:paraId="5F09A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194" w:type="pct"/>
                  <w:vMerge w:val="continue"/>
                  <w:tcBorders>
                    <w:tl2br w:val="nil"/>
                    <w:tr2bl w:val="nil"/>
                  </w:tcBorders>
                  <w:vAlign w:val="center"/>
                </w:tcPr>
                <w:p w14:paraId="4A42D591">
                  <w:pPr>
                    <w:jc w:val="center"/>
                    <w:rPr>
                      <w:color w:val="auto"/>
                      <w:sz w:val="18"/>
                      <w:szCs w:val="18"/>
                    </w:rPr>
                  </w:pPr>
                </w:p>
              </w:tc>
              <w:tc>
                <w:tcPr>
                  <w:tcW w:w="370" w:type="pct"/>
                  <w:vMerge w:val="continue"/>
                  <w:tcBorders>
                    <w:tl2br w:val="nil"/>
                    <w:tr2bl w:val="nil"/>
                  </w:tcBorders>
                  <w:vAlign w:val="center"/>
                </w:tcPr>
                <w:p w14:paraId="0107F751">
                  <w:pPr>
                    <w:jc w:val="center"/>
                    <w:rPr>
                      <w:color w:val="auto"/>
                      <w:sz w:val="18"/>
                      <w:szCs w:val="18"/>
                    </w:rPr>
                  </w:pPr>
                </w:p>
              </w:tc>
              <w:tc>
                <w:tcPr>
                  <w:tcW w:w="384" w:type="pct"/>
                  <w:vMerge w:val="continue"/>
                  <w:tcBorders>
                    <w:tl2br w:val="nil"/>
                    <w:tr2bl w:val="nil"/>
                  </w:tcBorders>
                  <w:vAlign w:val="center"/>
                </w:tcPr>
                <w:p w14:paraId="29A79786">
                  <w:pPr>
                    <w:jc w:val="center"/>
                    <w:rPr>
                      <w:color w:val="auto"/>
                      <w:sz w:val="18"/>
                      <w:szCs w:val="18"/>
                    </w:rPr>
                  </w:pPr>
                </w:p>
              </w:tc>
              <w:tc>
                <w:tcPr>
                  <w:tcW w:w="536" w:type="pct"/>
                  <w:tcBorders>
                    <w:tl2br w:val="nil"/>
                    <w:tr2bl w:val="nil"/>
                  </w:tcBorders>
                  <w:vAlign w:val="center"/>
                </w:tcPr>
                <w:p w14:paraId="1D6CB2E5">
                  <w:pPr>
                    <w:jc w:val="center"/>
                    <w:rPr>
                      <w:color w:val="auto"/>
                      <w:sz w:val="18"/>
                      <w:szCs w:val="18"/>
                    </w:rPr>
                  </w:pPr>
                  <w:r>
                    <w:rPr>
                      <w:color w:val="auto"/>
                      <w:sz w:val="18"/>
                      <w:szCs w:val="18"/>
                    </w:rPr>
                    <w:t>设施名称</w:t>
                  </w:r>
                </w:p>
              </w:tc>
              <w:tc>
                <w:tcPr>
                  <w:tcW w:w="542" w:type="pct"/>
                  <w:tcBorders>
                    <w:tl2br w:val="nil"/>
                    <w:tr2bl w:val="nil"/>
                  </w:tcBorders>
                  <w:vAlign w:val="center"/>
                </w:tcPr>
                <w:p w14:paraId="6E17B78B">
                  <w:pPr>
                    <w:jc w:val="center"/>
                    <w:rPr>
                      <w:color w:val="auto"/>
                      <w:sz w:val="18"/>
                      <w:szCs w:val="18"/>
                    </w:rPr>
                  </w:pPr>
                  <w:r>
                    <w:rPr>
                      <w:color w:val="auto"/>
                      <w:sz w:val="18"/>
                      <w:szCs w:val="18"/>
                    </w:rPr>
                    <w:t>处理工艺</w:t>
                  </w:r>
                </w:p>
              </w:tc>
              <w:tc>
                <w:tcPr>
                  <w:tcW w:w="486" w:type="pct"/>
                  <w:tcBorders>
                    <w:tl2br w:val="nil"/>
                    <w:tr2bl w:val="nil"/>
                  </w:tcBorders>
                  <w:vAlign w:val="center"/>
                </w:tcPr>
                <w:p w14:paraId="3EE1ACC6">
                  <w:pPr>
                    <w:jc w:val="center"/>
                    <w:rPr>
                      <w:color w:val="auto"/>
                      <w:sz w:val="18"/>
                      <w:szCs w:val="18"/>
                    </w:rPr>
                  </w:pPr>
                  <w:r>
                    <w:rPr>
                      <w:color w:val="auto"/>
                      <w:sz w:val="18"/>
                      <w:szCs w:val="18"/>
                    </w:rPr>
                    <w:t>处理效率</w:t>
                  </w:r>
                </w:p>
                <w:p w14:paraId="72AE055D">
                  <w:pPr>
                    <w:jc w:val="center"/>
                    <w:rPr>
                      <w:color w:val="auto"/>
                      <w:sz w:val="18"/>
                      <w:szCs w:val="18"/>
                    </w:rPr>
                  </w:pPr>
                  <w:r>
                    <w:rPr>
                      <w:color w:val="auto"/>
                      <w:sz w:val="18"/>
                      <w:szCs w:val="18"/>
                    </w:rPr>
                    <w:t>%</w:t>
                  </w:r>
                </w:p>
              </w:tc>
              <w:tc>
                <w:tcPr>
                  <w:tcW w:w="389" w:type="pct"/>
                  <w:tcBorders>
                    <w:tl2br w:val="nil"/>
                    <w:tr2bl w:val="nil"/>
                  </w:tcBorders>
                  <w:vAlign w:val="center"/>
                </w:tcPr>
                <w:p w14:paraId="1910AE09">
                  <w:pPr>
                    <w:jc w:val="center"/>
                    <w:rPr>
                      <w:color w:val="auto"/>
                      <w:sz w:val="18"/>
                      <w:szCs w:val="18"/>
                    </w:rPr>
                  </w:pPr>
                  <w:r>
                    <w:rPr>
                      <w:color w:val="auto"/>
                      <w:sz w:val="18"/>
                      <w:szCs w:val="18"/>
                    </w:rPr>
                    <w:t>是否为</w:t>
                  </w:r>
                </w:p>
                <w:p w14:paraId="2FF13C74">
                  <w:pPr>
                    <w:jc w:val="center"/>
                    <w:rPr>
                      <w:color w:val="auto"/>
                      <w:sz w:val="18"/>
                      <w:szCs w:val="18"/>
                    </w:rPr>
                  </w:pPr>
                  <w:r>
                    <w:rPr>
                      <w:color w:val="auto"/>
                      <w:sz w:val="18"/>
                      <w:szCs w:val="18"/>
                    </w:rPr>
                    <w:t>可行技术</w:t>
                  </w:r>
                </w:p>
              </w:tc>
              <w:tc>
                <w:tcPr>
                  <w:tcW w:w="371" w:type="pct"/>
                  <w:vMerge w:val="continue"/>
                  <w:tcBorders>
                    <w:tl2br w:val="nil"/>
                    <w:tr2bl w:val="nil"/>
                  </w:tcBorders>
                  <w:vAlign w:val="center"/>
                </w:tcPr>
                <w:p w14:paraId="54A8F5EC">
                  <w:pPr>
                    <w:jc w:val="center"/>
                    <w:rPr>
                      <w:color w:val="auto"/>
                      <w:sz w:val="18"/>
                      <w:szCs w:val="18"/>
                    </w:rPr>
                  </w:pPr>
                </w:p>
              </w:tc>
              <w:tc>
                <w:tcPr>
                  <w:tcW w:w="371" w:type="pct"/>
                  <w:vMerge w:val="continue"/>
                  <w:tcBorders>
                    <w:tl2br w:val="nil"/>
                    <w:tr2bl w:val="nil"/>
                  </w:tcBorders>
                  <w:vAlign w:val="center"/>
                </w:tcPr>
                <w:p w14:paraId="70EF3905">
                  <w:pPr>
                    <w:jc w:val="center"/>
                    <w:rPr>
                      <w:color w:val="auto"/>
                      <w:sz w:val="18"/>
                      <w:szCs w:val="18"/>
                    </w:rPr>
                  </w:pPr>
                </w:p>
              </w:tc>
              <w:tc>
                <w:tcPr>
                  <w:tcW w:w="450" w:type="pct"/>
                  <w:vMerge w:val="continue"/>
                  <w:tcBorders>
                    <w:tl2br w:val="nil"/>
                    <w:tr2bl w:val="nil"/>
                  </w:tcBorders>
                  <w:vAlign w:val="center"/>
                </w:tcPr>
                <w:p w14:paraId="246B704D">
                  <w:pPr>
                    <w:jc w:val="center"/>
                    <w:rPr>
                      <w:color w:val="auto"/>
                      <w:sz w:val="18"/>
                      <w:szCs w:val="18"/>
                    </w:rPr>
                  </w:pPr>
                </w:p>
              </w:tc>
              <w:tc>
                <w:tcPr>
                  <w:tcW w:w="450" w:type="pct"/>
                  <w:vMerge w:val="continue"/>
                  <w:tcBorders>
                    <w:tl2br w:val="nil"/>
                    <w:tr2bl w:val="nil"/>
                  </w:tcBorders>
                  <w:vAlign w:val="center"/>
                </w:tcPr>
                <w:p w14:paraId="48BFFAA3">
                  <w:pPr>
                    <w:jc w:val="center"/>
                    <w:rPr>
                      <w:color w:val="auto"/>
                      <w:sz w:val="18"/>
                      <w:szCs w:val="18"/>
                    </w:rPr>
                  </w:pPr>
                </w:p>
              </w:tc>
              <w:tc>
                <w:tcPr>
                  <w:tcW w:w="450" w:type="pct"/>
                  <w:vMerge w:val="continue"/>
                  <w:tcBorders>
                    <w:tl2br w:val="nil"/>
                    <w:tr2bl w:val="nil"/>
                  </w:tcBorders>
                  <w:vAlign w:val="center"/>
                </w:tcPr>
                <w:p w14:paraId="07FF0FB1">
                  <w:pPr>
                    <w:jc w:val="center"/>
                    <w:rPr>
                      <w:color w:val="auto"/>
                      <w:sz w:val="18"/>
                      <w:szCs w:val="18"/>
                    </w:rPr>
                  </w:pPr>
                </w:p>
              </w:tc>
            </w:tr>
            <w:tr w14:paraId="6914E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97" w:hRule="atLeast"/>
                <w:jc w:val="center"/>
              </w:trPr>
              <w:tc>
                <w:tcPr>
                  <w:tcW w:w="194" w:type="pct"/>
                  <w:tcBorders>
                    <w:tl2br w:val="nil"/>
                    <w:tr2bl w:val="nil"/>
                  </w:tcBorders>
                  <w:vAlign w:val="center"/>
                </w:tcPr>
                <w:p w14:paraId="11AEDA89">
                  <w:pPr>
                    <w:jc w:val="center"/>
                    <w:rPr>
                      <w:color w:val="auto"/>
                      <w:sz w:val="18"/>
                      <w:szCs w:val="18"/>
                    </w:rPr>
                  </w:pPr>
                  <w:r>
                    <w:rPr>
                      <w:rFonts w:hint="eastAsia"/>
                      <w:color w:val="auto"/>
                      <w:sz w:val="18"/>
                      <w:szCs w:val="18"/>
                    </w:rPr>
                    <w:t>1</w:t>
                  </w:r>
                </w:p>
              </w:tc>
              <w:tc>
                <w:tcPr>
                  <w:tcW w:w="370" w:type="pct"/>
                  <w:tcBorders>
                    <w:tl2br w:val="nil"/>
                    <w:tr2bl w:val="nil"/>
                  </w:tcBorders>
                  <w:vAlign w:val="center"/>
                </w:tcPr>
                <w:p w14:paraId="7C027F86">
                  <w:pPr>
                    <w:jc w:val="center"/>
                    <w:rPr>
                      <w:color w:val="auto"/>
                      <w:sz w:val="18"/>
                      <w:szCs w:val="18"/>
                    </w:rPr>
                  </w:pPr>
                  <w:r>
                    <w:rPr>
                      <w:color w:val="auto"/>
                      <w:sz w:val="18"/>
                      <w:szCs w:val="18"/>
                    </w:rPr>
                    <w:t>生活污水</w:t>
                  </w:r>
                </w:p>
              </w:tc>
              <w:tc>
                <w:tcPr>
                  <w:tcW w:w="384" w:type="pct"/>
                  <w:tcBorders>
                    <w:tl2br w:val="nil"/>
                    <w:tr2bl w:val="nil"/>
                  </w:tcBorders>
                  <w:vAlign w:val="center"/>
                </w:tcPr>
                <w:p w14:paraId="06E33C02">
                  <w:pPr>
                    <w:jc w:val="center"/>
                    <w:rPr>
                      <w:color w:val="auto"/>
                      <w:sz w:val="18"/>
                      <w:szCs w:val="18"/>
                    </w:rPr>
                  </w:pPr>
                  <w:r>
                    <w:rPr>
                      <w:color w:val="auto"/>
                      <w:sz w:val="18"/>
                      <w:szCs w:val="18"/>
                    </w:rPr>
                    <w:t>COD、</w:t>
                  </w:r>
                </w:p>
                <w:p w14:paraId="5681C3CF">
                  <w:pPr>
                    <w:jc w:val="center"/>
                    <w:rPr>
                      <w:color w:val="auto"/>
                      <w:sz w:val="18"/>
                      <w:szCs w:val="18"/>
                    </w:rPr>
                  </w:pPr>
                  <w:r>
                    <w:rPr>
                      <w:color w:val="auto"/>
                      <w:sz w:val="18"/>
                      <w:szCs w:val="18"/>
                    </w:rPr>
                    <w:t>氨氮等</w:t>
                  </w:r>
                </w:p>
              </w:tc>
              <w:tc>
                <w:tcPr>
                  <w:tcW w:w="536" w:type="pct"/>
                  <w:tcBorders>
                    <w:tl2br w:val="nil"/>
                    <w:tr2bl w:val="nil"/>
                  </w:tcBorders>
                  <w:vAlign w:val="center"/>
                </w:tcPr>
                <w:p w14:paraId="4B41C70C">
                  <w:pPr>
                    <w:jc w:val="center"/>
                    <w:rPr>
                      <w:color w:val="auto"/>
                      <w:sz w:val="18"/>
                      <w:szCs w:val="18"/>
                    </w:rPr>
                  </w:pPr>
                  <w:r>
                    <w:rPr>
                      <w:color w:val="auto"/>
                      <w:sz w:val="18"/>
                      <w:szCs w:val="18"/>
                    </w:rPr>
                    <w:t>生活污水处理设施</w:t>
                  </w:r>
                </w:p>
              </w:tc>
              <w:tc>
                <w:tcPr>
                  <w:tcW w:w="542" w:type="pct"/>
                  <w:tcBorders>
                    <w:tl2br w:val="nil"/>
                    <w:tr2bl w:val="nil"/>
                  </w:tcBorders>
                  <w:vAlign w:val="center"/>
                </w:tcPr>
                <w:p w14:paraId="357DF1F3">
                  <w:pPr>
                    <w:jc w:val="center"/>
                    <w:rPr>
                      <w:color w:val="auto"/>
                      <w:sz w:val="18"/>
                      <w:szCs w:val="18"/>
                    </w:rPr>
                  </w:pPr>
                  <w:r>
                    <w:rPr>
                      <w:color w:val="auto"/>
                      <w:sz w:val="18"/>
                      <w:szCs w:val="18"/>
                    </w:rPr>
                    <w:t>化粪池</w:t>
                  </w:r>
                </w:p>
              </w:tc>
              <w:tc>
                <w:tcPr>
                  <w:tcW w:w="486" w:type="pct"/>
                  <w:tcBorders>
                    <w:tl2br w:val="nil"/>
                    <w:tr2bl w:val="nil"/>
                  </w:tcBorders>
                  <w:vAlign w:val="center"/>
                </w:tcPr>
                <w:p w14:paraId="1396B7D4">
                  <w:pPr>
                    <w:jc w:val="center"/>
                    <w:rPr>
                      <w:color w:val="auto"/>
                      <w:sz w:val="18"/>
                      <w:szCs w:val="18"/>
                    </w:rPr>
                  </w:pPr>
                  <w:r>
                    <w:rPr>
                      <w:color w:val="auto"/>
                      <w:sz w:val="18"/>
                      <w:szCs w:val="18"/>
                    </w:rPr>
                    <w:t>/</w:t>
                  </w:r>
                </w:p>
              </w:tc>
              <w:tc>
                <w:tcPr>
                  <w:tcW w:w="389" w:type="pct"/>
                  <w:tcBorders>
                    <w:tl2br w:val="nil"/>
                    <w:tr2bl w:val="nil"/>
                  </w:tcBorders>
                  <w:vAlign w:val="center"/>
                </w:tcPr>
                <w:p w14:paraId="1816EBA0">
                  <w:pPr>
                    <w:jc w:val="center"/>
                    <w:rPr>
                      <w:color w:val="auto"/>
                      <w:sz w:val="18"/>
                      <w:szCs w:val="18"/>
                    </w:rPr>
                  </w:pPr>
                  <w:r>
                    <w:rPr>
                      <w:color w:val="auto"/>
                      <w:sz w:val="18"/>
                      <w:szCs w:val="18"/>
                    </w:rPr>
                    <w:t>是</w:t>
                  </w:r>
                </w:p>
              </w:tc>
              <w:tc>
                <w:tcPr>
                  <w:tcW w:w="371" w:type="pct"/>
                  <w:tcBorders>
                    <w:tl2br w:val="nil"/>
                    <w:tr2bl w:val="nil"/>
                  </w:tcBorders>
                  <w:vAlign w:val="center"/>
                </w:tcPr>
                <w:p w14:paraId="425A2806">
                  <w:pPr>
                    <w:jc w:val="center"/>
                    <w:rPr>
                      <w:color w:val="auto"/>
                      <w:sz w:val="18"/>
                      <w:szCs w:val="18"/>
                    </w:rPr>
                  </w:pPr>
                  <w:r>
                    <w:rPr>
                      <w:color w:val="auto"/>
                      <w:sz w:val="18"/>
                      <w:szCs w:val="18"/>
                    </w:rPr>
                    <w:t>城市污水处理厂</w:t>
                  </w:r>
                </w:p>
              </w:tc>
              <w:tc>
                <w:tcPr>
                  <w:tcW w:w="371" w:type="pct"/>
                  <w:tcBorders>
                    <w:tl2br w:val="nil"/>
                    <w:tr2bl w:val="nil"/>
                  </w:tcBorders>
                  <w:vAlign w:val="center"/>
                </w:tcPr>
                <w:p w14:paraId="17BE5249">
                  <w:pPr>
                    <w:jc w:val="center"/>
                    <w:rPr>
                      <w:color w:val="auto"/>
                      <w:sz w:val="18"/>
                      <w:szCs w:val="18"/>
                    </w:rPr>
                  </w:pPr>
                  <w:r>
                    <w:rPr>
                      <w:color w:val="auto"/>
                      <w:sz w:val="18"/>
                      <w:szCs w:val="18"/>
                    </w:rPr>
                    <w:t>间接排放</w:t>
                  </w:r>
                </w:p>
              </w:tc>
              <w:tc>
                <w:tcPr>
                  <w:tcW w:w="450" w:type="pct"/>
                  <w:tcBorders>
                    <w:tl2br w:val="nil"/>
                    <w:tr2bl w:val="nil"/>
                  </w:tcBorders>
                  <w:vAlign w:val="center"/>
                </w:tcPr>
                <w:p w14:paraId="7B6787C4">
                  <w:pPr>
                    <w:jc w:val="center"/>
                    <w:rPr>
                      <w:color w:val="auto"/>
                      <w:sz w:val="18"/>
                      <w:szCs w:val="18"/>
                    </w:rPr>
                  </w:pPr>
                  <w:r>
                    <w:rPr>
                      <w:color w:val="auto"/>
                      <w:sz w:val="18"/>
                      <w:szCs w:val="18"/>
                    </w:rPr>
                    <w:t>连续排放、</w:t>
                  </w:r>
                </w:p>
                <w:p w14:paraId="4DD074D2">
                  <w:pPr>
                    <w:jc w:val="center"/>
                    <w:rPr>
                      <w:color w:val="auto"/>
                      <w:sz w:val="18"/>
                      <w:szCs w:val="18"/>
                    </w:rPr>
                  </w:pPr>
                  <w:r>
                    <w:rPr>
                      <w:color w:val="auto"/>
                      <w:sz w:val="18"/>
                      <w:szCs w:val="18"/>
                    </w:rPr>
                    <w:t>流量稳定</w:t>
                  </w:r>
                </w:p>
              </w:tc>
              <w:tc>
                <w:tcPr>
                  <w:tcW w:w="450" w:type="pct"/>
                  <w:tcBorders>
                    <w:tl2br w:val="nil"/>
                    <w:tr2bl w:val="nil"/>
                  </w:tcBorders>
                  <w:vAlign w:val="center"/>
                </w:tcPr>
                <w:p w14:paraId="511E77A0">
                  <w:pPr>
                    <w:jc w:val="center"/>
                    <w:rPr>
                      <w:color w:val="auto"/>
                      <w:sz w:val="18"/>
                      <w:szCs w:val="18"/>
                    </w:rPr>
                  </w:pPr>
                  <w:r>
                    <w:rPr>
                      <w:color w:val="auto"/>
                      <w:sz w:val="18"/>
                      <w:szCs w:val="18"/>
                    </w:rPr>
                    <w:t>一般排放口</w:t>
                  </w:r>
                </w:p>
              </w:tc>
              <w:tc>
                <w:tcPr>
                  <w:tcW w:w="450" w:type="pct"/>
                  <w:tcBorders>
                    <w:tl2br w:val="nil"/>
                    <w:tr2bl w:val="nil"/>
                  </w:tcBorders>
                  <w:vAlign w:val="center"/>
                </w:tcPr>
                <w:p w14:paraId="18E01F14">
                  <w:pPr>
                    <w:jc w:val="center"/>
                    <w:rPr>
                      <w:color w:val="auto"/>
                      <w:sz w:val="18"/>
                      <w:szCs w:val="18"/>
                    </w:rPr>
                  </w:pPr>
                  <w:r>
                    <w:rPr>
                      <w:color w:val="auto"/>
                      <w:sz w:val="18"/>
                      <w:szCs w:val="18"/>
                    </w:rPr>
                    <w:t>DW001</w:t>
                  </w:r>
                </w:p>
              </w:tc>
            </w:tr>
          </w:tbl>
          <w:p w14:paraId="6338964C">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废水间接排放口基本情况表</w:t>
            </w:r>
          </w:p>
          <w:tbl>
            <w:tblPr>
              <w:tblStyle w:val="88"/>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6"/>
              <w:gridCol w:w="909"/>
              <w:gridCol w:w="1305"/>
              <w:gridCol w:w="1004"/>
              <w:gridCol w:w="727"/>
              <w:gridCol w:w="789"/>
              <w:gridCol w:w="717"/>
              <w:gridCol w:w="1003"/>
              <w:gridCol w:w="927"/>
              <w:gridCol w:w="1002"/>
            </w:tblGrid>
            <w:tr w14:paraId="46AFD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3" w:type="pct"/>
                  <w:vMerge w:val="restart"/>
                  <w:tcBorders>
                    <w:tl2br w:val="nil"/>
                    <w:tr2bl w:val="nil"/>
                  </w:tcBorders>
                  <w:vAlign w:val="center"/>
                </w:tcPr>
                <w:p w14:paraId="0CEADA06">
                  <w:pPr>
                    <w:jc w:val="center"/>
                    <w:rPr>
                      <w:color w:val="auto"/>
                      <w:szCs w:val="21"/>
                    </w:rPr>
                  </w:pPr>
                  <w:r>
                    <w:rPr>
                      <w:color w:val="auto"/>
                      <w:szCs w:val="21"/>
                    </w:rPr>
                    <w:t>序号</w:t>
                  </w:r>
                </w:p>
              </w:tc>
              <w:tc>
                <w:tcPr>
                  <w:tcW w:w="513" w:type="pct"/>
                  <w:vMerge w:val="restart"/>
                  <w:tcBorders>
                    <w:tl2br w:val="nil"/>
                    <w:tr2bl w:val="nil"/>
                  </w:tcBorders>
                  <w:vAlign w:val="center"/>
                </w:tcPr>
                <w:p w14:paraId="28BAC7B0">
                  <w:pPr>
                    <w:jc w:val="center"/>
                    <w:rPr>
                      <w:color w:val="auto"/>
                      <w:szCs w:val="21"/>
                    </w:rPr>
                  </w:pPr>
                  <w:r>
                    <w:rPr>
                      <w:color w:val="auto"/>
                      <w:szCs w:val="21"/>
                    </w:rPr>
                    <w:t>排放口</w:t>
                  </w:r>
                </w:p>
                <w:p w14:paraId="208B648F">
                  <w:pPr>
                    <w:jc w:val="center"/>
                    <w:rPr>
                      <w:color w:val="auto"/>
                      <w:szCs w:val="21"/>
                    </w:rPr>
                  </w:pPr>
                  <w:r>
                    <w:rPr>
                      <w:color w:val="auto"/>
                      <w:szCs w:val="21"/>
                    </w:rPr>
                    <w:t>编号</w:t>
                  </w:r>
                </w:p>
              </w:tc>
              <w:tc>
                <w:tcPr>
                  <w:tcW w:w="736" w:type="pct"/>
                  <w:vMerge w:val="restart"/>
                  <w:tcBorders>
                    <w:tl2br w:val="nil"/>
                    <w:tr2bl w:val="nil"/>
                  </w:tcBorders>
                  <w:vAlign w:val="center"/>
                </w:tcPr>
                <w:p w14:paraId="1E9D8F94">
                  <w:pPr>
                    <w:jc w:val="center"/>
                    <w:rPr>
                      <w:color w:val="auto"/>
                      <w:szCs w:val="21"/>
                    </w:rPr>
                  </w:pPr>
                  <w:r>
                    <w:rPr>
                      <w:color w:val="auto"/>
                      <w:szCs w:val="21"/>
                    </w:rPr>
                    <w:t>排放口地理坐标</w:t>
                  </w:r>
                </w:p>
              </w:tc>
              <w:tc>
                <w:tcPr>
                  <w:tcW w:w="567" w:type="pct"/>
                  <w:vMerge w:val="restart"/>
                  <w:tcBorders>
                    <w:tl2br w:val="nil"/>
                    <w:tr2bl w:val="nil"/>
                  </w:tcBorders>
                  <w:vAlign w:val="center"/>
                </w:tcPr>
                <w:p w14:paraId="1D99DB23">
                  <w:pPr>
                    <w:jc w:val="center"/>
                    <w:rPr>
                      <w:color w:val="auto"/>
                      <w:szCs w:val="21"/>
                    </w:rPr>
                  </w:pPr>
                  <w:r>
                    <w:rPr>
                      <w:color w:val="auto"/>
                      <w:szCs w:val="21"/>
                    </w:rPr>
                    <w:t>废水排放量</w:t>
                  </w:r>
                </w:p>
                <w:p w14:paraId="3278944C">
                  <w:pPr>
                    <w:jc w:val="center"/>
                    <w:rPr>
                      <w:color w:val="auto"/>
                      <w:szCs w:val="21"/>
                    </w:rPr>
                  </w:pPr>
                  <w:r>
                    <w:rPr>
                      <w:color w:val="auto"/>
                      <w:szCs w:val="21"/>
                    </w:rPr>
                    <w:t>（万t/a）</w:t>
                  </w:r>
                </w:p>
              </w:tc>
              <w:tc>
                <w:tcPr>
                  <w:tcW w:w="410" w:type="pct"/>
                  <w:vMerge w:val="restart"/>
                  <w:tcBorders>
                    <w:tl2br w:val="nil"/>
                    <w:tr2bl w:val="nil"/>
                  </w:tcBorders>
                  <w:vAlign w:val="center"/>
                </w:tcPr>
                <w:p w14:paraId="56DE057E">
                  <w:pPr>
                    <w:jc w:val="center"/>
                    <w:rPr>
                      <w:color w:val="auto"/>
                      <w:szCs w:val="21"/>
                    </w:rPr>
                  </w:pPr>
                  <w:r>
                    <w:rPr>
                      <w:color w:val="auto"/>
                      <w:szCs w:val="21"/>
                    </w:rPr>
                    <w:t>排放去向</w:t>
                  </w:r>
                </w:p>
              </w:tc>
              <w:tc>
                <w:tcPr>
                  <w:tcW w:w="445" w:type="pct"/>
                  <w:vMerge w:val="restart"/>
                  <w:tcBorders>
                    <w:tl2br w:val="nil"/>
                    <w:tr2bl w:val="nil"/>
                  </w:tcBorders>
                  <w:vAlign w:val="center"/>
                </w:tcPr>
                <w:p w14:paraId="1E85A378">
                  <w:pPr>
                    <w:jc w:val="center"/>
                    <w:rPr>
                      <w:color w:val="auto"/>
                      <w:szCs w:val="21"/>
                    </w:rPr>
                  </w:pPr>
                  <w:r>
                    <w:rPr>
                      <w:color w:val="auto"/>
                      <w:szCs w:val="21"/>
                    </w:rPr>
                    <w:t>排放规律</w:t>
                  </w:r>
                </w:p>
              </w:tc>
              <w:tc>
                <w:tcPr>
                  <w:tcW w:w="405" w:type="pct"/>
                  <w:vMerge w:val="restart"/>
                  <w:tcBorders>
                    <w:tl2br w:val="nil"/>
                    <w:tr2bl w:val="nil"/>
                  </w:tcBorders>
                  <w:vAlign w:val="center"/>
                </w:tcPr>
                <w:p w14:paraId="07DCED44">
                  <w:pPr>
                    <w:jc w:val="center"/>
                    <w:rPr>
                      <w:color w:val="auto"/>
                      <w:szCs w:val="21"/>
                    </w:rPr>
                  </w:pPr>
                  <w:r>
                    <w:rPr>
                      <w:color w:val="auto"/>
                      <w:szCs w:val="21"/>
                    </w:rPr>
                    <w:t>间歇排放</w:t>
                  </w:r>
                </w:p>
                <w:p w14:paraId="418705CC">
                  <w:pPr>
                    <w:jc w:val="center"/>
                    <w:rPr>
                      <w:color w:val="auto"/>
                      <w:szCs w:val="21"/>
                    </w:rPr>
                  </w:pPr>
                  <w:r>
                    <w:rPr>
                      <w:color w:val="auto"/>
                      <w:szCs w:val="21"/>
                    </w:rPr>
                    <w:t>时段</w:t>
                  </w:r>
                </w:p>
              </w:tc>
              <w:tc>
                <w:tcPr>
                  <w:tcW w:w="1657" w:type="pct"/>
                  <w:gridSpan w:val="3"/>
                  <w:tcBorders>
                    <w:tl2br w:val="nil"/>
                    <w:tr2bl w:val="nil"/>
                  </w:tcBorders>
                  <w:vAlign w:val="center"/>
                </w:tcPr>
                <w:p w14:paraId="73F63082">
                  <w:pPr>
                    <w:jc w:val="center"/>
                    <w:rPr>
                      <w:color w:val="auto"/>
                      <w:szCs w:val="21"/>
                    </w:rPr>
                  </w:pPr>
                  <w:r>
                    <w:rPr>
                      <w:color w:val="auto"/>
                      <w:szCs w:val="21"/>
                    </w:rPr>
                    <w:t>受纳污水处理厂信息</w:t>
                  </w:r>
                </w:p>
              </w:tc>
            </w:tr>
            <w:tr w14:paraId="06CF4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vAlign w:val="center"/>
                </w:tcPr>
                <w:p w14:paraId="63CE24D1">
                  <w:pPr>
                    <w:jc w:val="center"/>
                    <w:rPr>
                      <w:color w:val="auto"/>
                      <w:szCs w:val="21"/>
                    </w:rPr>
                  </w:pPr>
                </w:p>
              </w:tc>
              <w:tc>
                <w:tcPr>
                  <w:tcW w:w="513" w:type="pct"/>
                  <w:vMerge w:val="continue"/>
                  <w:tcBorders>
                    <w:tl2br w:val="nil"/>
                    <w:tr2bl w:val="nil"/>
                  </w:tcBorders>
                  <w:vAlign w:val="center"/>
                </w:tcPr>
                <w:p w14:paraId="766742AF">
                  <w:pPr>
                    <w:jc w:val="center"/>
                    <w:rPr>
                      <w:color w:val="auto"/>
                      <w:szCs w:val="21"/>
                    </w:rPr>
                  </w:pPr>
                </w:p>
              </w:tc>
              <w:tc>
                <w:tcPr>
                  <w:tcW w:w="736" w:type="pct"/>
                  <w:vMerge w:val="continue"/>
                  <w:tcBorders>
                    <w:tl2br w:val="nil"/>
                    <w:tr2bl w:val="nil"/>
                  </w:tcBorders>
                  <w:vAlign w:val="center"/>
                </w:tcPr>
                <w:p w14:paraId="72762ED4">
                  <w:pPr>
                    <w:jc w:val="center"/>
                    <w:rPr>
                      <w:color w:val="auto"/>
                      <w:szCs w:val="21"/>
                    </w:rPr>
                  </w:pPr>
                </w:p>
              </w:tc>
              <w:tc>
                <w:tcPr>
                  <w:tcW w:w="567" w:type="pct"/>
                  <w:vMerge w:val="continue"/>
                  <w:tcBorders>
                    <w:tl2br w:val="nil"/>
                    <w:tr2bl w:val="nil"/>
                  </w:tcBorders>
                  <w:vAlign w:val="center"/>
                </w:tcPr>
                <w:p w14:paraId="3AEF7393">
                  <w:pPr>
                    <w:jc w:val="center"/>
                    <w:rPr>
                      <w:color w:val="auto"/>
                      <w:szCs w:val="21"/>
                    </w:rPr>
                  </w:pPr>
                </w:p>
              </w:tc>
              <w:tc>
                <w:tcPr>
                  <w:tcW w:w="410" w:type="pct"/>
                  <w:vMerge w:val="continue"/>
                  <w:tcBorders>
                    <w:tl2br w:val="nil"/>
                    <w:tr2bl w:val="nil"/>
                  </w:tcBorders>
                  <w:vAlign w:val="center"/>
                </w:tcPr>
                <w:p w14:paraId="0F31B249">
                  <w:pPr>
                    <w:jc w:val="center"/>
                    <w:rPr>
                      <w:color w:val="auto"/>
                      <w:szCs w:val="21"/>
                    </w:rPr>
                  </w:pPr>
                </w:p>
              </w:tc>
              <w:tc>
                <w:tcPr>
                  <w:tcW w:w="445" w:type="pct"/>
                  <w:vMerge w:val="continue"/>
                  <w:tcBorders>
                    <w:tl2br w:val="nil"/>
                    <w:tr2bl w:val="nil"/>
                  </w:tcBorders>
                  <w:vAlign w:val="center"/>
                </w:tcPr>
                <w:p w14:paraId="009152DF">
                  <w:pPr>
                    <w:jc w:val="center"/>
                    <w:rPr>
                      <w:color w:val="auto"/>
                      <w:szCs w:val="21"/>
                    </w:rPr>
                  </w:pPr>
                </w:p>
              </w:tc>
              <w:tc>
                <w:tcPr>
                  <w:tcW w:w="405" w:type="pct"/>
                  <w:vMerge w:val="continue"/>
                  <w:tcBorders>
                    <w:tl2br w:val="nil"/>
                    <w:tr2bl w:val="nil"/>
                  </w:tcBorders>
                  <w:vAlign w:val="center"/>
                </w:tcPr>
                <w:p w14:paraId="6224D8E7">
                  <w:pPr>
                    <w:jc w:val="center"/>
                    <w:rPr>
                      <w:color w:val="auto"/>
                      <w:szCs w:val="21"/>
                    </w:rPr>
                  </w:pPr>
                </w:p>
              </w:tc>
              <w:tc>
                <w:tcPr>
                  <w:tcW w:w="567" w:type="pct"/>
                  <w:tcBorders>
                    <w:tl2br w:val="nil"/>
                    <w:tr2bl w:val="nil"/>
                  </w:tcBorders>
                  <w:vAlign w:val="center"/>
                </w:tcPr>
                <w:p w14:paraId="3AA1EFFC">
                  <w:pPr>
                    <w:jc w:val="center"/>
                    <w:rPr>
                      <w:color w:val="auto"/>
                      <w:szCs w:val="21"/>
                    </w:rPr>
                  </w:pPr>
                  <w:r>
                    <w:rPr>
                      <w:color w:val="auto"/>
                      <w:szCs w:val="21"/>
                    </w:rPr>
                    <w:t>名称</w:t>
                  </w:r>
                </w:p>
              </w:tc>
              <w:tc>
                <w:tcPr>
                  <w:tcW w:w="524" w:type="pct"/>
                  <w:tcBorders>
                    <w:tl2br w:val="nil"/>
                    <w:tr2bl w:val="nil"/>
                  </w:tcBorders>
                  <w:vAlign w:val="center"/>
                </w:tcPr>
                <w:p w14:paraId="71806239">
                  <w:pPr>
                    <w:jc w:val="center"/>
                    <w:rPr>
                      <w:color w:val="auto"/>
                      <w:szCs w:val="21"/>
                    </w:rPr>
                  </w:pPr>
                  <w:r>
                    <w:rPr>
                      <w:color w:val="auto"/>
                      <w:szCs w:val="21"/>
                    </w:rPr>
                    <w:t>污染物</w:t>
                  </w:r>
                </w:p>
                <w:p w14:paraId="65451014">
                  <w:pPr>
                    <w:jc w:val="center"/>
                    <w:rPr>
                      <w:color w:val="auto"/>
                      <w:szCs w:val="21"/>
                    </w:rPr>
                  </w:pPr>
                  <w:r>
                    <w:rPr>
                      <w:color w:val="auto"/>
                      <w:szCs w:val="21"/>
                    </w:rPr>
                    <w:t>种类</w:t>
                  </w:r>
                </w:p>
              </w:tc>
              <w:tc>
                <w:tcPr>
                  <w:tcW w:w="565" w:type="pct"/>
                  <w:tcBorders>
                    <w:tl2br w:val="nil"/>
                    <w:tr2bl w:val="nil"/>
                  </w:tcBorders>
                  <w:vAlign w:val="center"/>
                </w:tcPr>
                <w:p w14:paraId="2586B459">
                  <w:pPr>
                    <w:jc w:val="center"/>
                    <w:rPr>
                      <w:color w:val="auto"/>
                      <w:szCs w:val="21"/>
                    </w:rPr>
                  </w:pPr>
                  <w:r>
                    <w:rPr>
                      <w:color w:val="auto"/>
                      <w:szCs w:val="21"/>
                    </w:rPr>
                    <w:t>排放限值</w:t>
                  </w:r>
                </w:p>
                <w:p w14:paraId="3BC16F15">
                  <w:pPr>
                    <w:jc w:val="center"/>
                    <w:rPr>
                      <w:color w:val="auto"/>
                      <w:szCs w:val="21"/>
                    </w:rPr>
                  </w:pPr>
                  <w:r>
                    <w:rPr>
                      <w:color w:val="auto"/>
                      <w:szCs w:val="21"/>
                    </w:rPr>
                    <w:t>（mg/L）</w:t>
                  </w:r>
                </w:p>
              </w:tc>
            </w:tr>
            <w:tr w14:paraId="71B81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3" w:type="pct"/>
                  <w:vMerge w:val="restart"/>
                  <w:tcBorders>
                    <w:tl2br w:val="nil"/>
                    <w:tr2bl w:val="nil"/>
                  </w:tcBorders>
                  <w:vAlign w:val="center"/>
                </w:tcPr>
                <w:p w14:paraId="59E39F8B">
                  <w:pPr>
                    <w:jc w:val="center"/>
                    <w:rPr>
                      <w:color w:val="auto"/>
                      <w:szCs w:val="21"/>
                    </w:rPr>
                  </w:pPr>
                  <w:r>
                    <w:rPr>
                      <w:color w:val="auto"/>
                      <w:szCs w:val="21"/>
                    </w:rPr>
                    <w:t>1</w:t>
                  </w:r>
                </w:p>
              </w:tc>
              <w:tc>
                <w:tcPr>
                  <w:tcW w:w="513" w:type="pct"/>
                  <w:vMerge w:val="restart"/>
                  <w:tcBorders>
                    <w:tl2br w:val="nil"/>
                    <w:tr2bl w:val="nil"/>
                  </w:tcBorders>
                  <w:vAlign w:val="center"/>
                </w:tcPr>
                <w:p w14:paraId="0C6C6C18">
                  <w:pPr>
                    <w:jc w:val="center"/>
                    <w:rPr>
                      <w:color w:val="auto"/>
                      <w:szCs w:val="21"/>
                    </w:rPr>
                  </w:pPr>
                  <w:r>
                    <w:rPr>
                      <w:color w:val="auto"/>
                      <w:szCs w:val="21"/>
                    </w:rPr>
                    <w:t>DW001</w:t>
                  </w:r>
                </w:p>
              </w:tc>
              <w:tc>
                <w:tcPr>
                  <w:tcW w:w="736" w:type="pct"/>
                  <w:vMerge w:val="restart"/>
                  <w:tcBorders>
                    <w:tl2br w:val="nil"/>
                    <w:tr2bl w:val="nil"/>
                  </w:tcBorders>
                  <w:vAlign w:val="center"/>
                </w:tcPr>
                <w:p w14:paraId="367B8AF8">
                  <w:pPr>
                    <w:jc w:val="center"/>
                    <w:rPr>
                      <w:color w:val="auto"/>
                      <w:szCs w:val="21"/>
                    </w:rPr>
                  </w:pPr>
                  <w:r>
                    <w:rPr>
                      <w:color w:val="auto"/>
                      <w:szCs w:val="21"/>
                    </w:rPr>
                    <w:t>120.</w:t>
                  </w:r>
                  <w:r>
                    <w:rPr>
                      <w:rFonts w:hint="eastAsia"/>
                      <w:color w:val="auto"/>
                      <w:szCs w:val="21"/>
                    </w:rPr>
                    <w:t>243732</w:t>
                  </w:r>
                </w:p>
                <w:p w14:paraId="3C8F130D">
                  <w:pPr>
                    <w:jc w:val="center"/>
                    <w:rPr>
                      <w:color w:val="auto"/>
                      <w:szCs w:val="21"/>
                    </w:rPr>
                  </w:pPr>
                  <w:r>
                    <w:rPr>
                      <w:color w:val="auto"/>
                      <w:szCs w:val="21"/>
                    </w:rPr>
                    <w:t>30.</w:t>
                  </w:r>
                  <w:r>
                    <w:rPr>
                      <w:rFonts w:hint="eastAsia"/>
                      <w:color w:val="auto"/>
                      <w:szCs w:val="21"/>
                    </w:rPr>
                    <w:t>464466</w:t>
                  </w:r>
                </w:p>
              </w:tc>
              <w:tc>
                <w:tcPr>
                  <w:tcW w:w="567" w:type="pct"/>
                  <w:vMerge w:val="restart"/>
                  <w:tcBorders>
                    <w:tl2br w:val="nil"/>
                    <w:tr2bl w:val="nil"/>
                  </w:tcBorders>
                  <w:vAlign w:val="center"/>
                </w:tcPr>
                <w:p w14:paraId="57DAB416">
                  <w:pPr>
                    <w:jc w:val="center"/>
                    <w:rPr>
                      <w:color w:val="auto"/>
                      <w:szCs w:val="21"/>
                    </w:rPr>
                  </w:pPr>
                  <w:r>
                    <w:rPr>
                      <w:color w:val="auto"/>
                      <w:szCs w:val="21"/>
                    </w:rPr>
                    <w:t>0.</w:t>
                  </w:r>
                  <w:r>
                    <w:rPr>
                      <w:rFonts w:hint="eastAsia"/>
                      <w:color w:val="auto"/>
                      <w:szCs w:val="21"/>
                    </w:rPr>
                    <w:t>0768</w:t>
                  </w:r>
                </w:p>
              </w:tc>
              <w:tc>
                <w:tcPr>
                  <w:tcW w:w="410" w:type="pct"/>
                  <w:vMerge w:val="restart"/>
                  <w:tcBorders>
                    <w:tl2br w:val="nil"/>
                    <w:tr2bl w:val="nil"/>
                  </w:tcBorders>
                  <w:vAlign w:val="center"/>
                </w:tcPr>
                <w:p w14:paraId="7C3B8C13">
                  <w:pPr>
                    <w:jc w:val="center"/>
                    <w:rPr>
                      <w:color w:val="auto"/>
                      <w:szCs w:val="21"/>
                    </w:rPr>
                  </w:pPr>
                  <w:r>
                    <w:rPr>
                      <w:color w:val="auto"/>
                      <w:szCs w:val="21"/>
                    </w:rPr>
                    <w:t>城市污水处理厂</w:t>
                  </w:r>
                </w:p>
              </w:tc>
              <w:tc>
                <w:tcPr>
                  <w:tcW w:w="445" w:type="pct"/>
                  <w:vMerge w:val="restart"/>
                  <w:tcBorders>
                    <w:tl2br w:val="nil"/>
                    <w:tr2bl w:val="nil"/>
                  </w:tcBorders>
                  <w:vAlign w:val="center"/>
                </w:tcPr>
                <w:p w14:paraId="1379BE2D">
                  <w:pPr>
                    <w:jc w:val="center"/>
                    <w:rPr>
                      <w:color w:val="auto"/>
                      <w:szCs w:val="21"/>
                    </w:rPr>
                  </w:pPr>
                  <w:r>
                    <w:rPr>
                      <w:color w:val="auto"/>
                      <w:szCs w:val="21"/>
                    </w:rPr>
                    <w:t>连续排放，流量稳定</w:t>
                  </w:r>
                </w:p>
              </w:tc>
              <w:tc>
                <w:tcPr>
                  <w:tcW w:w="405" w:type="pct"/>
                  <w:vMerge w:val="restart"/>
                  <w:tcBorders>
                    <w:tl2br w:val="nil"/>
                    <w:tr2bl w:val="nil"/>
                  </w:tcBorders>
                  <w:vAlign w:val="center"/>
                </w:tcPr>
                <w:p w14:paraId="40816ED5">
                  <w:pPr>
                    <w:jc w:val="center"/>
                    <w:rPr>
                      <w:color w:val="auto"/>
                      <w:szCs w:val="21"/>
                    </w:rPr>
                  </w:pPr>
                  <w:r>
                    <w:rPr>
                      <w:color w:val="auto"/>
                      <w:szCs w:val="21"/>
                    </w:rPr>
                    <w:t>昼间</w:t>
                  </w:r>
                  <w:r>
                    <w:rPr>
                      <w:rFonts w:hint="eastAsia"/>
                      <w:color w:val="auto"/>
                      <w:szCs w:val="21"/>
                    </w:rPr>
                    <w:t>、夜间</w:t>
                  </w:r>
                </w:p>
              </w:tc>
              <w:tc>
                <w:tcPr>
                  <w:tcW w:w="567" w:type="pct"/>
                  <w:vMerge w:val="restart"/>
                  <w:tcBorders>
                    <w:tl2br w:val="nil"/>
                    <w:tr2bl w:val="nil"/>
                  </w:tcBorders>
                  <w:vAlign w:val="center"/>
                </w:tcPr>
                <w:p w14:paraId="4085BAD8">
                  <w:pPr>
                    <w:jc w:val="center"/>
                    <w:rPr>
                      <w:color w:val="auto"/>
                      <w:szCs w:val="21"/>
                    </w:rPr>
                  </w:pPr>
                  <w:r>
                    <w:rPr>
                      <w:rFonts w:hint="eastAsia"/>
                      <w:color w:val="auto"/>
                      <w:szCs w:val="21"/>
                    </w:rPr>
                    <w:t>湖州光正水质净化有限公司</w:t>
                  </w:r>
                </w:p>
              </w:tc>
              <w:tc>
                <w:tcPr>
                  <w:tcW w:w="524" w:type="pct"/>
                  <w:tcBorders>
                    <w:tl2br w:val="nil"/>
                    <w:tr2bl w:val="nil"/>
                  </w:tcBorders>
                  <w:vAlign w:val="center"/>
                </w:tcPr>
                <w:p w14:paraId="655DC5A9">
                  <w:pPr>
                    <w:jc w:val="center"/>
                    <w:rPr>
                      <w:color w:val="auto"/>
                      <w:szCs w:val="21"/>
                    </w:rPr>
                  </w:pPr>
                  <w:r>
                    <w:rPr>
                      <w:color w:val="auto"/>
                      <w:szCs w:val="21"/>
                    </w:rPr>
                    <w:t>COD</w:t>
                  </w:r>
                  <w:r>
                    <w:rPr>
                      <w:rFonts w:hint="eastAsia"/>
                      <w:color w:val="auto"/>
                      <w:szCs w:val="21"/>
                      <w:vertAlign w:val="subscript"/>
                    </w:rPr>
                    <w:t>C</w:t>
                  </w:r>
                  <w:r>
                    <w:rPr>
                      <w:color w:val="auto"/>
                      <w:szCs w:val="21"/>
                      <w:vertAlign w:val="subscript"/>
                    </w:rPr>
                    <w:t>r</w:t>
                  </w:r>
                </w:p>
              </w:tc>
              <w:tc>
                <w:tcPr>
                  <w:tcW w:w="565" w:type="pct"/>
                  <w:tcBorders>
                    <w:tl2br w:val="nil"/>
                    <w:tr2bl w:val="nil"/>
                  </w:tcBorders>
                  <w:vAlign w:val="center"/>
                </w:tcPr>
                <w:p w14:paraId="5974D263">
                  <w:pPr>
                    <w:jc w:val="center"/>
                    <w:rPr>
                      <w:color w:val="auto"/>
                      <w:szCs w:val="21"/>
                    </w:rPr>
                  </w:pPr>
                  <w:r>
                    <w:rPr>
                      <w:color w:val="auto"/>
                      <w:szCs w:val="21"/>
                    </w:rPr>
                    <w:t>40</w:t>
                  </w:r>
                </w:p>
              </w:tc>
            </w:tr>
            <w:tr w14:paraId="134B6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3" w:type="pct"/>
                  <w:vMerge w:val="continue"/>
                  <w:tcBorders>
                    <w:tl2br w:val="nil"/>
                    <w:tr2bl w:val="nil"/>
                  </w:tcBorders>
                  <w:vAlign w:val="center"/>
                </w:tcPr>
                <w:p w14:paraId="3DB17A92">
                  <w:pPr>
                    <w:jc w:val="center"/>
                    <w:rPr>
                      <w:color w:val="auto"/>
                      <w:szCs w:val="21"/>
                    </w:rPr>
                  </w:pPr>
                </w:p>
              </w:tc>
              <w:tc>
                <w:tcPr>
                  <w:tcW w:w="513" w:type="pct"/>
                  <w:vMerge w:val="continue"/>
                  <w:tcBorders>
                    <w:tl2br w:val="nil"/>
                    <w:tr2bl w:val="nil"/>
                  </w:tcBorders>
                  <w:vAlign w:val="center"/>
                </w:tcPr>
                <w:p w14:paraId="5CB81977">
                  <w:pPr>
                    <w:jc w:val="center"/>
                    <w:rPr>
                      <w:color w:val="auto"/>
                      <w:szCs w:val="21"/>
                    </w:rPr>
                  </w:pPr>
                </w:p>
              </w:tc>
              <w:tc>
                <w:tcPr>
                  <w:tcW w:w="736" w:type="pct"/>
                  <w:vMerge w:val="continue"/>
                  <w:tcBorders>
                    <w:tl2br w:val="nil"/>
                    <w:tr2bl w:val="nil"/>
                  </w:tcBorders>
                  <w:vAlign w:val="center"/>
                </w:tcPr>
                <w:p w14:paraId="1DB5CFB0">
                  <w:pPr>
                    <w:jc w:val="center"/>
                    <w:rPr>
                      <w:color w:val="auto"/>
                      <w:szCs w:val="21"/>
                    </w:rPr>
                  </w:pPr>
                </w:p>
              </w:tc>
              <w:tc>
                <w:tcPr>
                  <w:tcW w:w="567" w:type="pct"/>
                  <w:vMerge w:val="continue"/>
                  <w:tcBorders>
                    <w:tl2br w:val="nil"/>
                    <w:tr2bl w:val="nil"/>
                  </w:tcBorders>
                  <w:vAlign w:val="center"/>
                </w:tcPr>
                <w:p w14:paraId="62ED442A">
                  <w:pPr>
                    <w:jc w:val="center"/>
                    <w:rPr>
                      <w:color w:val="auto"/>
                      <w:szCs w:val="21"/>
                    </w:rPr>
                  </w:pPr>
                </w:p>
              </w:tc>
              <w:tc>
                <w:tcPr>
                  <w:tcW w:w="410" w:type="pct"/>
                  <w:vMerge w:val="continue"/>
                  <w:tcBorders>
                    <w:tl2br w:val="nil"/>
                    <w:tr2bl w:val="nil"/>
                  </w:tcBorders>
                  <w:vAlign w:val="center"/>
                </w:tcPr>
                <w:p w14:paraId="435CE60F">
                  <w:pPr>
                    <w:jc w:val="center"/>
                    <w:rPr>
                      <w:color w:val="auto"/>
                      <w:szCs w:val="21"/>
                    </w:rPr>
                  </w:pPr>
                </w:p>
              </w:tc>
              <w:tc>
                <w:tcPr>
                  <w:tcW w:w="445" w:type="pct"/>
                  <w:vMerge w:val="continue"/>
                  <w:tcBorders>
                    <w:tl2br w:val="nil"/>
                    <w:tr2bl w:val="nil"/>
                  </w:tcBorders>
                  <w:vAlign w:val="center"/>
                </w:tcPr>
                <w:p w14:paraId="5DF2AF61">
                  <w:pPr>
                    <w:jc w:val="center"/>
                    <w:rPr>
                      <w:color w:val="auto"/>
                      <w:szCs w:val="21"/>
                    </w:rPr>
                  </w:pPr>
                </w:p>
              </w:tc>
              <w:tc>
                <w:tcPr>
                  <w:tcW w:w="405" w:type="pct"/>
                  <w:vMerge w:val="continue"/>
                  <w:tcBorders>
                    <w:tl2br w:val="nil"/>
                    <w:tr2bl w:val="nil"/>
                  </w:tcBorders>
                  <w:vAlign w:val="center"/>
                </w:tcPr>
                <w:p w14:paraId="423F0596">
                  <w:pPr>
                    <w:jc w:val="center"/>
                    <w:rPr>
                      <w:color w:val="auto"/>
                      <w:szCs w:val="21"/>
                    </w:rPr>
                  </w:pPr>
                </w:p>
              </w:tc>
              <w:tc>
                <w:tcPr>
                  <w:tcW w:w="567" w:type="pct"/>
                  <w:vMerge w:val="continue"/>
                  <w:tcBorders>
                    <w:tl2br w:val="nil"/>
                    <w:tr2bl w:val="nil"/>
                  </w:tcBorders>
                  <w:vAlign w:val="center"/>
                </w:tcPr>
                <w:p w14:paraId="06C6342C">
                  <w:pPr>
                    <w:jc w:val="center"/>
                    <w:rPr>
                      <w:color w:val="auto"/>
                      <w:szCs w:val="21"/>
                    </w:rPr>
                  </w:pPr>
                </w:p>
              </w:tc>
              <w:tc>
                <w:tcPr>
                  <w:tcW w:w="524" w:type="pct"/>
                  <w:tcBorders>
                    <w:tl2br w:val="nil"/>
                    <w:tr2bl w:val="nil"/>
                  </w:tcBorders>
                  <w:vAlign w:val="center"/>
                </w:tcPr>
                <w:p w14:paraId="7CCC25F1">
                  <w:pPr>
                    <w:jc w:val="center"/>
                    <w:rPr>
                      <w:color w:val="auto"/>
                      <w:szCs w:val="21"/>
                    </w:rPr>
                  </w:pPr>
                  <w:r>
                    <w:rPr>
                      <w:color w:val="auto"/>
                      <w:szCs w:val="21"/>
                    </w:rPr>
                    <w:t>氨氮</w:t>
                  </w:r>
                </w:p>
              </w:tc>
              <w:tc>
                <w:tcPr>
                  <w:tcW w:w="565" w:type="pct"/>
                  <w:tcBorders>
                    <w:tl2br w:val="nil"/>
                    <w:tr2bl w:val="nil"/>
                  </w:tcBorders>
                  <w:vAlign w:val="center"/>
                </w:tcPr>
                <w:p w14:paraId="3ED883F7">
                  <w:pPr>
                    <w:jc w:val="center"/>
                    <w:rPr>
                      <w:color w:val="auto"/>
                      <w:szCs w:val="21"/>
                    </w:rPr>
                  </w:pPr>
                  <w:r>
                    <w:rPr>
                      <w:color w:val="auto"/>
                      <w:szCs w:val="21"/>
                    </w:rPr>
                    <w:t>2</w:t>
                  </w:r>
                  <w:r>
                    <w:rPr>
                      <w:rFonts w:hint="eastAsia"/>
                      <w:color w:val="auto"/>
                      <w:szCs w:val="21"/>
                    </w:rPr>
                    <w:t>（</w:t>
                  </w:r>
                  <w:r>
                    <w:rPr>
                      <w:color w:val="auto"/>
                      <w:szCs w:val="21"/>
                    </w:rPr>
                    <w:t>4</w:t>
                  </w:r>
                  <w:r>
                    <w:rPr>
                      <w:rFonts w:hint="eastAsia"/>
                      <w:color w:val="auto"/>
                      <w:szCs w:val="21"/>
                    </w:rPr>
                    <w:t>）</w:t>
                  </w:r>
                </w:p>
              </w:tc>
            </w:tr>
          </w:tbl>
          <w:p w14:paraId="3188F322">
            <w:pPr>
              <w:spacing w:line="360" w:lineRule="auto"/>
              <w:ind w:firstLine="482" w:firstLineChars="200"/>
              <w:rPr>
                <w:color w:val="auto"/>
                <w:sz w:val="24"/>
              </w:rPr>
            </w:pPr>
            <w:r>
              <w:rPr>
                <w:rFonts w:hint="eastAsia"/>
                <w:b/>
                <w:bCs/>
                <w:color w:val="auto"/>
                <w:sz w:val="24"/>
                <w:lang w:val="en-US" w:eastAsia="zh-CN"/>
              </w:rPr>
              <w:t>排放口规范化建设：</w:t>
            </w:r>
            <w:r>
              <w:rPr>
                <w:rFonts w:hint="eastAsia"/>
                <w:b w:val="0"/>
                <w:bCs w:val="0"/>
                <w:color w:val="auto"/>
                <w:sz w:val="24"/>
                <w:lang w:val="en-US" w:eastAsia="zh-CN"/>
              </w:rPr>
              <w:t>本项目生活污水排放口应按照《排污单位污染物排放口监测点位设置技术规范》（HJ 1405-2024）要求进行规范化建设：管道式排放口的监测断面应设置在规则管段，上游直管段长度一般不小于5倍管道直径，下游直管段长度一般不小于2倍管道直径；明渠排放口的形状和尺寸应符合相关技术规范，确保薄壁堰、槽式流量计安装时上游直渠段长度足够、无涡流扰动；手工采样点与自动监测采样点原则上保持一致，便于取混合样；排放口醒目位置设置信息标志牌，内容包括排污单位名称、排污许可证编号、点位编号、监测项目、排放规律等；关键点位应安装视频监控，实现监测活动全程可视、可追溯；排放口信息须与排污许可证一致，并建立“一企一档”，保存记录至少5年。排放口建设应与主体工程同时设计、同时施工、同时投入使用。</w:t>
            </w:r>
          </w:p>
          <w:p w14:paraId="085B1A11">
            <w:pPr>
              <w:spacing w:line="360" w:lineRule="auto"/>
              <w:ind w:firstLine="480" w:firstLineChars="200"/>
              <w:rPr>
                <w:color w:val="auto"/>
                <w:sz w:val="24"/>
              </w:rPr>
            </w:pPr>
            <w:r>
              <w:rPr>
                <w:color w:val="auto"/>
                <w:sz w:val="24"/>
              </w:rPr>
              <w:t>3、</w:t>
            </w:r>
            <w:r>
              <w:rPr>
                <w:rFonts w:hint="eastAsia"/>
                <w:color w:val="auto"/>
                <w:sz w:val="24"/>
              </w:rPr>
              <w:t>废水处理措施及排放可行性分析</w:t>
            </w:r>
          </w:p>
          <w:p w14:paraId="2A03AC55">
            <w:pPr>
              <w:spacing w:line="360" w:lineRule="auto"/>
              <w:ind w:firstLine="480" w:firstLineChars="200"/>
              <w:rPr>
                <w:color w:val="auto"/>
                <w:sz w:val="24"/>
              </w:rPr>
            </w:pPr>
            <w:r>
              <w:rPr>
                <w:rFonts w:hint="eastAsia"/>
                <w:color w:val="auto"/>
                <w:sz w:val="24"/>
              </w:rPr>
              <w:t>项目生活污水经预处理达标后纳入湖州光正水质净化有限公司进行集中处理，为间接排放，本评价主要进行生活污水依托区域污水处理厂可行性等方面进行分析。</w:t>
            </w:r>
          </w:p>
          <w:p w14:paraId="69F70E85">
            <w:pPr>
              <w:spacing w:line="360" w:lineRule="auto"/>
              <w:ind w:firstLine="480" w:firstLineChars="200"/>
              <w:rPr>
                <w:color w:val="auto"/>
                <w:sz w:val="24"/>
              </w:rPr>
            </w:pPr>
            <w:r>
              <w:rPr>
                <w:rFonts w:hint="eastAsia"/>
                <w:color w:val="auto"/>
                <w:sz w:val="24"/>
              </w:rPr>
              <w:t>（1）生活污水达标纳管排放的可行性分析</w:t>
            </w:r>
          </w:p>
          <w:p w14:paraId="45F4F5C2">
            <w:pPr>
              <w:spacing w:line="360" w:lineRule="auto"/>
              <w:ind w:firstLine="480" w:firstLineChars="200"/>
              <w:rPr>
                <w:color w:val="auto"/>
                <w:sz w:val="24"/>
              </w:rPr>
            </w:pPr>
            <w:r>
              <w:rPr>
                <w:rFonts w:hint="eastAsia"/>
                <w:color w:val="auto"/>
                <w:sz w:val="24"/>
              </w:rPr>
              <w:t>项目生活污水拟经过园区化粪池预处理后能够满足《污水综合排放标准》（GB8978-1996）的三级标准的要求，纳管进入污水处理厂集中处理，不会进入周边河道，故不会对项目附近河道水质带来不利影响，因此项目生活污水纳管处理措施可行。</w:t>
            </w:r>
          </w:p>
          <w:p w14:paraId="6184ED77">
            <w:pPr>
              <w:spacing w:line="360" w:lineRule="auto"/>
              <w:ind w:firstLine="480" w:firstLineChars="200"/>
              <w:rPr>
                <w:color w:val="auto"/>
                <w:sz w:val="24"/>
              </w:rPr>
            </w:pPr>
            <w:r>
              <w:rPr>
                <w:rFonts w:hint="eastAsia"/>
                <w:color w:val="auto"/>
                <w:sz w:val="24"/>
              </w:rPr>
              <w:t>（2）依托污水处理厂集中处理的可行性分析</w:t>
            </w:r>
          </w:p>
          <w:p w14:paraId="4396CDD7">
            <w:pPr>
              <w:spacing w:line="360" w:lineRule="auto"/>
              <w:ind w:firstLine="480" w:firstLineChars="200"/>
              <w:rPr>
                <w:color w:val="auto"/>
                <w:sz w:val="24"/>
              </w:rPr>
            </w:pPr>
            <w:r>
              <w:rPr>
                <w:rFonts w:hint="eastAsia"/>
                <w:color w:val="auto"/>
                <w:sz w:val="24"/>
              </w:rPr>
              <w:t>①具备接管条件</w:t>
            </w:r>
          </w:p>
          <w:p w14:paraId="4AAED96D">
            <w:pPr>
              <w:spacing w:line="360" w:lineRule="auto"/>
              <w:ind w:firstLine="480" w:firstLineChars="200"/>
              <w:rPr>
                <w:rFonts w:hint="eastAsia"/>
                <w:color w:val="auto"/>
                <w:sz w:val="24"/>
              </w:rPr>
            </w:pPr>
            <w:r>
              <w:rPr>
                <w:rFonts w:hint="eastAsia"/>
                <w:color w:val="auto"/>
                <w:sz w:val="24"/>
              </w:rPr>
              <w:t>根据区域污水收集规划等，项目所在区域的污水属于湖州光正水质净化有限公司收集处理范围，废水处理达接管标准后，通过污水管网收集后，可排入湖州光正水质净化有限公司处理。</w:t>
            </w:r>
          </w:p>
          <w:p w14:paraId="0388C697">
            <w:pPr>
              <w:spacing w:line="360" w:lineRule="auto"/>
              <w:ind w:firstLine="480" w:firstLineChars="200"/>
              <w:rPr>
                <w:rFonts w:hint="eastAsia" w:eastAsia="宋体"/>
                <w:color w:val="auto"/>
                <w:sz w:val="24"/>
                <w:lang w:eastAsia="zh-CN"/>
              </w:rPr>
            </w:pPr>
            <w:r>
              <w:rPr>
                <w:rFonts w:hint="eastAsia"/>
                <w:color w:val="auto"/>
                <w:sz w:val="24"/>
              </w:rPr>
              <w:t>为了解污水处理厂废水排放情况，本项目引用浙江省污染源自动监控信息管理平台（网址：https://wryjk.zjemc.org.cn/）上的湖州光正水质净化有限公司2026年04月19日~2026年04月20日的在线监测数据，详见下表</w:t>
            </w:r>
            <w:r>
              <w:rPr>
                <w:rFonts w:hint="eastAsia"/>
                <w:color w:val="auto"/>
                <w:sz w:val="24"/>
                <w:lang w:eastAsia="zh-CN"/>
              </w:rPr>
              <w:t>。</w:t>
            </w:r>
          </w:p>
          <w:p w14:paraId="31375391">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w:t>
            </w:r>
            <w:r>
              <w:rPr>
                <w:rFonts w:hint="eastAsia"/>
                <w:b/>
                <w:bCs/>
                <w:color w:val="auto"/>
                <w:sz w:val="24"/>
                <w:lang w:val="en-US" w:eastAsia="zh-CN"/>
              </w:rPr>
              <w:t>浙江省污染源自动监控信息管理平台</w:t>
            </w:r>
            <w:r>
              <w:rPr>
                <w:rFonts w:hint="eastAsia"/>
                <w:b/>
                <w:bCs/>
                <w:color w:val="auto"/>
                <w:sz w:val="24"/>
              </w:rPr>
              <w:t>》监控数据</w:t>
            </w:r>
          </w:p>
          <w:p w14:paraId="328DAACF">
            <w:pPr>
              <w:adjustRightInd w:val="0"/>
              <w:snapToGrid w:val="0"/>
              <w:spacing w:before="48" w:beforeLines="20" w:after="48" w:afterLines="20" w:line="0" w:lineRule="atLeast"/>
              <w:jc w:val="right"/>
              <w:rPr>
                <w:color w:val="auto"/>
                <w:szCs w:val="21"/>
              </w:rPr>
            </w:pPr>
            <w:r>
              <w:rPr>
                <w:color w:val="auto"/>
                <w:szCs w:val="21"/>
              </w:rPr>
              <w:t>单位：mg/L（pH值除外）</w:t>
            </w:r>
          </w:p>
          <w:tbl>
            <w:tblPr>
              <w:tblStyle w:val="89"/>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480"/>
              <w:gridCol w:w="20"/>
              <w:gridCol w:w="1068"/>
              <w:gridCol w:w="904"/>
              <w:gridCol w:w="986"/>
              <w:gridCol w:w="986"/>
              <w:gridCol w:w="986"/>
              <w:gridCol w:w="986"/>
              <w:gridCol w:w="19"/>
              <w:gridCol w:w="967"/>
            </w:tblGrid>
            <w:tr w14:paraId="1420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28443ED2">
                  <w:pPr>
                    <w:widowControl/>
                    <w:jc w:val="center"/>
                    <w:textAlignment w:val="center"/>
                    <w:rPr>
                      <w:rFonts w:hint="eastAsia"/>
                      <w:color w:val="auto"/>
                      <w:szCs w:val="21"/>
                      <w:lang w:val="en-US" w:eastAsia="zh-CN"/>
                    </w:rPr>
                  </w:pPr>
                  <w:r>
                    <w:rPr>
                      <w:rFonts w:hint="eastAsia"/>
                      <w:color w:val="auto"/>
                      <w:szCs w:val="21"/>
                      <w:lang w:val="en-US" w:eastAsia="zh-CN"/>
                    </w:rPr>
                    <w:t>序号</w:t>
                  </w:r>
                </w:p>
              </w:tc>
              <w:tc>
                <w:tcPr>
                  <w:tcW w:w="1500" w:type="dxa"/>
                  <w:gridSpan w:val="2"/>
                  <w:vAlign w:val="center"/>
                </w:tcPr>
                <w:p w14:paraId="1D169D09">
                  <w:pPr>
                    <w:widowControl/>
                    <w:jc w:val="center"/>
                    <w:textAlignment w:val="center"/>
                    <w:rPr>
                      <w:rFonts w:hint="eastAsia"/>
                      <w:color w:val="auto"/>
                      <w:szCs w:val="21"/>
                      <w:lang w:val="en-US" w:eastAsia="zh-CN"/>
                    </w:rPr>
                  </w:pPr>
                  <w:r>
                    <w:rPr>
                      <w:rFonts w:hint="eastAsia"/>
                      <w:color w:val="auto"/>
                      <w:szCs w:val="21"/>
                      <w:lang w:val="en-US" w:eastAsia="zh-CN"/>
                    </w:rPr>
                    <w:t>监测时间</w:t>
                  </w:r>
                </w:p>
              </w:tc>
              <w:tc>
                <w:tcPr>
                  <w:tcW w:w="1068" w:type="dxa"/>
                  <w:vAlign w:val="center"/>
                </w:tcPr>
                <w:p w14:paraId="2EC76436">
                  <w:pPr>
                    <w:widowControl/>
                    <w:jc w:val="center"/>
                    <w:textAlignment w:val="center"/>
                    <w:rPr>
                      <w:rFonts w:hint="eastAsia"/>
                      <w:color w:val="auto"/>
                      <w:szCs w:val="21"/>
                      <w:lang w:val="en-US" w:eastAsia="zh-CN"/>
                    </w:rPr>
                  </w:pPr>
                  <w:r>
                    <w:rPr>
                      <w:rFonts w:hint="eastAsia"/>
                      <w:color w:val="auto"/>
                      <w:szCs w:val="21"/>
                      <w:lang w:val="en-US" w:eastAsia="zh-CN"/>
                    </w:rPr>
                    <w:t>pH值</w:t>
                  </w:r>
                </w:p>
              </w:tc>
              <w:tc>
                <w:tcPr>
                  <w:tcW w:w="904" w:type="dxa"/>
                  <w:vAlign w:val="center"/>
                </w:tcPr>
                <w:p w14:paraId="2A866940">
                  <w:pPr>
                    <w:widowControl/>
                    <w:jc w:val="center"/>
                    <w:textAlignment w:val="center"/>
                    <w:rPr>
                      <w:rFonts w:hint="eastAsia"/>
                      <w:color w:val="auto"/>
                      <w:szCs w:val="21"/>
                      <w:lang w:val="en-US" w:eastAsia="zh-CN"/>
                    </w:rPr>
                  </w:pPr>
                  <w:r>
                    <w:rPr>
                      <w:rFonts w:hint="eastAsia"/>
                      <w:color w:val="auto"/>
                      <w:szCs w:val="21"/>
                      <w:lang w:val="en-US" w:eastAsia="zh-CN"/>
                    </w:rPr>
                    <w:t>化学需氧量</w:t>
                  </w:r>
                </w:p>
              </w:tc>
              <w:tc>
                <w:tcPr>
                  <w:tcW w:w="986" w:type="dxa"/>
                  <w:vAlign w:val="center"/>
                </w:tcPr>
                <w:p w14:paraId="7EA188F0">
                  <w:pPr>
                    <w:widowControl/>
                    <w:jc w:val="center"/>
                    <w:textAlignment w:val="center"/>
                    <w:rPr>
                      <w:rFonts w:hint="eastAsia"/>
                      <w:color w:val="auto"/>
                      <w:szCs w:val="21"/>
                      <w:lang w:val="en-US" w:eastAsia="zh-CN"/>
                    </w:rPr>
                  </w:pPr>
                  <w:r>
                    <w:rPr>
                      <w:rFonts w:hint="eastAsia"/>
                      <w:color w:val="auto"/>
                      <w:szCs w:val="21"/>
                      <w:lang w:val="en-US" w:eastAsia="zh-CN"/>
                    </w:rPr>
                    <w:t>氨氮</w:t>
                  </w:r>
                </w:p>
              </w:tc>
              <w:tc>
                <w:tcPr>
                  <w:tcW w:w="986" w:type="dxa"/>
                  <w:vAlign w:val="center"/>
                </w:tcPr>
                <w:p w14:paraId="0F0B601A">
                  <w:pPr>
                    <w:widowControl/>
                    <w:jc w:val="center"/>
                    <w:textAlignment w:val="center"/>
                    <w:rPr>
                      <w:rFonts w:hint="eastAsia"/>
                      <w:color w:val="auto"/>
                      <w:szCs w:val="21"/>
                      <w:lang w:val="en-US" w:eastAsia="zh-CN"/>
                    </w:rPr>
                  </w:pPr>
                  <w:r>
                    <w:rPr>
                      <w:rFonts w:hint="eastAsia"/>
                      <w:color w:val="auto"/>
                      <w:szCs w:val="21"/>
                      <w:lang w:val="en-US" w:eastAsia="zh-CN"/>
                    </w:rPr>
                    <w:t>总氮</w:t>
                  </w:r>
                </w:p>
              </w:tc>
              <w:tc>
                <w:tcPr>
                  <w:tcW w:w="986" w:type="dxa"/>
                  <w:vAlign w:val="center"/>
                </w:tcPr>
                <w:p w14:paraId="32A09E6F">
                  <w:pPr>
                    <w:widowControl/>
                    <w:jc w:val="center"/>
                    <w:textAlignment w:val="center"/>
                    <w:rPr>
                      <w:rFonts w:hint="eastAsia"/>
                      <w:color w:val="auto"/>
                      <w:szCs w:val="21"/>
                      <w:lang w:val="en-US" w:eastAsia="zh-CN"/>
                    </w:rPr>
                  </w:pPr>
                  <w:r>
                    <w:rPr>
                      <w:rFonts w:hint="eastAsia"/>
                      <w:color w:val="auto"/>
                      <w:szCs w:val="21"/>
                      <w:lang w:val="en-US" w:eastAsia="zh-CN"/>
                    </w:rPr>
                    <w:t>总磷</w:t>
                  </w:r>
                </w:p>
              </w:tc>
              <w:tc>
                <w:tcPr>
                  <w:tcW w:w="986" w:type="dxa"/>
                  <w:vAlign w:val="center"/>
                </w:tcPr>
                <w:p w14:paraId="4C4FA460">
                  <w:pPr>
                    <w:widowControl/>
                    <w:jc w:val="center"/>
                    <w:textAlignment w:val="center"/>
                    <w:rPr>
                      <w:rFonts w:hint="eastAsia"/>
                      <w:color w:val="auto"/>
                      <w:szCs w:val="21"/>
                      <w:lang w:val="en-US" w:eastAsia="zh-CN"/>
                    </w:rPr>
                  </w:pPr>
                  <w:r>
                    <w:rPr>
                      <w:rFonts w:hint="eastAsia"/>
                      <w:color w:val="auto"/>
                      <w:szCs w:val="21"/>
                      <w:lang w:val="en-US" w:eastAsia="zh-CN"/>
                    </w:rPr>
                    <w:t>流量</w:t>
                  </w:r>
                </w:p>
                <w:p w14:paraId="3836B3C3">
                  <w:pPr>
                    <w:widowControl/>
                    <w:jc w:val="center"/>
                    <w:textAlignment w:val="center"/>
                    <w:rPr>
                      <w:rFonts w:hint="eastAsia"/>
                      <w:color w:val="auto"/>
                      <w:szCs w:val="21"/>
                      <w:lang w:val="en-US" w:eastAsia="zh-CN"/>
                    </w:rPr>
                  </w:pPr>
                  <w:r>
                    <w:rPr>
                      <w:rFonts w:hint="eastAsia"/>
                      <w:color w:val="auto"/>
                      <w:szCs w:val="21"/>
                      <w:lang w:val="en-US" w:eastAsia="zh-CN"/>
                    </w:rPr>
                    <w:t>m³/h</w:t>
                  </w:r>
                </w:p>
              </w:tc>
              <w:tc>
                <w:tcPr>
                  <w:tcW w:w="986" w:type="dxa"/>
                  <w:gridSpan w:val="2"/>
                  <w:vAlign w:val="center"/>
                </w:tcPr>
                <w:p w14:paraId="26CD0D0C">
                  <w:pPr>
                    <w:widowControl/>
                    <w:jc w:val="center"/>
                    <w:textAlignment w:val="center"/>
                    <w:rPr>
                      <w:rFonts w:hint="eastAsia"/>
                      <w:color w:val="auto"/>
                      <w:szCs w:val="21"/>
                      <w:lang w:val="en-US" w:eastAsia="zh-CN"/>
                    </w:rPr>
                  </w:pPr>
                  <w:r>
                    <w:rPr>
                      <w:rFonts w:hint="eastAsia"/>
                      <w:color w:val="auto"/>
                      <w:szCs w:val="21"/>
                      <w:lang w:val="en-US" w:eastAsia="zh-CN"/>
                    </w:rPr>
                    <w:t>水温</w:t>
                  </w:r>
                </w:p>
                <w:p w14:paraId="5ABF5B87">
                  <w:pPr>
                    <w:widowControl/>
                    <w:jc w:val="center"/>
                    <w:textAlignment w:val="center"/>
                    <w:rPr>
                      <w:rFonts w:hint="eastAsia"/>
                      <w:color w:val="auto"/>
                      <w:szCs w:val="21"/>
                      <w:lang w:val="en-US" w:eastAsia="zh-CN"/>
                    </w:rPr>
                  </w:pPr>
                  <w:r>
                    <w:rPr>
                      <w:rFonts w:hint="eastAsia"/>
                      <w:color w:val="auto"/>
                      <w:szCs w:val="21"/>
                      <w:lang w:val="en-US" w:eastAsia="zh-CN"/>
                    </w:rPr>
                    <w:t>℃</w:t>
                  </w:r>
                </w:p>
              </w:tc>
            </w:tr>
            <w:tr w14:paraId="5C88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159C8B9B">
                  <w:pPr>
                    <w:widowControl/>
                    <w:jc w:val="center"/>
                    <w:textAlignment w:val="center"/>
                    <w:rPr>
                      <w:rFonts w:hint="default"/>
                      <w:color w:val="auto"/>
                      <w:szCs w:val="21"/>
                      <w:lang w:val="en-US" w:eastAsia="zh-CN"/>
                    </w:rPr>
                  </w:pPr>
                  <w:r>
                    <w:rPr>
                      <w:rFonts w:hint="eastAsia"/>
                      <w:color w:val="auto"/>
                      <w:szCs w:val="21"/>
                      <w:lang w:val="en-US" w:eastAsia="zh-CN"/>
                    </w:rPr>
                    <w:t>1</w:t>
                  </w:r>
                </w:p>
              </w:tc>
              <w:tc>
                <w:tcPr>
                  <w:tcW w:w="1500" w:type="dxa"/>
                  <w:gridSpan w:val="2"/>
                  <w:vAlign w:val="center"/>
                </w:tcPr>
                <w:p w14:paraId="6575A7AD">
                  <w:pPr>
                    <w:widowControl/>
                    <w:jc w:val="center"/>
                    <w:textAlignment w:val="center"/>
                    <w:rPr>
                      <w:rFonts w:hint="eastAsia"/>
                      <w:color w:val="auto"/>
                      <w:szCs w:val="21"/>
                      <w:lang w:val="en-US" w:eastAsia="zh-CN"/>
                    </w:rPr>
                  </w:pPr>
                  <w:r>
                    <w:rPr>
                      <w:rFonts w:hint="eastAsia"/>
                      <w:color w:val="auto"/>
                      <w:szCs w:val="21"/>
                      <w:lang w:val="en-US" w:eastAsia="zh-CN"/>
                    </w:rPr>
                    <w:t>2026-04-20 15</w:t>
                  </w:r>
                </w:p>
              </w:tc>
              <w:tc>
                <w:tcPr>
                  <w:tcW w:w="1068" w:type="dxa"/>
                  <w:vAlign w:val="center"/>
                </w:tcPr>
                <w:p w14:paraId="57F3C5F3">
                  <w:pPr>
                    <w:widowControl/>
                    <w:jc w:val="center"/>
                    <w:textAlignment w:val="center"/>
                    <w:rPr>
                      <w:rFonts w:hint="eastAsia"/>
                      <w:color w:val="auto"/>
                      <w:szCs w:val="21"/>
                      <w:lang w:val="en-US" w:eastAsia="zh-CN"/>
                    </w:rPr>
                  </w:pPr>
                  <w:r>
                    <w:rPr>
                      <w:rFonts w:hint="eastAsia"/>
                      <w:color w:val="auto"/>
                      <w:szCs w:val="21"/>
                      <w:lang w:val="en-US" w:eastAsia="zh-CN"/>
                    </w:rPr>
                    <w:t>6.82~6.87</w:t>
                  </w:r>
                </w:p>
              </w:tc>
              <w:tc>
                <w:tcPr>
                  <w:tcW w:w="904" w:type="dxa"/>
                  <w:vAlign w:val="center"/>
                </w:tcPr>
                <w:p w14:paraId="6938A48F">
                  <w:pPr>
                    <w:widowControl/>
                    <w:jc w:val="center"/>
                    <w:textAlignment w:val="center"/>
                    <w:rPr>
                      <w:rFonts w:hint="eastAsia"/>
                      <w:color w:val="auto"/>
                      <w:szCs w:val="21"/>
                      <w:lang w:val="en-US" w:eastAsia="zh-CN"/>
                    </w:rPr>
                  </w:pPr>
                  <w:r>
                    <w:rPr>
                      <w:rFonts w:hint="eastAsia"/>
                      <w:color w:val="auto"/>
                      <w:szCs w:val="21"/>
                      <w:lang w:val="en-US" w:eastAsia="zh-CN"/>
                    </w:rPr>
                    <w:t>26.4</w:t>
                  </w:r>
                </w:p>
              </w:tc>
              <w:tc>
                <w:tcPr>
                  <w:tcW w:w="986" w:type="dxa"/>
                  <w:vAlign w:val="center"/>
                </w:tcPr>
                <w:p w14:paraId="3E8EF042">
                  <w:pPr>
                    <w:widowControl/>
                    <w:jc w:val="center"/>
                    <w:textAlignment w:val="center"/>
                    <w:rPr>
                      <w:rFonts w:hint="eastAsia"/>
                      <w:color w:val="auto"/>
                      <w:szCs w:val="21"/>
                      <w:lang w:val="en-US" w:eastAsia="zh-CN"/>
                    </w:rPr>
                  </w:pPr>
                  <w:r>
                    <w:rPr>
                      <w:rFonts w:hint="eastAsia"/>
                      <w:color w:val="auto"/>
                      <w:szCs w:val="21"/>
                      <w:lang w:val="en-US" w:eastAsia="zh-CN"/>
                    </w:rPr>
                    <w:t>0.042</w:t>
                  </w:r>
                </w:p>
              </w:tc>
              <w:tc>
                <w:tcPr>
                  <w:tcW w:w="986" w:type="dxa"/>
                  <w:vAlign w:val="center"/>
                </w:tcPr>
                <w:p w14:paraId="64554743">
                  <w:pPr>
                    <w:widowControl/>
                    <w:jc w:val="center"/>
                    <w:textAlignment w:val="center"/>
                    <w:rPr>
                      <w:rFonts w:hint="eastAsia"/>
                      <w:color w:val="auto"/>
                      <w:szCs w:val="21"/>
                      <w:lang w:val="en-US" w:eastAsia="zh-CN"/>
                    </w:rPr>
                  </w:pPr>
                  <w:r>
                    <w:rPr>
                      <w:rFonts w:hint="eastAsia"/>
                      <w:color w:val="auto"/>
                      <w:szCs w:val="21"/>
                      <w:lang w:val="en-US" w:eastAsia="zh-CN"/>
                    </w:rPr>
                    <w:t>4.848</w:t>
                  </w:r>
                </w:p>
              </w:tc>
              <w:tc>
                <w:tcPr>
                  <w:tcW w:w="986" w:type="dxa"/>
                  <w:vAlign w:val="center"/>
                </w:tcPr>
                <w:p w14:paraId="7C93DB83">
                  <w:pPr>
                    <w:widowControl/>
                    <w:jc w:val="center"/>
                    <w:textAlignment w:val="center"/>
                    <w:rPr>
                      <w:rFonts w:hint="eastAsia"/>
                      <w:color w:val="auto"/>
                      <w:szCs w:val="21"/>
                      <w:lang w:val="en-US" w:eastAsia="zh-CN"/>
                    </w:rPr>
                  </w:pPr>
                  <w:r>
                    <w:rPr>
                      <w:rFonts w:hint="eastAsia"/>
                      <w:color w:val="auto"/>
                      <w:szCs w:val="21"/>
                      <w:lang w:val="en-US" w:eastAsia="zh-CN"/>
                    </w:rPr>
                    <w:t>0.014</w:t>
                  </w:r>
                </w:p>
              </w:tc>
              <w:tc>
                <w:tcPr>
                  <w:tcW w:w="986" w:type="dxa"/>
                  <w:vAlign w:val="center"/>
                </w:tcPr>
                <w:p w14:paraId="0A95CE74">
                  <w:pPr>
                    <w:widowControl/>
                    <w:jc w:val="center"/>
                    <w:textAlignment w:val="center"/>
                    <w:rPr>
                      <w:rFonts w:hint="eastAsia"/>
                      <w:color w:val="auto"/>
                      <w:szCs w:val="21"/>
                      <w:lang w:val="en-US" w:eastAsia="zh-CN"/>
                    </w:rPr>
                  </w:pPr>
                  <w:r>
                    <w:rPr>
                      <w:rFonts w:hint="eastAsia"/>
                      <w:color w:val="auto"/>
                      <w:szCs w:val="21"/>
                      <w:lang w:val="en-US" w:eastAsia="zh-CN"/>
                    </w:rPr>
                    <w:t>1276.11</w:t>
                  </w:r>
                </w:p>
              </w:tc>
              <w:tc>
                <w:tcPr>
                  <w:tcW w:w="986" w:type="dxa"/>
                  <w:gridSpan w:val="2"/>
                  <w:vAlign w:val="center"/>
                </w:tcPr>
                <w:p w14:paraId="4F24BB3F">
                  <w:pPr>
                    <w:widowControl/>
                    <w:jc w:val="center"/>
                    <w:textAlignment w:val="center"/>
                    <w:rPr>
                      <w:rFonts w:hint="eastAsia"/>
                      <w:color w:val="auto"/>
                      <w:szCs w:val="21"/>
                      <w:lang w:val="en-US" w:eastAsia="zh-CN"/>
                    </w:rPr>
                  </w:pPr>
                  <w:r>
                    <w:rPr>
                      <w:rFonts w:hint="eastAsia"/>
                      <w:color w:val="auto"/>
                      <w:szCs w:val="21"/>
                      <w:lang w:val="en-US" w:eastAsia="zh-CN"/>
                    </w:rPr>
                    <w:t>24.90</w:t>
                  </w:r>
                </w:p>
              </w:tc>
            </w:tr>
            <w:tr w14:paraId="1036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0A5E9084">
                  <w:pPr>
                    <w:widowControl/>
                    <w:jc w:val="center"/>
                    <w:textAlignment w:val="center"/>
                    <w:rPr>
                      <w:rFonts w:hint="default"/>
                      <w:color w:val="auto"/>
                      <w:szCs w:val="21"/>
                      <w:lang w:val="en-US" w:eastAsia="zh-CN"/>
                    </w:rPr>
                  </w:pPr>
                  <w:r>
                    <w:rPr>
                      <w:rFonts w:hint="eastAsia"/>
                      <w:color w:val="auto"/>
                      <w:szCs w:val="21"/>
                      <w:lang w:val="en-US" w:eastAsia="zh-CN"/>
                    </w:rPr>
                    <w:t>2</w:t>
                  </w:r>
                </w:p>
              </w:tc>
              <w:tc>
                <w:tcPr>
                  <w:tcW w:w="1500" w:type="dxa"/>
                  <w:gridSpan w:val="2"/>
                  <w:vAlign w:val="center"/>
                </w:tcPr>
                <w:p w14:paraId="5B236C7D">
                  <w:pPr>
                    <w:widowControl/>
                    <w:jc w:val="center"/>
                    <w:textAlignment w:val="center"/>
                    <w:rPr>
                      <w:rFonts w:hint="eastAsia"/>
                      <w:color w:val="auto"/>
                      <w:szCs w:val="21"/>
                      <w:lang w:val="en-US" w:eastAsia="zh-CN"/>
                    </w:rPr>
                  </w:pPr>
                  <w:r>
                    <w:rPr>
                      <w:rFonts w:hint="eastAsia"/>
                      <w:color w:val="auto"/>
                      <w:szCs w:val="21"/>
                      <w:lang w:val="en-US" w:eastAsia="zh-CN"/>
                    </w:rPr>
                    <w:t>2026-04-20 14</w:t>
                  </w:r>
                </w:p>
              </w:tc>
              <w:tc>
                <w:tcPr>
                  <w:tcW w:w="1068" w:type="dxa"/>
                  <w:vAlign w:val="center"/>
                </w:tcPr>
                <w:p w14:paraId="56A20D24">
                  <w:pPr>
                    <w:widowControl/>
                    <w:jc w:val="center"/>
                    <w:textAlignment w:val="center"/>
                    <w:rPr>
                      <w:rFonts w:hint="eastAsia"/>
                      <w:color w:val="auto"/>
                      <w:szCs w:val="21"/>
                      <w:lang w:val="en-US" w:eastAsia="zh-CN"/>
                    </w:rPr>
                  </w:pPr>
                  <w:r>
                    <w:rPr>
                      <w:rFonts w:hint="eastAsia"/>
                      <w:color w:val="auto"/>
                      <w:szCs w:val="21"/>
                      <w:lang w:val="en-US" w:eastAsia="zh-CN"/>
                    </w:rPr>
                    <w:t>6.87~6.92</w:t>
                  </w:r>
                </w:p>
              </w:tc>
              <w:tc>
                <w:tcPr>
                  <w:tcW w:w="904" w:type="dxa"/>
                  <w:vAlign w:val="center"/>
                </w:tcPr>
                <w:p w14:paraId="61D687B7">
                  <w:pPr>
                    <w:widowControl/>
                    <w:jc w:val="center"/>
                    <w:textAlignment w:val="center"/>
                    <w:rPr>
                      <w:rFonts w:hint="eastAsia"/>
                      <w:color w:val="auto"/>
                      <w:szCs w:val="21"/>
                      <w:lang w:val="en-US" w:eastAsia="zh-CN"/>
                    </w:rPr>
                  </w:pPr>
                  <w:r>
                    <w:rPr>
                      <w:rFonts w:hint="eastAsia"/>
                      <w:color w:val="auto"/>
                      <w:szCs w:val="21"/>
                      <w:lang w:val="en-US" w:eastAsia="zh-CN"/>
                    </w:rPr>
                    <w:t>26.4</w:t>
                  </w:r>
                </w:p>
              </w:tc>
              <w:tc>
                <w:tcPr>
                  <w:tcW w:w="986" w:type="dxa"/>
                  <w:vAlign w:val="center"/>
                </w:tcPr>
                <w:p w14:paraId="1689F562">
                  <w:pPr>
                    <w:widowControl/>
                    <w:jc w:val="center"/>
                    <w:textAlignment w:val="center"/>
                    <w:rPr>
                      <w:rFonts w:hint="eastAsia"/>
                      <w:color w:val="auto"/>
                      <w:szCs w:val="21"/>
                      <w:lang w:val="en-US" w:eastAsia="zh-CN"/>
                    </w:rPr>
                  </w:pPr>
                  <w:r>
                    <w:rPr>
                      <w:rFonts w:hint="eastAsia"/>
                      <w:color w:val="auto"/>
                      <w:szCs w:val="21"/>
                      <w:lang w:val="en-US" w:eastAsia="zh-CN"/>
                    </w:rPr>
                    <w:t>0.043</w:t>
                  </w:r>
                </w:p>
              </w:tc>
              <w:tc>
                <w:tcPr>
                  <w:tcW w:w="986" w:type="dxa"/>
                  <w:vAlign w:val="center"/>
                </w:tcPr>
                <w:p w14:paraId="4A1201B6">
                  <w:pPr>
                    <w:widowControl/>
                    <w:jc w:val="center"/>
                    <w:textAlignment w:val="center"/>
                    <w:rPr>
                      <w:rFonts w:hint="eastAsia"/>
                      <w:color w:val="auto"/>
                      <w:szCs w:val="21"/>
                      <w:lang w:val="en-US" w:eastAsia="zh-CN"/>
                    </w:rPr>
                  </w:pPr>
                  <w:r>
                    <w:rPr>
                      <w:rFonts w:hint="eastAsia"/>
                      <w:color w:val="auto"/>
                      <w:szCs w:val="21"/>
                      <w:lang w:val="en-US" w:eastAsia="zh-CN"/>
                    </w:rPr>
                    <w:t>4.932</w:t>
                  </w:r>
                </w:p>
              </w:tc>
              <w:tc>
                <w:tcPr>
                  <w:tcW w:w="986" w:type="dxa"/>
                  <w:vAlign w:val="center"/>
                </w:tcPr>
                <w:p w14:paraId="4EA46B8E">
                  <w:pPr>
                    <w:widowControl/>
                    <w:jc w:val="center"/>
                    <w:textAlignment w:val="center"/>
                    <w:rPr>
                      <w:rFonts w:hint="eastAsia"/>
                      <w:color w:val="auto"/>
                      <w:szCs w:val="21"/>
                      <w:lang w:val="en-US" w:eastAsia="zh-CN"/>
                    </w:rPr>
                  </w:pPr>
                  <w:r>
                    <w:rPr>
                      <w:rFonts w:hint="eastAsia"/>
                      <w:color w:val="auto"/>
                      <w:szCs w:val="21"/>
                      <w:lang w:val="en-US" w:eastAsia="zh-CN"/>
                    </w:rPr>
                    <w:t>0.016</w:t>
                  </w:r>
                </w:p>
              </w:tc>
              <w:tc>
                <w:tcPr>
                  <w:tcW w:w="986" w:type="dxa"/>
                  <w:vAlign w:val="center"/>
                </w:tcPr>
                <w:p w14:paraId="7E806B73">
                  <w:pPr>
                    <w:widowControl/>
                    <w:jc w:val="center"/>
                    <w:textAlignment w:val="center"/>
                    <w:rPr>
                      <w:rFonts w:hint="eastAsia"/>
                      <w:color w:val="auto"/>
                      <w:szCs w:val="21"/>
                      <w:lang w:val="en-US" w:eastAsia="zh-CN"/>
                    </w:rPr>
                  </w:pPr>
                  <w:r>
                    <w:rPr>
                      <w:rFonts w:hint="eastAsia"/>
                      <w:color w:val="auto"/>
                      <w:szCs w:val="21"/>
                      <w:lang w:val="en-US" w:eastAsia="zh-CN"/>
                    </w:rPr>
                    <w:t>1280.46</w:t>
                  </w:r>
                </w:p>
              </w:tc>
              <w:tc>
                <w:tcPr>
                  <w:tcW w:w="986" w:type="dxa"/>
                  <w:gridSpan w:val="2"/>
                  <w:vAlign w:val="center"/>
                </w:tcPr>
                <w:p w14:paraId="50ADB041">
                  <w:pPr>
                    <w:widowControl/>
                    <w:jc w:val="center"/>
                    <w:textAlignment w:val="center"/>
                    <w:rPr>
                      <w:rFonts w:hint="eastAsia"/>
                      <w:color w:val="auto"/>
                      <w:szCs w:val="21"/>
                      <w:lang w:val="en-US" w:eastAsia="zh-CN"/>
                    </w:rPr>
                  </w:pPr>
                  <w:r>
                    <w:rPr>
                      <w:rFonts w:hint="eastAsia"/>
                      <w:color w:val="auto"/>
                      <w:szCs w:val="21"/>
                      <w:lang w:val="en-US" w:eastAsia="zh-CN"/>
                    </w:rPr>
                    <w:t>25.10</w:t>
                  </w:r>
                </w:p>
              </w:tc>
            </w:tr>
            <w:tr w14:paraId="5678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7CE6E7F7">
                  <w:pPr>
                    <w:widowControl/>
                    <w:jc w:val="center"/>
                    <w:textAlignment w:val="center"/>
                    <w:rPr>
                      <w:rFonts w:hint="default"/>
                      <w:color w:val="auto"/>
                      <w:szCs w:val="21"/>
                      <w:lang w:val="en-US" w:eastAsia="zh-CN"/>
                    </w:rPr>
                  </w:pPr>
                  <w:r>
                    <w:rPr>
                      <w:rFonts w:hint="eastAsia"/>
                      <w:color w:val="auto"/>
                      <w:szCs w:val="21"/>
                      <w:lang w:val="en-US" w:eastAsia="zh-CN"/>
                    </w:rPr>
                    <w:t>3</w:t>
                  </w:r>
                </w:p>
              </w:tc>
              <w:tc>
                <w:tcPr>
                  <w:tcW w:w="1500" w:type="dxa"/>
                  <w:gridSpan w:val="2"/>
                  <w:vAlign w:val="center"/>
                </w:tcPr>
                <w:p w14:paraId="1F5E61F0">
                  <w:pPr>
                    <w:widowControl/>
                    <w:jc w:val="center"/>
                    <w:textAlignment w:val="center"/>
                    <w:rPr>
                      <w:rFonts w:hint="eastAsia"/>
                      <w:color w:val="auto"/>
                      <w:szCs w:val="21"/>
                      <w:lang w:val="en-US" w:eastAsia="zh-CN"/>
                    </w:rPr>
                  </w:pPr>
                  <w:r>
                    <w:rPr>
                      <w:rFonts w:hint="eastAsia"/>
                      <w:color w:val="auto"/>
                      <w:szCs w:val="21"/>
                      <w:lang w:val="en-US" w:eastAsia="zh-CN"/>
                    </w:rPr>
                    <w:t>2026-04-20 13</w:t>
                  </w:r>
                </w:p>
              </w:tc>
              <w:tc>
                <w:tcPr>
                  <w:tcW w:w="1068" w:type="dxa"/>
                  <w:vAlign w:val="center"/>
                </w:tcPr>
                <w:p w14:paraId="61409BDC">
                  <w:pPr>
                    <w:widowControl/>
                    <w:jc w:val="center"/>
                    <w:textAlignment w:val="center"/>
                    <w:rPr>
                      <w:rFonts w:hint="eastAsia"/>
                      <w:color w:val="auto"/>
                      <w:szCs w:val="21"/>
                      <w:lang w:val="en-US" w:eastAsia="zh-CN"/>
                    </w:rPr>
                  </w:pPr>
                  <w:r>
                    <w:rPr>
                      <w:rFonts w:hint="eastAsia"/>
                      <w:color w:val="auto"/>
                      <w:szCs w:val="21"/>
                      <w:lang w:val="en-US" w:eastAsia="zh-CN"/>
                    </w:rPr>
                    <w:t>6.63~6.93</w:t>
                  </w:r>
                </w:p>
              </w:tc>
              <w:tc>
                <w:tcPr>
                  <w:tcW w:w="904" w:type="dxa"/>
                  <w:vAlign w:val="center"/>
                </w:tcPr>
                <w:p w14:paraId="64CBAE24">
                  <w:pPr>
                    <w:widowControl/>
                    <w:jc w:val="center"/>
                    <w:textAlignment w:val="center"/>
                    <w:rPr>
                      <w:rFonts w:hint="eastAsia"/>
                      <w:color w:val="auto"/>
                      <w:szCs w:val="21"/>
                      <w:lang w:val="en-US" w:eastAsia="zh-CN"/>
                    </w:rPr>
                  </w:pPr>
                  <w:r>
                    <w:rPr>
                      <w:rFonts w:hint="eastAsia"/>
                      <w:color w:val="auto"/>
                      <w:szCs w:val="21"/>
                      <w:lang w:val="en-US" w:eastAsia="zh-CN"/>
                    </w:rPr>
                    <w:t>25.5</w:t>
                  </w:r>
                </w:p>
              </w:tc>
              <w:tc>
                <w:tcPr>
                  <w:tcW w:w="986" w:type="dxa"/>
                  <w:vAlign w:val="center"/>
                </w:tcPr>
                <w:p w14:paraId="75FAC361">
                  <w:pPr>
                    <w:widowControl/>
                    <w:jc w:val="center"/>
                    <w:textAlignment w:val="center"/>
                    <w:rPr>
                      <w:rFonts w:hint="eastAsia"/>
                      <w:color w:val="auto"/>
                      <w:szCs w:val="21"/>
                      <w:lang w:val="en-US" w:eastAsia="zh-CN"/>
                    </w:rPr>
                  </w:pPr>
                  <w:r>
                    <w:rPr>
                      <w:rFonts w:hint="eastAsia"/>
                      <w:color w:val="auto"/>
                      <w:szCs w:val="21"/>
                      <w:lang w:val="en-US" w:eastAsia="zh-CN"/>
                    </w:rPr>
                    <w:t>0.038</w:t>
                  </w:r>
                </w:p>
              </w:tc>
              <w:tc>
                <w:tcPr>
                  <w:tcW w:w="986" w:type="dxa"/>
                  <w:vAlign w:val="center"/>
                </w:tcPr>
                <w:p w14:paraId="1E33E831">
                  <w:pPr>
                    <w:widowControl/>
                    <w:jc w:val="center"/>
                    <w:textAlignment w:val="center"/>
                    <w:rPr>
                      <w:rFonts w:hint="eastAsia"/>
                      <w:color w:val="auto"/>
                      <w:szCs w:val="21"/>
                      <w:lang w:val="en-US" w:eastAsia="zh-CN"/>
                    </w:rPr>
                  </w:pPr>
                  <w:r>
                    <w:rPr>
                      <w:rFonts w:hint="eastAsia"/>
                      <w:color w:val="auto"/>
                      <w:szCs w:val="21"/>
                      <w:lang w:val="en-US" w:eastAsia="zh-CN"/>
                    </w:rPr>
                    <w:t>4.809</w:t>
                  </w:r>
                </w:p>
              </w:tc>
              <w:tc>
                <w:tcPr>
                  <w:tcW w:w="986" w:type="dxa"/>
                  <w:vAlign w:val="center"/>
                </w:tcPr>
                <w:p w14:paraId="13DE32DB">
                  <w:pPr>
                    <w:widowControl/>
                    <w:jc w:val="center"/>
                    <w:textAlignment w:val="center"/>
                    <w:rPr>
                      <w:rFonts w:hint="eastAsia"/>
                      <w:color w:val="auto"/>
                      <w:szCs w:val="21"/>
                      <w:lang w:val="en-US" w:eastAsia="zh-CN"/>
                    </w:rPr>
                  </w:pPr>
                  <w:r>
                    <w:rPr>
                      <w:rFonts w:hint="eastAsia"/>
                      <w:color w:val="auto"/>
                      <w:szCs w:val="21"/>
                      <w:lang w:val="en-US" w:eastAsia="zh-CN"/>
                    </w:rPr>
                    <w:t>0.018</w:t>
                  </w:r>
                </w:p>
              </w:tc>
              <w:tc>
                <w:tcPr>
                  <w:tcW w:w="986" w:type="dxa"/>
                  <w:vAlign w:val="center"/>
                </w:tcPr>
                <w:p w14:paraId="7AD88F91">
                  <w:pPr>
                    <w:widowControl/>
                    <w:jc w:val="center"/>
                    <w:textAlignment w:val="center"/>
                    <w:rPr>
                      <w:rFonts w:hint="eastAsia"/>
                      <w:color w:val="auto"/>
                      <w:szCs w:val="21"/>
                      <w:lang w:val="en-US" w:eastAsia="zh-CN"/>
                    </w:rPr>
                  </w:pPr>
                  <w:r>
                    <w:rPr>
                      <w:rFonts w:hint="eastAsia"/>
                      <w:color w:val="auto"/>
                      <w:szCs w:val="21"/>
                      <w:lang w:val="en-US" w:eastAsia="zh-CN"/>
                    </w:rPr>
                    <w:t>1288.78</w:t>
                  </w:r>
                </w:p>
              </w:tc>
              <w:tc>
                <w:tcPr>
                  <w:tcW w:w="986" w:type="dxa"/>
                  <w:gridSpan w:val="2"/>
                  <w:vAlign w:val="center"/>
                </w:tcPr>
                <w:p w14:paraId="15D188B3">
                  <w:pPr>
                    <w:widowControl/>
                    <w:jc w:val="center"/>
                    <w:textAlignment w:val="center"/>
                    <w:rPr>
                      <w:rFonts w:hint="eastAsia"/>
                      <w:color w:val="auto"/>
                      <w:szCs w:val="21"/>
                      <w:lang w:val="en-US" w:eastAsia="zh-CN"/>
                    </w:rPr>
                  </w:pPr>
                  <w:r>
                    <w:rPr>
                      <w:rFonts w:hint="eastAsia"/>
                      <w:color w:val="auto"/>
                      <w:szCs w:val="21"/>
                      <w:lang w:val="en-US" w:eastAsia="zh-CN"/>
                    </w:rPr>
                    <w:t>25.10</w:t>
                  </w:r>
                </w:p>
              </w:tc>
            </w:tr>
            <w:tr w14:paraId="3670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3739B388">
                  <w:pPr>
                    <w:widowControl/>
                    <w:jc w:val="center"/>
                    <w:textAlignment w:val="center"/>
                    <w:rPr>
                      <w:rFonts w:hint="default"/>
                      <w:color w:val="auto"/>
                      <w:szCs w:val="21"/>
                      <w:lang w:val="en-US" w:eastAsia="zh-CN"/>
                    </w:rPr>
                  </w:pPr>
                  <w:r>
                    <w:rPr>
                      <w:rFonts w:hint="eastAsia"/>
                      <w:color w:val="auto"/>
                      <w:szCs w:val="21"/>
                      <w:lang w:val="en-US" w:eastAsia="zh-CN"/>
                    </w:rPr>
                    <w:t>4</w:t>
                  </w:r>
                </w:p>
              </w:tc>
              <w:tc>
                <w:tcPr>
                  <w:tcW w:w="1500" w:type="dxa"/>
                  <w:gridSpan w:val="2"/>
                  <w:vAlign w:val="center"/>
                </w:tcPr>
                <w:p w14:paraId="495A6E30">
                  <w:pPr>
                    <w:widowControl/>
                    <w:jc w:val="center"/>
                    <w:textAlignment w:val="center"/>
                    <w:rPr>
                      <w:rFonts w:hint="eastAsia"/>
                      <w:color w:val="auto"/>
                      <w:szCs w:val="21"/>
                      <w:lang w:val="en-US" w:eastAsia="zh-CN"/>
                    </w:rPr>
                  </w:pPr>
                  <w:r>
                    <w:rPr>
                      <w:rFonts w:hint="eastAsia"/>
                      <w:color w:val="auto"/>
                      <w:szCs w:val="21"/>
                      <w:lang w:val="en-US" w:eastAsia="zh-CN"/>
                    </w:rPr>
                    <w:t>2026-04-20 12</w:t>
                  </w:r>
                </w:p>
              </w:tc>
              <w:tc>
                <w:tcPr>
                  <w:tcW w:w="1068" w:type="dxa"/>
                  <w:vAlign w:val="center"/>
                </w:tcPr>
                <w:p w14:paraId="45857380">
                  <w:pPr>
                    <w:widowControl/>
                    <w:jc w:val="center"/>
                    <w:textAlignment w:val="center"/>
                    <w:rPr>
                      <w:rFonts w:hint="eastAsia"/>
                      <w:color w:val="auto"/>
                      <w:szCs w:val="21"/>
                      <w:lang w:val="en-US" w:eastAsia="zh-CN"/>
                    </w:rPr>
                  </w:pPr>
                  <w:r>
                    <w:rPr>
                      <w:rFonts w:hint="eastAsia"/>
                      <w:color w:val="auto"/>
                      <w:szCs w:val="21"/>
                      <w:lang w:val="en-US" w:eastAsia="zh-CN"/>
                    </w:rPr>
                    <w:t>6.86~6.97</w:t>
                  </w:r>
                </w:p>
              </w:tc>
              <w:tc>
                <w:tcPr>
                  <w:tcW w:w="904" w:type="dxa"/>
                  <w:vAlign w:val="center"/>
                </w:tcPr>
                <w:p w14:paraId="0911B5D6">
                  <w:pPr>
                    <w:widowControl/>
                    <w:jc w:val="center"/>
                    <w:textAlignment w:val="center"/>
                    <w:rPr>
                      <w:rFonts w:hint="eastAsia"/>
                      <w:color w:val="auto"/>
                      <w:szCs w:val="21"/>
                      <w:lang w:val="en-US" w:eastAsia="zh-CN"/>
                    </w:rPr>
                  </w:pPr>
                  <w:r>
                    <w:rPr>
                      <w:rFonts w:hint="eastAsia"/>
                      <w:color w:val="auto"/>
                      <w:szCs w:val="21"/>
                      <w:lang w:val="en-US" w:eastAsia="zh-CN"/>
                    </w:rPr>
                    <w:t>25.3</w:t>
                  </w:r>
                </w:p>
              </w:tc>
              <w:tc>
                <w:tcPr>
                  <w:tcW w:w="986" w:type="dxa"/>
                  <w:vAlign w:val="center"/>
                </w:tcPr>
                <w:p w14:paraId="7508CE85">
                  <w:pPr>
                    <w:widowControl/>
                    <w:jc w:val="center"/>
                    <w:textAlignment w:val="center"/>
                    <w:rPr>
                      <w:rFonts w:hint="eastAsia"/>
                      <w:color w:val="auto"/>
                      <w:szCs w:val="21"/>
                      <w:lang w:val="en-US" w:eastAsia="zh-CN"/>
                    </w:rPr>
                  </w:pPr>
                  <w:r>
                    <w:rPr>
                      <w:rFonts w:hint="eastAsia"/>
                      <w:color w:val="auto"/>
                      <w:szCs w:val="21"/>
                      <w:lang w:val="en-US" w:eastAsia="zh-CN"/>
                    </w:rPr>
                    <w:t>0.036</w:t>
                  </w:r>
                </w:p>
              </w:tc>
              <w:tc>
                <w:tcPr>
                  <w:tcW w:w="986" w:type="dxa"/>
                  <w:vAlign w:val="center"/>
                </w:tcPr>
                <w:p w14:paraId="11CCF9EF">
                  <w:pPr>
                    <w:widowControl/>
                    <w:jc w:val="center"/>
                    <w:textAlignment w:val="center"/>
                    <w:rPr>
                      <w:rFonts w:hint="eastAsia"/>
                      <w:color w:val="auto"/>
                      <w:szCs w:val="21"/>
                      <w:lang w:val="en-US" w:eastAsia="zh-CN"/>
                    </w:rPr>
                  </w:pPr>
                  <w:r>
                    <w:rPr>
                      <w:rFonts w:hint="eastAsia"/>
                      <w:color w:val="auto"/>
                      <w:szCs w:val="21"/>
                      <w:lang w:val="en-US" w:eastAsia="zh-CN"/>
                    </w:rPr>
                    <w:t>4.860</w:t>
                  </w:r>
                </w:p>
              </w:tc>
              <w:tc>
                <w:tcPr>
                  <w:tcW w:w="986" w:type="dxa"/>
                  <w:vAlign w:val="center"/>
                </w:tcPr>
                <w:p w14:paraId="10F51FD9">
                  <w:pPr>
                    <w:widowControl/>
                    <w:jc w:val="center"/>
                    <w:textAlignment w:val="center"/>
                    <w:rPr>
                      <w:rFonts w:hint="eastAsia"/>
                      <w:color w:val="auto"/>
                      <w:szCs w:val="21"/>
                      <w:lang w:val="en-US" w:eastAsia="zh-CN"/>
                    </w:rPr>
                  </w:pPr>
                  <w:r>
                    <w:rPr>
                      <w:rFonts w:hint="eastAsia"/>
                      <w:color w:val="auto"/>
                      <w:szCs w:val="21"/>
                      <w:lang w:val="en-US" w:eastAsia="zh-CN"/>
                    </w:rPr>
                    <w:t>0.019</w:t>
                  </w:r>
                </w:p>
              </w:tc>
              <w:tc>
                <w:tcPr>
                  <w:tcW w:w="986" w:type="dxa"/>
                  <w:vAlign w:val="center"/>
                </w:tcPr>
                <w:p w14:paraId="032C0F76">
                  <w:pPr>
                    <w:widowControl/>
                    <w:jc w:val="center"/>
                    <w:textAlignment w:val="center"/>
                    <w:rPr>
                      <w:rFonts w:hint="eastAsia"/>
                      <w:color w:val="auto"/>
                      <w:szCs w:val="21"/>
                      <w:lang w:val="en-US" w:eastAsia="zh-CN"/>
                    </w:rPr>
                  </w:pPr>
                  <w:r>
                    <w:rPr>
                      <w:rFonts w:hint="eastAsia"/>
                      <w:color w:val="auto"/>
                      <w:szCs w:val="21"/>
                      <w:lang w:val="en-US" w:eastAsia="zh-CN"/>
                    </w:rPr>
                    <w:t>1109.96</w:t>
                  </w:r>
                </w:p>
              </w:tc>
              <w:tc>
                <w:tcPr>
                  <w:tcW w:w="986" w:type="dxa"/>
                  <w:gridSpan w:val="2"/>
                  <w:vAlign w:val="center"/>
                </w:tcPr>
                <w:p w14:paraId="41021D43">
                  <w:pPr>
                    <w:widowControl/>
                    <w:jc w:val="center"/>
                    <w:textAlignment w:val="center"/>
                    <w:rPr>
                      <w:rFonts w:hint="eastAsia"/>
                      <w:color w:val="auto"/>
                      <w:szCs w:val="21"/>
                      <w:lang w:val="en-US" w:eastAsia="zh-CN"/>
                    </w:rPr>
                  </w:pPr>
                  <w:r>
                    <w:rPr>
                      <w:rFonts w:hint="eastAsia"/>
                      <w:color w:val="auto"/>
                      <w:szCs w:val="21"/>
                      <w:lang w:val="en-US" w:eastAsia="zh-CN"/>
                    </w:rPr>
                    <w:t>24.90</w:t>
                  </w:r>
                </w:p>
              </w:tc>
            </w:tr>
            <w:tr w14:paraId="3353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602CD33B">
                  <w:pPr>
                    <w:widowControl/>
                    <w:jc w:val="center"/>
                    <w:textAlignment w:val="center"/>
                    <w:rPr>
                      <w:rFonts w:hint="default"/>
                      <w:color w:val="auto"/>
                      <w:szCs w:val="21"/>
                      <w:lang w:val="en-US" w:eastAsia="zh-CN"/>
                    </w:rPr>
                  </w:pPr>
                  <w:r>
                    <w:rPr>
                      <w:rFonts w:hint="eastAsia"/>
                      <w:color w:val="auto"/>
                      <w:szCs w:val="21"/>
                      <w:lang w:val="en-US" w:eastAsia="zh-CN"/>
                    </w:rPr>
                    <w:t>5</w:t>
                  </w:r>
                </w:p>
              </w:tc>
              <w:tc>
                <w:tcPr>
                  <w:tcW w:w="1500" w:type="dxa"/>
                  <w:gridSpan w:val="2"/>
                  <w:vAlign w:val="center"/>
                </w:tcPr>
                <w:p w14:paraId="5D3CBD65">
                  <w:pPr>
                    <w:widowControl/>
                    <w:jc w:val="center"/>
                    <w:textAlignment w:val="center"/>
                    <w:rPr>
                      <w:rFonts w:hint="eastAsia"/>
                      <w:color w:val="auto"/>
                      <w:szCs w:val="21"/>
                      <w:lang w:val="en-US" w:eastAsia="zh-CN"/>
                    </w:rPr>
                  </w:pPr>
                  <w:r>
                    <w:rPr>
                      <w:rFonts w:hint="eastAsia"/>
                      <w:color w:val="auto"/>
                      <w:szCs w:val="21"/>
                      <w:lang w:val="en-US" w:eastAsia="zh-CN"/>
                    </w:rPr>
                    <w:t>2026-04-20 11</w:t>
                  </w:r>
                </w:p>
              </w:tc>
              <w:tc>
                <w:tcPr>
                  <w:tcW w:w="1068" w:type="dxa"/>
                  <w:vAlign w:val="center"/>
                </w:tcPr>
                <w:p w14:paraId="3433C4BC">
                  <w:pPr>
                    <w:widowControl/>
                    <w:jc w:val="center"/>
                    <w:textAlignment w:val="center"/>
                    <w:rPr>
                      <w:rFonts w:hint="eastAsia"/>
                      <w:color w:val="auto"/>
                      <w:szCs w:val="21"/>
                      <w:lang w:val="en-US" w:eastAsia="zh-CN"/>
                    </w:rPr>
                  </w:pPr>
                  <w:r>
                    <w:rPr>
                      <w:rFonts w:hint="eastAsia"/>
                      <w:color w:val="auto"/>
                      <w:szCs w:val="21"/>
                      <w:lang w:val="en-US" w:eastAsia="zh-CN"/>
                    </w:rPr>
                    <w:t>6.87~6.91</w:t>
                  </w:r>
                </w:p>
              </w:tc>
              <w:tc>
                <w:tcPr>
                  <w:tcW w:w="904" w:type="dxa"/>
                  <w:vAlign w:val="center"/>
                </w:tcPr>
                <w:p w14:paraId="0A2121B3">
                  <w:pPr>
                    <w:widowControl/>
                    <w:jc w:val="center"/>
                    <w:textAlignment w:val="center"/>
                    <w:rPr>
                      <w:rFonts w:hint="eastAsia"/>
                      <w:color w:val="auto"/>
                      <w:szCs w:val="21"/>
                      <w:lang w:val="en-US" w:eastAsia="zh-CN"/>
                    </w:rPr>
                  </w:pPr>
                  <w:r>
                    <w:rPr>
                      <w:rFonts w:hint="eastAsia"/>
                      <w:color w:val="auto"/>
                      <w:szCs w:val="21"/>
                      <w:lang w:val="en-US" w:eastAsia="zh-CN"/>
                    </w:rPr>
                    <w:t>26.4</w:t>
                  </w:r>
                </w:p>
              </w:tc>
              <w:tc>
                <w:tcPr>
                  <w:tcW w:w="986" w:type="dxa"/>
                  <w:vAlign w:val="center"/>
                </w:tcPr>
                <w:p w14:paraId="1B320C61">
                  <w:pPr>
                    <w:widowControl/>
                    <w:jc w:val="center"/>
                    <w:textAlignment w:val="center"/>
                    <w:rPr>
                      <w:rFonts w:hint="eastAsia"/>
                      <w:color w:val="auto"/>
                      <w:szCs w:val="21"/>
                      <w:lang w:val="en-US" w:eastAsia="zh-CN"/>
                    </w:rPr>
                  </w:pPr>
                  <w:r>
                    <w:rPr>
                      <w:rFonts w:hint="eastAsia"/>
                      <w:color w:val="auto"/>
                      <w:szCs w:val="21"/>
                      <w:lang w:val="en-US" w:eastAsia="zh-CN"/>
                    </w:rPr>
                    <w:t>0.050</w:t>
                  </w:r>
                </w:p>
              </w:tc>
              <w:tc>
                <w:tcPr>
                  <w:tcW w:w="986" w:type="dxa"/>
                  <w:vAlign w:val="center"/>
                </w:tcPr>
                <w:p w14:paraId="67B64DDB">
                  <w:pPr>
                    <w:widowControl/>
                    <w:jc w:val="center"/>
                    <w:textAlignment w:val="center"/>
                    <w:rPr>
                      <w:rFonts w:hint="eastAsia"/>
                      <w:color w:val="auto"/>
                      <w:szCs w:val="21"/>
                      <w:lang w:val="en-US" w:eastAsia="zh-CN"/>
                    </w:rPr>
                  </w:pPr>
                  <w:r>
                    <w:rPr>
                      <w:rFonts w:hint="eastAsia"/>
                      <w:color w:val="auto"/>
                      <w:szCs w:val="21"/>
                      <w:lang w:val="en-US" w:eastAsia="zh-CN"/>
                    </w:rPr>
                    <w:t>5.135</w:t>
                  </w:r>
                </w:p>
              </w:tc>
              <w:tc>
                <w:tcPr>
                  <w:tcW w:w="986" w:type="dxa"/>
                  <w:vAlign w:val="center"/>
                </w:tcPr>
                <w:p w14:paraId="1CF66C97">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08EE2065">
                  <w:pPr>
                    <w:widowControl/>
                    <w:jc w:val="center"/>
                    <w:textAlignment w:val="center"/>
                    <w:rPr>
                      <w:rFonts w:hint="eastAsia"/>
                      <w:color w:val="auto"/>
                      <w:szCs w:val="21"/>
                      <w:lang w:val="en-US" w:eastAsia="zh-CN"/>
                    </w:rPr>
                  </w:pPr>
                  <w:r>
                    <w:rPr>
                      <w:rFonts w:hint="eastAsia"/>
                      <w:color w:val="auto"/>
                      <w:szCs w:val="21"/>
                      <w:lang w:val="en-US" w:eastAsia="zh-CN"/>
                    </w:rPr>
                    <w:t>1340.27</w:t>
                  </w:r>
                </w:p>
              </w:tc>
              <w:tc>
                <w:tcPr>
                  <w:tcW w:w="986" w:type="dxa"/>
                  <w:gridSpan w:val="2"/>
                  <w:vAlign w:val="center"/>
                </w:tcPr>
                <w:p w14:paraId="15CAD8E3">
                  <w:pPr>
                    <w:widowControl/>
                    <w:jc w:val="center"/>
                    <w:textAlignment w:val="center"/>
                    <w:rPr>
                      <w:rFonts w:hint="eastAsia"/>
                      <w:color w:val="auto"/>
                      <w:szCs w:val="21"/>
                      <w:lang w:val="en-US" w:eastAsia="zh-CN"/>
                    </w:rPr>
                  </w:pPr>
                  <w:r>
                    <w:rPr>
                      <w:rFonts w:hint="eastAsia"/>
                      <w:color w:val="auto"/>
                      <w:szCs w:val="21"/>
                      <w:lang w:val="en-US" w:eastAsia="zh-CN"/>
                    </w:rPr>
                    <w:t>24.60</w:t>
                  </w:r>
                </w:p>
              </w:tc>
            </w:tr>
            <w:tr w14:paraId="29F3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6E1733AC">
                  <w:pPr>
                    <w:widowControl/>
                    <w:jc w:val="center"/>
                    <w:textAlignment w:val="center"/>
                    <w:rPr>
                      <w:rFonts w:hint="default"/>
                      <w:color w:val="auto"/>
                      <w:szCs w:val="21"/>
                      <w:lang w:val="en-US" w:eastAsia="zh-CN"/>
                    </w:rPr>
                  </w:pPr>
                  <w:r>
                    <w:rPr>
                      <w:rFonts w:hint="eastAsia"/>
                      <w:color w:val="auto"/>
                      <w:szCs w:val="21"/>
                      <w:lang w:val="en-US" w:eastAsia="zh-CN"/>
                    </w:rPr>
                    <w:t>6</w:t>
                  </w:r>
                </w:p>
              </w:tc>
              <w:tc>
                <w:tcPr>
                  <w:tcW w:w="1500" w:type="dxa"/>
                  <w:gridSpan w:val="2"/>
                  <w:vAlign w:val="center"/>
                </w:tcPr>
                <w:p w14:paraId="2DEBE4DA">
                  <w:pPr>
                    <w:widowControl/>
                    <w:jc w:val="center"/>
                    <w:textAlignment w:val="center"/>
                    <w:rPr>
                      <w:rFonts w:hint="eastAsia"/>
                      <w:color w:val="auto"/>
                      <w:szCs w:val="21"/>
                      <w:lang w:val="en-US" w:eastAsia="zh-CN"/>
                    </w:rPr>
                  </w:pPr>
                  <w:r>
                    <w:rPr>
                      <w:rFonts w:hint="eastAsia"/>
                      <w:color w:val="auto"/>
                      <w:szCs w:val="21"/>
                      <w:lang w:val="en-US" w:eastAsia="zh-CN"/>
                    </w:rPr>
                    <w:t>2026-04-20 10</w:t>
                  </w:r>
                </w:p>
              </w:tc>
              <w:tc>
                <w:tcPr>
                  <w:tcW w:w="1068" w:type="dxa"/>
                  <w:vAlign w:val="center"/>
                </w:tcPr>
                <w:p w14:paraId="2BDCABB9">
                  <w:pPr>
                    <w:widowControl/>
                    <w:jc w:val="center"/>
                    <w:textAlignment w:val="center"/>
                    <w:rPr>
                      <w:rFonts w:hint="eastAsia"/>
                      <w:color w:val="auto"/>
                      <w:szCs w:val="21"/>
                      <w:lang w:val="en-US" w:eastAsia="zh-CN"/>
                    </w:rPr>
                  </w:pPr>
                  <w:r>
                    <w:rPr>
                      <w:rFonts w:hint="eastAsia"/>
                      <w:color w:val="auto"/>
                      <w:szCs w:val="21"/>
                      <w:lang w:val="en-US" w:eastAsia="zh-CN"/>
                    </w:rPr>
                    <w:t>6.83~6.88</w:t>
                  </w:r>
                </w:p>
              </w:tc>
              <w:tc>
                <w:tcPr>
                  <w:tcW w:w="904" w:type="dxa"/>
                  <w:vAlign w:val="center"/>
                </w:tcPr>
                <w:p w14:paraId="3B0ABC46">
                  <w:pPr>
                    <w:widowControl/>
                    <w:jc w:val="center"/>
                    <w:textAlignment w:val="center"/>
                    <w:rPr>
                      <w:rFonts w:hint="eastAsia"/>
                      <w:color w:val="auto"/>
                      <w:szCs w:val="21"/>
                      <w:lang w:val="en-US" w:eastAsia="zh-CN"/>
                    </w:rPr>
                  </w:pPr>
                  <w:r>
                    <w:rPr>
                      <w:rFonts w:hint="eastAsia"/>
                      <w:color w:val="auto"/>
                      <w:szCs w:val="21"/>
                      <w:lang w:val="en-US" w:eastAsia="zh-CN"/>
                    </w:rPr>
                    <w:t>26.5</w:t>
                  </w:r>
                </w:p>
              </w:tc>
              <w:tc>
                <w:tcPr>
                  <w:tcW w:w="986" w:type="dxa"/>
                  <w:vAlign w:val="center"/>
                </w:tcPr>
                <w:p w14:paraId="01F06131">
                  <w:pPr>
                    <w:widowControl/>
                    <w:jc w:val="center"/>
                    <w:textAlignment w:val="center"/>
                    <w:rPr>
                      <w:rFonts w:hint="eastAsia"/>
                      <w:color w:val="auto"/>
                      <w:szCs w:val="21"/>
                      <w:lang w:val="en-US" w:eastAsia="zh-CN"/>
                    </w:rPr>
                  </w:pPr>
                  <w:r>
                    <w:rPr>
                      <w:rFonts w:hint="eastAsia"/>
                      <w:color w:val="auto"/>
                      <w:szCs w:val="21"/>
                      <w:lang w:val="en-US" w:eastAsia="zh-CN"/>
                    </w:rPr>
                    <w:t>0.053</w:t>
                  </w:r>
                </w:p>
              </w:tc>
              <w:tc>
                <w:tcPr>
                  <w:tcW w:w="986" w:type="dxa"/>
                  <w:vAlign w:val="center"/>
                </w:tcPr>
                <w:p w14:paraId="2F287059">
                  <w:pPr>
                    <w:widowControl/>
                    <w:jc w:val="center"/>
                    <w:textAlignment w:val="center"/>
                    <w:rPr>
                      <w:rFonts w:hint="eastAsia"/>
                      <w:color w:val="auto"/>
                      <w:szCs w:val="21"/>
                      <w:lang w:val="en-US" w:eastAsia="zh-CN"/>
                    </w:rPr>
                  </w:pPr>
                  <w:r>
                    <w:rPr>
                      <w:rFonts w:hint="eastAsia"/>
                      <w:color w:val="auto"/>
                      <w:szCs w:val="21"/>
                      <w:lang w:val="en-US" w:eastAsia="zh-CN"/>
                    </w:rPr>
                    <w:t>5.110</w:t>
                  </w:r>
                </w:p>
              </w:tc>
              <w:tc>
                <w:tcPr>
                  <w:tcW w:w="986" w:type="dxa"/>
                  <w:vAlign w:val="center"/>
                </w:tcPr>
                <w:p w14:paraId="2976F0A7">
                  <w:pPr>
                    <w:widowControl/>
                    <w:jc w:val="center"/>
                    <w:textAlignment w:val="center"/>
                    <w:rPr>
                      <w:rFonts w:hint="eastAsia"/>
                      <w:color w:val="auto"/>
                      <w:szCs w:val="21"/>
                      <w:lang w:val="en-US" w:eastAsia="zh-CN"/>
                    </w:rPr>
                  </w:pPr>
                  <w:r>
                    <w:rPr>
                      <w:rFonts w:hint="eastAsia"/>
                      <w:color w:val="auto"/>
                      <w:szCs w:val="21"/>
                      <w:lang w:val="en-US" w:eastAsia="zh-CN"/>
                    </w:rPr>
                    <w:t>0.022</w:t>
                  </w:r>
                </w:p>
              </w:tc>
              <w:tc>
                <w:tcPr>
                  <w:tcW w:w="986" w:type="dxa"/>
                  <w:vAlign w:val="center"/>
                </w:tcPr>
                <w:p w14:paraId="6C97985C">
                  <w:pPr>
                    <w:widowControl/>
                    <w:jc w:val="center"/>
                    <w:textAlignment w:val="center"/>
                    <w:rPr>
                      <w:rFonts w:hint="eastAsia"/>
                      <w:color w:val="auto"/>
                      <w:szCs w:val="21"/>
                      <w:lang w:val="en-US" w:eastAsia="zh-CN"/>
                    </w:rPr>
                  </w:pPr>
                  <w:r>
                    <w:rPr>
                      <w:rFonts w:hint="eastAsia"/>
                      <w:color w:val="auto"/>
                      <w:szCs w:val="21"/>
                      <w:lang w:val="en-US" w:eastAsia="zh-CN"/>
                    </w:rPr>
                    <w:t>1302.02</w:t>
                  </w:r>
                </w:p>
              </w:tc>
              <w:tc>
                <w:tcPr>
                  <w:tcW w:w="986" w:type="dxa"/>
                  <w:gridSpan w:val="2"/>
                  <w:vAlign w:val="center"/>
                </w:tcPr>
                <w:p w14:paraId="35CE1434">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1EA3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2ED80B18">
                  <w:pPr>
                    <w:widowControl/>
                    <w:jc w:val="center"/>
                    <w:textAlignment w:val="center"/>
                    <w:rPr>
                      <w:rFonts w:hint="default"/>
                      <w:color w:val="auto"/>
                      <w:szCs w:val="21"/>
                      <w:lang w:val="en-US" w:eastAsia="zh-CN"/>
                    </w:rPr>
                  </w:pPr>
                  <w:r>
                    <w:rPr>
                      <w:rFonts w:hint="eastAsia"/>
                      <w:color w:val="auto"/>
                      <w:szCs w:val="21"/>
                      <w:lang w:val="en-US" w:eastAsia="zh-CN"/>
                    </w:rPr>
                    <w:t>7</w:t>
                  </w:r>
                </w:p>
              </w:tc>
              <w:tc>
                <w:tcPr>
                  <w:tcW w:w="1500" w:type="dxa"/>
                  <w:gridSpan w:val="2"/>
                  <w:vAlign w:val="center"/>
                </w:tcPr>
                <w:p w14:paraId="1E7A8F5E">
                  <w:pPr>
                    <w:widowControl/>
                    <w:jc w:val="center"/>
                    <w:textAlignment w:val="center"/>
                    <w:rPr>
                      <w:rFonts w:hint="eastAsia"/>
                      <w:color w:val="auto"/>
                      <w:szCs w:val="21"/>
                      <w:lang w:val="en-US" w:eastAsia="zh-CN"/>
                    </w:rPr>
                  </w:pPr>
                  <w:r>
                    <w:rPr>
                      <w:rFonts w:hint="eastAsia"/>
                      <w:color w:val="auto"/>
                      <w:szCs w:val="21"/>
                      <w:lang w:val="en-US" w:eastAsia="zh-CN"/>
                    </w:rPr>
                    <w:t>2026-04-20 09</w:t>
                  </w:r>
                </w:p>
              </w:tc>
              <w:tc>
                <w:tcPr>
                  <w:tcW w:w="1068" w:type="dxa"/>
                  <w:vAlign w:val="center"/>
                </w:tcPr>
                <w:p w14:paraId="29B188B4">
                  <w:pPr>
                    <w:widowControl/>
                    <w:jc w:val="center"/>
                    <w:textAlignment w:val="center"/>
                    <w:rPr>
                      <w:rFonts w:hint="eastAsia"/>
                      <w:color w:val="auto"/>
                      <w:szCs w:val="21"/>
                      <w:lang w:val="en-US" w:eastAsia="zh-CN"/>
                    </w:rPr>
                  </w:pPr>
                  <w:r>
                    <w:rPr>
                      <w:rFonts w:hint="eastAsia"/>
                      <w:color w:val="auto"/>
                      <w:szCs w:val="21"/>
                      <w:lang w:val="en-US" w:eastAsia="zh-CN"/>
                    </w:rPr>
                    <w:t>6.71~6.83</w:t>
                  </w:r>
                </w:p>
              </w:tc>
              <w:tc>
                <w:tcPr>
                  <w:tcW w:w="904" w:type="dxa"/>
                  <w:vAlign w:val="center"/>
                </w:tcPr>
                <w:p w14:paraId="12E94116">
                  <w:pPr>
                    <w:widowControl/>
                    <w:jc w:val="center"/>
                    <w:textAlignment w:val="center"/>
                    <w:rPr>
                      <w:rFonts w:hint="eastAsia"/>
                      <w:color w:val="auto"/>
                      <w:szCs w:val="21"/>
                      <w:lang w:val="en-US" w:eastAsia="zh-CN"/>
                    </w:rPr>
                  </w:pPr>
                  <w:r>
                    <w:rPr>
                      <w:rFonts w:hint="eastAsia"/>
                      <w:color w:val="auto"/>
                      <w:szCs w:val="21"/>
                      <w:lang w:val="en-US" w:eastAsia="zh-CN"/>
                    </w:rPr>
                    <w:t>26.7</w:t>
                  </w:r>
                </w:p>
              </w:tc>
              <w:tc>
                <w:tcPr>
                  <w:tcW w:w="986" w:type="dxa"/>
                  <w:vAlign w:val="center"/>
                </w:tcPr>
                <w:p w14:paraId="12F0B4F5">
                  <w:pPr>
                    <w:widowControl/>
                    <w:jc w:val="center"/>
                    <w:textAlignment w:val="center"/>
                    <w:rPr>
                      <w:rFonts w:hint="eastAsia"/>
                      <w:color w:val="auto"/>
                      <w:szCs w:val="21"/>
                      <w:lang w:val="en-US" w:eastAsia="zh-CN"/>
                    </w:rPr>
                  </w:pPr>
                  <w:r>
                    <w:rPr>
                      <w:rFonts w:hint="eastAsia"/>
                      <w:color w:val="auto"/>
                      <w:szCs w:val="21"/>
                      <w:lang w:val="en-US" w:eastAsia="zh-CN"/>
                    </w:rPr>
                    <w:t>0.044</w:t>
                  </w:r>
                </w:p>
              </w:tc>
              <w:tc>
                <w:tcPr>
                  <w:tcW w:w="986" w:type="dxa"/>
                  <w:vAlign w:val="center"/>
                </w:tcPr>
                <w:p w14:paraId="7AE03285">
                  <w:pPr>
                    <w:widowControl/>
                    <w:jc w:val="center"/>
                    <w:textAlignment w:val="center"/>
                    <w:rPr>
                      <w:rFonts w:hint="eastAsia"/>
                      <w:color w:val="auto"/>
                      <w:szCs w:val="21"/>
                      <w:lang w:val="en-US" w:eastAsia="zh-CN"/>
                    </w:rPr>
                  </w:pPr>
                  <w:r>
                    <w:rPr>
                      <w:rFonts w:hint="eastAsia"/>
                      <w:color w:val="auto"/>
                      <w:szCs w:val="21"/>
                      <w:lang w:val="en-US" w:eastAsia="zh-CN"/>
                    </w:rPr>
                    <w:t>5.040</w:t>
                  </w:r>
                </w:p>
              </w:tc>
              <w:tc>
                <w:tcPr>
                  <w:tcW w:w="986" w:type="dxa"/>
                  <w:vAlign w:val="center"/>
                </w:tcPr>
                <w:p w14:paraId="56886F4C">
                  <w:pPr>
                    <w:widowControl/>
                    <w:jc w:val="center"/>
                    <w:textAlignment w:val="center"/>
                    <w:rPr>
                      <w:rFonts w:hint="eastAsia"/>
                      <w:color w:val="auto"/>
                      <w:szCs w:val="21"/>
                      <w:lang w:val="en-US" w:eastAsia="zh-CN"/>
                    </w:rPr>
                  </w:pPr>
                  <w:r>
                    <w:rPr>
                      <w:rFonts w:hint="eastAsia"/>
                      <w:color w:val="auto"/>
                      <w:szCs w:val="21"/>
                      <w:lang w:val="en-US" w:eastAsia="zh-CN"/>
                    </w:rPr>
                    <w:t>0.023</w:t>
                  </w:r>
                </w:p>
              </w:tc>
              <w:tc>
                <w:tcPr>
                  <w:tcW w:w="986" w:type="dxa"/>
                  <w:vAlign w:val="center"/>
                </w:tcPr>
                <w:p w14:paraId="224995E3">
                  <w:pPr>
                    <w:widowControl/>
                    <w:jc w:val="center"/>
                    <w:textAlignment w:val="center"/>
                    <w:rPr>
                      <w:rFonts w:hint="eastAsia"/>
                      <w:color w:val="auto"/>
                      <w:szCs w:val="21"/>
                      <w:lang w:val="en-US" w:eastAsia="zh-CN"/>
                    </w:rPr>
                  </w:pPr>
                  <w:r>
                    <w:rPr>
                      <w:rFonts w:hint="eastAsia"/>
                      <w:color w:val="auto"/>
                      <w:szCs w:val="21"/>
                      <w:lang w:val="en-US" w:eastAsia="zh-CN"/>
                    </w:rPr>
                    <w:t>1309.76</w:t>
                  </w:r>
                </w:p>
              </w:tc>
              <w:tc>
                <w:tcPr>
                  <w:tcW w:w="986" w:type="dxa"/>
                  <w:gridSpan w:val="2"/>
                  <w:vAlign w:val="center"/>
                </w:tcPr>
                <w:p w14:paraId="0655995F">
                  <w:pPr>
                    <w:widowControl/>
                    <w:jc w:val="center"/>
                    <w:textAlignment w:val="center"/>
                    <w:rPr>
                      <w:rFonts w:hint="eastAsia"/>
                      <w:color w:val="auto"/>
                      <w:szCs w:val="21"/>
                      <w:lang w:val="en-US" w:eastAsia="zh-CN"/>
                    </w:rPr>
                  </w:pPr>
                  <w:r>
                    <w:rPr>
                      <w:rFonts w:hint="eastAsia"/>
                      <w:color w:val="auto"/>
                      <w:szCs w:val="21"/>
                      <w:lang w:val="en-US" w:eastAsia="zh-CN"/>
                    </w:rPr>
                    <w:t>24.40</w:t>
                  </w:r>
                </w:p>
              </w:tc>
            </w:tr>
            <w:tr w14:paraId="745B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09D25F4E">
                  <w:pPr>
                    <w:widowControl/>
                    <w:jc w:val="center"/>
                    <w:textAlignment w:val="center"/>
                    <w:rPr>
                      <w:rFonts w:hint="eastAsia"/>
                      <w:color w:val="auto"/>
                      <w:szCs w:val="21"/>
                      <w:lang w:val="en-US" w:eastAsia="zh-CN"/>
                    </w:rPr>
                  </w:pPr>
                  <w:r>
                    <w:rPr>
                      <w:rFonts w:hint="eastAsia"/>
                      <w:color w:val="auto"/>
                      <w:szCs w:val="21"/>
                      <w:lang w:val="en-US" w:eastAsia="zh-CN"/>
                    </w:rPr>
                    <w:t>8</w:t>
                  </w:r>
                </w:p>
              </w:tc>
              <w:tc>
                <w:tcPr>
                  <w:tcW w:w="1500" w:type="dxa"/>
                  <w:gridSpan w:val="2"/>
                  <w:vAlign w:val="center"/>
                </w:tcPr>
                <w:p w14:paraId="1BD2FFE2">
                  <w:pPr>
                    <w:widowControl/>
                    <w:jc w:val="center"/>
                    <w:textAlignment w:val="center"/>
                    <w:rPr>
                      <w:rFonts w:hint="eastAsia"/>
                      <w:color w:val="auto"/>
                      <w:szCs w:val="21"/>
                      <w:lang w:val="en-US" w:eastAsia="zh-CN"/>
                    </w:rPr>
                  </w:pPr>
                  <w:r>
                    <w:rPr>
                      <w:rFonts w:hint="eastAsia"/>
                      <w:color w:val="auto"/>
                      <w:szCs w:val="21"/>
                      <w:lang w:val="en-US" w:eastAsia="zh-CN"/>
                    </w:rPr>
                    <w:t>2026-04-20 08</w:t>
                  </w:r>
                </w:p>
              </w:tc>
              <w:tc>
                <w:tcPr>
                  <w:tcW w:w="1068" w:type="dxa"/>
                  <w:vAlign w:val="center"/>
                </w:tcPr>
                <w:p w14:paraId="3A1B2490">
                  <w:pPr>
                    <w:widowControl/>
                    <w:jc w:val="center"/>
                    <w:textAlignment w:val="center"/>
                    <w:rPr>
                      <w:rFonts w:hint="eastAsia"/>
                      <w:color w:val="auto"/>
                      <w:szCs w:val="21"/>
                      <w:lang w:val="en-US" w:eastAsia="zh-CN"/>
                    </w:rPr>
                  </w:pPr>
                  <w:r>
                    <w:rPr>
                      <w:rFonts w:hint="eastAsia"/>
                      <w:color w:val="auto"/>
                      <w:szCs w:val="21"/>
                      <w:lang w:val="en-US" w:eastAsia="zh-CN"/>
                    </w:rPr>
                    <w:t>6.72~6.77</w:t>
                  </w:r>
                </w:p>
              </w:tc>
              <w:tc>
                <w:tcPr>
                  <w:tcW w:w="904" w:type="dxa"/>
                  <w:vAlign w:val="center"/>
                </w:tcPr>
                <w:p w14:paraId="74B38854">
                  <w:pPr>
                    <w:widowControl/>
                    <w:jc w:val="center"/>
                    <w:textAlignment w:val="center"/>
                    <w:rPr>
                      <w:rFonts w:hint="eastAsia"/>
                      <w:color w:val="auto"/>
                      <w:szCs w:val="21"/>
                      <w:lang w:val="en-US" w:eastAsia="zh-CN"/>
                    </w:rPr>
                  </w:pPr>
                  <w:r>
                    <w:rPr>
                      <w:rFonts w:hint="eastAsia"/>
                      <w:color w:val="auto"/>
                      <w:szCs w:val="21"/>
                      <w:lang w:val="en-US" w:eastAsia="zh-CN"/>
                    </w:rPr>
                    <w:t>26.6</w:t>
                  </w:r>
                </w:p>
              </w:tc>
              <w:tc>
                <w:tcPr>
                  <w:tcW w:w="986" w:type="dxa"/>
                  <w:vAlign w:val="center"/>
                </w:tcPr>
                <w:p w14:paraId="69C6FABA">
                  <w:pPr>
                    <w:widowControl/>
                    <w:jc w:val="center"/>
                    <w:textAlignment w:val="center"/>
                    <w:rPr>
                      <w:rFonts w:hint="eastAsia"/>
                      <w:color w:val="auto"/>
                      <w:szCs w:val="21"/>
                      <w:lang w:val="en-US" w:eastAsia="zh-CN"/>
                    </w:rPr>
                  </w:pPr>
                  <w:r>
                    <w:rPr>
                      <w:rFonts w:hint="eastAsia"/>
                      <w:color w:val="auto"/>
                      <w:szCs w:val="21"/>
                      <w:lang w:val="en-US" w:eastAsia="zh-CN"/>
                    </w:rPr>
                    <w:t>0.043</w:t>
                  </w:r>
                </w:p>
              </w:tc>
              <w:tc>
                <w:tcPr>
                  <w:tcW w:w="986" w:type="dxa"/>
                  <w:vAlign w:val="center"/>
                </w:tcPr>
                <w:p w14:paraId="3ABD3BDA">
                  <w:pPr>
                    <w:widowControl/>
                    <w:jc w:val="center"/>
                    <w:textAlignment w:val="center"/>
                    <w:rPr>
                      <w:rFonts w:hint="eastAsia"/>
                      <w:color w:val="auto"/>
                      <w:szCs w:val="21"/>
                      <w:lang w:val="en-US" w:eastAsia="zh-CN"/>
                    </w:rPr>
                  </w:pPr>
                  <w:r>
                    <w:rPr>
                      <w:rFonts w:hint="eastAsia"/>
                      <w:color w:val="auto"/>
                      <w:szCs w:val="21"/>
                      <w:lang w:val="en-US" w:eastAsia="zh-CN"/>
                    </w:rPr>
                    <w:t>4.836</w:t>
                  </w:r>
                </w:p>
              </w:tc>
              <w:tc>
                <w:tcPr>
                  <w:tcW w:w="986" w:type="dxa"/>
                  <w:vAlign w:val="center"/>
                </w:tcPr>
                <w:p w14:paraId="648F3069">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0A1C99B4">
                  <w:pPr>
                    <w:widowControl/>
                    <w:jc w:val="center"/>
                    <w:textAlignment w:val="center"/>
                    <w:rPr>
                      <w:rFonts w:hint="eastAsia"/>
                      <w:color w:val="auto"/>
                      <w:szCs w:val="21"/>
                      <w:lang w:val="en-US" w:eastAsia="zh-CN"/>
                    </w:rPr>
                  </w:pPr>
                  <w:r>
                    <w:rPr>
                      <w:rFonts w:hint="eastAsia"/>
                      <w:color w:val="auto"/>
                      <w:szCs w:val="21"/>
                      <w:lang w:val="en-US" w:eastAsia="zh-CN"/>
                    </w:rPr>
                    <w:t>1323.88</w:t>
                  </w:r>
                </w:p>
              </w:tc>
              <w:tc>
                <w:tcPr>
                  <w:tcW w:w="986" w:type="dxa"/>
                  <w:gridSpan w:val="2"/>
                  <w:vAlign w:val="center"/>
                </w:tcPr>
                <w:p w14:paraId="709B65C4">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2BFA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3016D7F4">
                  <w:pPr>
                    <w:widowControl/>
                    <w:jc w:val="center"/>
                    <w:textAlignment w:val="center"/>
                    <w:rPr>
                      <w:rFonts w:hint="eastAsia"/>
                      <w:color w:val="auto"/>
                      <w:szCs w:val="21"/>
                      <w:lang w:val="en-US" w:eastAsia="zh-CN"/>
                    </w:rPr>
                  </w:pPr>
                  <w:r>
                    <w:rPr>
                      <w:rFonts w:hint="eastAsia"/>
                      <w:color w:val="auto"/>
                      <w:szCs w:val="21"/>
                      <w:lang w:val="en-US" w:eastAsia="zh-CN"/>
                    </w:rPr>
                    <w:t>9</w:t>
                  </w:r>
                </w:p>
              </w:tc>
              <w:tc>
                <w:tcPr>
                  <w:tcW w:w="1500" w:type="dxa"/>
                  <w:gridSpan w:val="2"/>
                  <w:vAlign w:val="center"/>
                </w:tcPr>
                <w:p w14:paraId="19B9B815">
                  <w:pPr>
                    <w:widowControl/>
                    <w:jc w:val="center"/>
                    <w:textAlignment w:val="center"/>
                    <w:rPr>
                      <w:rFonts w:hint="eastAsia"/>
                      <w:color w:val="auto"/>
                      <w:szCs w:val="21"/>
                      <w:lang w:val="en-US" w:eastAsia="zh-CN"/>
                    </w:rPr>
                  </w:pPr>
                  <w:r>
                    <w:rPr>
                      <w:rFonts w:hint="eastAsia"/>
                      <w:color w:val="auto"/>
                      <w:szCs w:val="21"/>
                      <w:lang w:val="en-US" w:eastAsia="zh-CN"/>
                    </w:rPr>
                    <w:t>2026-04-20 07</w:t>
                  </w:r>
                </w:p>
              </w:tc>
              <w:tc>
                <w:tcPr>
                  <w:tcW w:w="1068" w:type="dxa"/>
                  <w:vAlign w:val="center"/>
                </w:tcPr>
                <w:p w14:paraId="40ABAD17">
                  <w:pPr>
                    <w:widowControl/>
                    <w:jc w:val="center"/>
                    <w:textAlignment w:val="center"/>
                    <w:rPr>
                      <w:rFonts w:hint="eastAsia"/>
                      <w:color w:val="auto"/>
                      <w:szCs w:val="21"/>
                      <w:lang w:val="en-US" w:eastAsia="zh-CN"/>
                    </w:rPr>
                  </w:pPr>
                  <w:r>
                    <w:rPr>
                      <w:rFonts w:hint="eastAsia"/>
                      <w:color w:val="auto"/>
                      <w:szCs w:val="21"/>
                      <w:lang w:val="en-US" w:eastAsia="zh-CN"/>
                    </w:rPr>
                    <w:t>6.71~6.74</w:t>
                  </w:r>
                </w:p>
              </w:tc>
              <w:tc>
                <w:tcPr>
                  <w:tcW w:w="904" w:type="dxa"/>
                  <w:vAlign w:val="center"/>
                </w:tcPr>
                <w:p w14:paraId="6E7891D7">
                  <w:pPr>
                    <w:widowControl/>
                    <w:jc w:val="center"/>
                    <w:textAlignment w:val="center"/>
                    <w:rPr>
                      <w:rFonts w:hint="eastAsia"/>
                      <w:color w:val="auto"/>
                      <w:szCs w:val="21"/>
                      <w:lang w:val="en-US" w:eastAsia="zh-CN"/>
                    </w:rPr>
                  </w:pPr>
                  <w:r>
                    <w:rPr>
                      <w:rFonts w:hint="eastAsia"/>
                      <w:color w:val="auto"/>
                      <w:szCs w:val="21"/>
                      <w:lang w:val="en-US" w:eastAsia="zh-CN"/>
                    </w:rPr>
                    <w:t>26.4</w:t>
                  </w:r>
                </w:p>
              </w:tc>
              <w:tc>
                <w:tcPr>
                  <w:tcW w:w="986" w:type="dxa"/>
                  <w:vAlign w:val="center"/>
                </w:tcPr>
                <w:p w14:paraId="0031F4B1">
                  <w:pPr>
                    <w:widowControl/>
                    <w:jc w:val="center"/>
                    <w:textAlignment w:val="center"/>
                    <w:rPr>
                      <w:rFonts w:hint="eastAsia"/>
                      <w:color w:val="auto"/>
                      <w:szCs w:val="21"/>
                      <w:lang w:val="en-US" w:eastAsia="zh-CN"/>
                    </w:rPr>
                  </w:pPr>
                  <w:r>
                    <w:rPr>
                      <w:rFonts w:hint="eastAsia"/>
                      <w:color w:val="auto"/>
                      <w:szCs w:val="21"/>
                      <w:lang w:val="en-US" w:eastAsia="zh-CN"/>
                    </w:rPr>
                    <w:t>0.040</w:t>
                  </w:r>
                </w:p>
              </w:tc>
              <w:tc>
                <w:tcPr>
                  <w:tcW w:w="986" w:type="dxa"/>
                  <w:vAlign w:val="center"/>
                </w:tcPr>
                <w:p w14:paraId="7490058D">
                  <w:pPr>
                    <w:widowControl/>
                    <w:jc w:val="center"/>
                    <w:textAlignment w:val="center"/>
                    <w:rPr>
                      <w:rFonts w:hint="eastAsia"/>
                      <w:color w:val="auto"/>
                      <w:szCs w:val="21"/>
                      <w:lang w:val="en-US" w:eastAsia="zh-CN"/>
                    </w:rPr>
                  </w:pPr>
                  <w:r>
                    <w:rPr>
                      <w:rFonts w:hint="eastAsia"/>
                      <w:color w:val="auto"/>
                      <w:szCs w:val="21"/>
                      <w:lang w:val="en-US" w:eastAsia="zh-CN"/>
                    </w:rPr>
                    <w:t>4.536</w:t>
                  </w:r>
                </w:p>
              </w:tc>
              <w:tc>
                <w:tcPr>
                  <w:tcW w:w="986" w:type="dxa"/>
                  <w:vAlign w:val="center"/>
                </w:tcPr>
                <w:p w14:paraId="63EEBA0E">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4AF50A26">
                  <w:pPr>
                    <w:widowControl/>
                    <w:jc w:val="center"/>
                    <w:textAlignment w:val="center"/>
                    <w:rPr>
                      <w:rFonts w:hint="eastAsia"/>
                      <w:color w:val="auto"/>
                      <w:szCs w:val="21"/>
                      <w:lang w:val="en-US" w:eastAsia="zh-CN"/>
                    </w:rPr>
                  </w:pPr>
                  <w:r>
                    <w:rPr>
                      <w:rFonts w:hint="eastAsia"/>
                      <w:color w:val="auto"/>
                      <w:szCs w:val="21"/>
                      <w:lang w:val="en-US" w:eastAsia="zh-CN"/>
                    </w:rPr>
                    <w:t>1329.10</w:t>
                  </w:r>
                </w:p>
              </w:tc>
              <w:tc>
                <w:tcPr>
                  <w:tcW w:w="986" w:type="dxa"/>
                  <w:gridSpan w:val="2"/>
                  <w:vAlign w:val="center"/>
                </w:tcPr>
                <w:p w14:paraId="57368C48">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538E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3E9CB7EC">
                  <w:pPr>
                    <w:widowControl/>
                    <w:jc w:val="center"/>
                    <w:textAlignment w:val="center"/>
                    <w:rPr>
                      <w:rFonts w:hint="eastAsia"/>
                      <w:color w:val="auto"/>
                      <w:szCs w:val="21"/>
                      <w:lang w:val="en-US" w:eastAsia="zh-CN"/>
                    </w:rPr>
                  </w:pPr>
                  <w:r>
                    <w:rPr>
                      <w:rFonts w:hint="eastAsia"/>
                      <w:color w:val="auto"/>
                      <w:szCs w:val="21"/>
                      <w:lang w:val="en-US" w:eastAsia="zh-CN"/>
                    </w:rPr>
                    <w:t>10</w:t>
                  </w:r>
                </w:p>
              </w:tc>
              <w:tc>
                <w:tcPr>
                  <w:tcW w:w="1500" w:type="dxa"/>
                  <w:gridSpan w:val="2"/>
                  <w:vAlign w:val="center"/>
                </w:tcPr>
                <w:p w14:paraId="15435665">
                  <w:pPr>
                    <w:widowControl/>
                    <w:jc w:val="center"/>
                    <w:textAlignment w:val="center"/>
                    <w:rPr>
                      <w:rFonts w:hint="eastAsia"/>
                      <w:color w:val="auto"/>
                      <w:szCs w:val="21"/>
                      <w:lang w:val="en-US" w:eastAsia="zh-CN"/>
                    </w:rPr>
                  </w:pPr>
                  <w:r>
                    <w:rPr>
                      <w:rFonts w:hint="eastAsia"/>
                      <w:color w:val="auto"/>
                      <w:szCs w:val="21"/>
                      <w:lang w:val="en-US" w:eastAsia="zh-CN"/>
                    </w:rPr>
                    <w:t>2026-04-20 06</w:t>
                  </w:r>
                </w:p>
              </w:tc>
              <w:tc>
                <w:tcPr>
                  <w:tcW w:w="1068" w:type="dxa"/>
                  <w:vAlign w:val="center"/>
                </w:tcPr>
                <w:p w14:paraId="061ABF4F">
                  <w:pPr>
                    <w:widowControl/>
                    <w:jc w:val="center"/>
                    <w:textAlignment w:val="center"/>
                    <w:rPr>
                      <w:rFonts w:hint="eastAsia"/>
                      <w:color w:val="auto"/>
                      <w:szCs w:val="21"/>
                      <w:lang w:val="en-US" w:eastAsia="zh-CN"/>
                    </w:rPr>
                  </w:pPr>
                  <w:r>
                    <w:rPr>
                      <w:rFonts w:hint="eastAsia"/>
                      <w:color w:val="auto"/>
                      <w:szCs w:val="21"/>
                      <w:lang w:val="en-US" w:eastAsia="zh-CN"/>
                    </w:rPr>
                    <w:t>6.72~6.76</w:t>
                  </w:r>
                </w:p>
              </w:tc>
              <w:tc>
                <w:tcPr>
                  <w:tcW w:w="904" w:type="dxa"/>
                  <w:vAlign w:val="center"/>
                </w:tcPr>
                <w:p w14:paraId="4BE5FA9C">
                  <w:pPr>
                    <w:widowControl/>
                    <w:jc w:val="center"/>
                    <w:textAlignment w:val="center"/>
                    <w:rPr>
                      <w:rFonts w:hint="eastAsia"/>
                      <w:color w:val="auto"/>
                      <w:szCs w:val="21"/>
                      <w:lang w:val="en-US" w:eastAsia="zh-CN"/>
                    </w:rPr>
                  </w:pPr>
                  <w:r>
                    <w:rPr>
                      <w:rFonts w:hint="eastAsia"/>
                      <w:color w:val="auto"/>
                      <w:szCs w:val="21"/>
                      <w:lang w:val="en-US" w:eastAsia="zh-CN"/>
                    </w:rPr>
                    <w:t>26.2</w:t>
                  </w:r>
                </w:p>
              </w:tc>
              <w:tc>
                <w:tcPr>
                  <w:tcW w:w="986" w:type="dxa"/>
                  <w:vAlign w:val="center"/>
                </w:tcPr>
                <w:p w14:paraId="65E6A9D7">
                  <w:pPr>
                    <w:widowControl/>
                    <w:jc w:val="center"/>
                    <w:textAlignment w:val="center"/>
                    <w:rPr>
                      <w:rFonts w:hint="eastAsia"/>
                      <w:color w:val="auto"/>
                      <w:szCs w:val="21"/>
                      <w:lang w:val="en-US" w:eastAsia="zh-CN"/>
                    </w:rPr>
                  </w:pPr>
                  <w:r>
                    <w:rPr>
                      <w:rFonts w:hint="eastAsia"/>
                      <w:color w:val="auto"/>
                      <w:szCs w:val="21"/>
                      <w:lang w:val="en-US" w:eastAsia="zh-CN"/>
                    </w:rPr>
                    <w:t>0.040</w:t>
                  </w:r>
                </w:p>
              </w:tc>
              <w:tc>
                <w:tcPr>
                  <w:tcW w:w="986" w:type="dxa"/>
                  <w:vAlign w:val="center"/>
                </w:tcPr>
                <w:p w14:paraId="65E8A48D">
                  <w:pPr>
                    <w:widowControl/>
                    <w:jc w:val="center"/>
                    <w:textAlignment w:val="center"/>
                    <w:rPr>
                      <w:rFonts w:hint="eastAsia"/>
                      <w:color w:val="auto"/>
                      <w:szCs w:val="21"/>
                      <w:lang w:val="en-US" w:eastAsia="zh-CN"/>
                    </w:rPr>
                  </w:pPr>
                  <w:r>
                    <w:rPr>
                      <w:rFonts w:hint="eastAsia"/>
                      <w:color w:val="auto"/>
                      <w:szCs w:val="21"/>
                      <w:lang w:val="en-US" w:eastAsia="zh-CN"/>
                    </w:rPr>
                    <w:t>4.901</w:t>
                  </w:r>
                </w:p>
              </w:tc>
              <w:tc>
                <w:tcPr>
                  <w:tcW w:w="986" w:type="dxa"/>
                  <w:vAlign w:val="center"/>
                </w:tcPr>
                <w:p w14:paraId="695831DC">
                  <w:pPr>
                    <w:widowControl/>
                    <w:jc w:val="center"/>
                    <w:textAlignment w:val="center"/>
                    <w:rPr>
                      <w:rFonts w:hint="eastAsia"/>
                      <w:color w:val="auto"/>
                      <w:szCs w:val="21"/>
                      <w:lang w:val="en-US" w:eastAsia="zh-CN"/>
                    </w:rPr>
                  </w:pPr>
                  <w:r>
                    <w:rPr>
                      <w:rFonts w:hint="eastAsia"/>
                      <w:color w:val="auto"/>
                      <w:szCs w:val="21"/>
                      <w:lang w:val="en-US" w:eastAsia="zh-CN"/>
                    </w:rPr>
                    <w:t>0.016</w:t>
                  </w:r>
                </w:p>
              </w:tc>
              <w:tc>
                <w:tcPr>
                  <w:tcW w:w="986" w:type="dxa"/>
                  <w:vAlign w:val="center"/>
                </w:tcPr>
                <w:p w14:paraId="453D183C">
                  <w:pPr>
                    <w:widowControl/>
                    <w:jc w:val="center"/>
                    <w:textAlignment w:val="center"/>
                    <w:rPr>
                      <w:rFonts w:hint="eastAsia"/>
                      <w:color w:val="auto"/>
                      <w:szCs w:val="21"/>
                      <w:lang w:val="en-US" w:eastAsia="zh-CN"/>
                    </w:rPr>
                  </w:pPr>
                  <w:r>
                    <w:rPr>
                      <w:rFonts w:hint="eastAsia"/>
                      <w:color w:val="auto"/>
                      <w:szCs w:val="21"/>
                      <w:lang w:val="en-US" w:eastAsia="zh-CN"/>
                    </w:rPr>
                    <w:t>1331.71</w:t>
                  </w:r>
                </w:p>
              </w:tc>
              <w:tc>
                <w:tcPr>
                  <w:tcW w:w="986" w:type="dxa"/>
                  <w:gridSpan w:val="2"/>
                  <w:vAlign w:val="center"/>
                </w:tcPr>
                <w:p w14:paraId="07FA2F67">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7C09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325811F2">
                  <w:pPr>
                    <w:widowControl/>
                    <w:jc w:val="center"/>
                    <w:textAlignment w:val="center"/>
                    <w:rPr>
                      <w:rFonts w:hint="eastAsia"/>
                      <w:color w:val="auto"/>
                      <w:szCs w:val="21"/>
                      <w:lang w:val="en-US" w:eastAsia="zh-CN"/>
                    </w:rPr>
                  </w:pPr>
                  <w:r>
                    <w:rPr>
                      <w:rFonts w:hint="eastAsia"/>
                      <w:color w:val="auto"/>
                      <w:szCs w:val="21"/>
                      <w:lang w:val="en-US" w:eastAsia="zh-CN"/>
                    </w:rPr>
                    <w:t>11</w:t>
                  </w:r>
                </w:p>
              </w:tc>
              <w:tc>
                <w:tcPr>
                  <w:tcW w:w="1500" w:type="dxa"/>
                  <w:gridSpan w:val="2"/>
                  <w:vAlign w:val="center"/>
                </w:tcPr>
                <w:p w14:paraId="3E9A7098">
                  <w:pPr>
                    <w:widowControl/>
                    <w:jc w:val="center"/>
                    <w:textAlignment w:val="center"/>
                    <w:rPr>
                      <w:rFonts w:hint="eastAsia"/>
                      <w:color w:val="auto"/>
                      <w:szCs w:val="21"/>
                      <w:lang w:val="en-US" w:eastAsia="zh-CN"/>
                    </w:rPr>
                  </w:pPr>
                  <w:r>
                    <w:rPr>
                      <w:rFonts w:hint="eastAsia"/>
                      <w:color w:val="auto"/>
                      <w:szCs w:val="21"/>
                      <w:lang w:val="en-US" w:eastAsia="zh-CN"/>
                    </w:rPr>
                    <w:t>2026-04-20 05</w:t>
                  </w:r>
                </w:p>
              </w:tc>
              <w:tc>
                <w:tcPr>
                  <w:tcW w:w="1068" w:type="dxa"/>
                  <w:vAlign w:val="center"/>
                </w:tcPr>
                <w:p w14:paraId="04080A05">
                  <w:pPr>
                    <w:widowControl/>
                    <w:jc w:val="center"/>
                    <w:textAlignment w:val="center"/>
                    <w:rPr>
                      <w:rFonts w:hint="eastAsia"/>
                      <w:color w:val="auto"/>
                      <w:szCs w:val="21"/>
                      <w:lang w:val="en-US" w:eastAsia="zh-CN"/>
                    </w:rPr>
                  </w:pPr>
                  <w:r>
                    <w:rPr>
                      <w:rFonts w:hint="eastAsia"/>
                      <w:color w:val="auto"/>
                      <w:szCs w:val="21"/>
                      <w:lang w:val="en-US" w:eastAsia="zh-CN"/>
                    </w:rPr>
                    <w:t>6.71~6.75</w:t>
                  </w:r>
                </w:p>
              </w:tc>
              <w:tc>
                <w:tcPr>
                  <w:tcW w:w="904" w:type="dxa"/>
                  <w:vAlign w:val="center"/>
                </w:tcPr>
                <w:p w14:paraId="40817E27">
                  <w:pPr>
                    <w:widowControl/>
                    <w:jc w:val="center"/>
                    <w:textAlignment w:val="center"/>
                    <w:rPr>
                      <w:rFonts w:hint="eastAsia"/>
                      <w:color w:val="auto"/>
                      <w:szCs w:val="21"/>
                      <w:lang w:val="en-US" w:eastAsia="zh-CN"/>
                    </w:rPr>
                  </w:pPr>
                  <w:r>
                    <w:rPr>
                      <w:rFonts w:hint="eastAsia"/>
                      <w:color w:val="auto"/>
                      <w:szCs w:val="21"/>
                      <w:lang w:val="en-US" w:eastAsia="zh-CN"/>
                    </w:rPr>
                    <w:t>25.7</w:t>
                  </w:r>
                </w:p>
              </w:tc>
              <w:tc>
                <w:tcPr>
                  <w:tcW w:w="986" w:type="dxa"/>
                  <w:vAlign w:val="center"/>
                </w:tcPr>
                <w:p w14:paraId="693B9867">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09E4A149">
                  <w:pPr>
                    <w:widowControl/>
                    <w:jc w:val="center"/>
                    <w:textAlignment w:val="center"/>
                    <w:rPr>
                      <w:rFonts w:hint="eastAsia"/>
                      <w:color w:val="auto"/>
                      <w:szCs w:val="21"/>
                      <w:lang w:val="en-US" w:eastAsia="zh-CN"/>
                    </w:rPr>
                  </w:pPr>
                  <w:r>
                    <w:rPr>
                      <w:rFonts w:hint="eastAsia"/>
                      <w:color w:val="auto"/>
                      <w:szCs w:val="21"/>
                      <w:lang w:val="en-US" w:eastAsia="zh-CN"/>
                    </w:rPr>
                    <w:t>5.221</w:t>
                  </w:r>
                </w:p>
              </w:tc>
              <w:tc>
                <w:tcPr>
                  <w:tcW w:w="986" w:type="dxa"/>
                  <w:vAlign w:val="center"/>
                </w:tcPr>
                <w:p w14:paraId="34B1BED4">
                  <w:pPr>
                    <w:widowControl/>
                    <w:jc w:val="center"/>
                    <w:textAlignment w:val="center"/>
                    <w:rPr>
                      <w:rFonts w:hint="eastAsia"/>
                      <w:color w:val="auto"/>
                      <w:szCs w:val="21"/>
                      <w:lang w:val="en-US" w:eastAsia="zh-CN"/>
                    </w:rPr>
                  </w:pPr>
                  <w:r>
                    <w:rPr>
                      <w:rFonts w:hint="eastAsia"/>
                      <w:color w:val="auto"/>
                      <w:szCs w:val="21"/>
                      <w:lang w:val="en-US" w:eastAsia="zh-CN"/>
                    </w:rPr>
                    <w:t>0.018</w:t>
                  </w:r>
                </w:p>
              </w:tc>
              <w:tc>
                <w:tcPr>
                  <w:tcW w:w="986" w:type="dxa"/>
                  <w:vAlign w:val="center"/>
                </w:tcPr>
                <w:p w14:paraId="0BF5C8DF">
                  <w:pPr>
                    <w:widowControl/>
                    <w:jc w:val="center"/>
                    <w:textAlignment w:val="center"/>
                    <w:rPr>
                      <w:rFonts w:hint="eastAsia"/>
                      <w:color w:val="auto"/>
                      <w:szCs w:val="21"/>
                      <w:lang w:val="en-US" w:eastAsia="zh-CN"/>
                    </w:rPr>
                  </w:pPr>
                  <w:r>
                    <w:rPr>
                      <w:rFonts w:hint="eastAsia"/>
                      <w:color w:val="auto"/>
                      <w:szCs w:val="21"/>
                      <w:lang w:val="en-US" w:eastAsia="zh-CN"/>
                    </w:rPr>
                    <w:t>1330.89</w:t>
                  </w:r>
                </w:p>
              </w:tc>
              <w:tc>
                <w:tcPr>
                  <w:tcW w:w="986" w:type="dxa"/>
                  <w:gridSpan w:val="2"/>
                  <w:vAlign w:val="center"/>
                </w:tcPr>
                <w:p w14:paraId="0E8392DF">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4C3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4FF96B88">
                  <w:pPr>
                    <w:widowControl/>
                    <w:jc w:val="center"/>
                    <w:textAlignment w:val="center"/>
                    <w:rPr>
                      <w:rFonts w:hint="eastAsia"/>
                      <w:color w:val="auto"/>
                      <w:szCs w:val="21"/>
                      <w:lang w:val="en-US" w:eastAsia="zh-CN"/>
                    </w:rPr>
                  </w:pPr>
                  <w:r>
                    <w:rPr>
                      <w:rFonts w:hint="eastAsia"/>
                      <w:color w:val="auto"/>
                      <w:szCs w:val="21"/>
                      <w:lang w:val="en-US" w:eastAsia="zh-CN"/>
                    </w:rPr>
                    <w:t>12</w:t>
                  </w:r>
                </w:p>
              </w:tc>
              <w:tc>
                <w:tcPr>
                  <w:tcW w:w="1500" w:type="dxa"/>
                  <w:gridSpan w:val="2"/>
                  <w:vAlign w:val="center"/>
                </w:tcPr>
                <w:p w14:paraId="40F7918B">
                  <w:pPr>
                    <w:widowControl/>
                    <w:jc w:val="center"/>
                    <w:textAlignment w:val="center"/>
                    <w:rPr>
                      <w:rFonts w:hint="eastAsia"/>
                      <w:color w:val="auto"/>
                      <w:szCs w:val="21"/>
                      <w:lang w:val="en-US" w:eastAsia="zh-CN"/>
                    </w:rPr>
                  </w:pPr>
                  <w:r>
                    <w:rPr>
                      <w:rFonts w:hint="eastAsia"/>
                      <w:color w:val="auto"/>
                      <w:szCs w:val="21"/>
                      <w:lang w:val="en-US" w:eastAsia="zh-CN"/>
                    </w:rPr>
                    <w:t>2026-04-20 04</w:t>
                  </w:r>
                </w:p>
              </w:tc>
              <w:tc>
                <w:tcPr>
                  <w:tcW w:w="1068" w:type="dxa"/>
                  <w:vAlign w:val="center"/>
                </w:tcPr>
                <w:p w14:paraId="02A188E3">
                  <w:pPr>
                    <w:widowControl/>
                    <w:jc w:val="center"/>
                    <w:textAlignment w:val="center"/>
                    <w:rPr>
                      <w:rFonts w:hint="eastAsia"/>
                      <w:color w:val="auto"/>
                      <w:szCs w:val="21"/>
                      <w:lang w:val="en-US" w:eastAsia="zh-CN"/>
                    </w:rPr>
                  </w:pPr>
                  <w:r>
                    <w:rPr>
                      <w:rFonts w:hint="eastAsia"/>
                      <w:color w:val="auto"/>
                      <w:szCs w:val="21"/>
                      <w:lang w:val="en-US" w:eastAsia="zh-CN"/>
                    </w:rPr>
                    <w:t>6.72~6.79</w:t>
                  </w:r>
                </w:p>
              </w:tc>
              <w:tc>
                <w:tcPr>
                  <w:tcW w:w="904" w:type="dxa"/>
                  <w:vAlign w:val="center"/>
                </w:tcPr>
                <w:p w14:paraId="4162C068">
                  <w:pPr>
                    <w:widowControl/>
                    <w:jc w:val="center"/>
                    <w:textAlignment w:val="center"/>
                    <w:rPr>
                      <w:rFonts w:hint="eastAsia"/>
                      <w:color w:val="auto"/>
                      <w:szCs w:val="21"/>
                      <w:lang w:val="en-US" w:eastAsia="zh-CN"/>
                    </w:rPr>
                  </w:pPr>
                  <w:r>
                    <w:rPr>
                      <w:rFonts w:hint="eastAsia"/>
                      <w:color w:val="auto"/>
                      <w:szCs w:val="21"/>
                      <w:lang w:val="en-US" w:eastAsia="zh-CN"/>
                    </w:rPr>
                    <w:t>25.8</w:t>
                  </w:r>
                </w:p>
              </w:tc>
              <w:tc>
                <w:tcPr>
                  <w:tcW w:w="986" w:type="dxa"/>
                  <w:vAlign w:val="center"/>
                </w:tcPr>
                <w:p w14:paraId="38641369">
                  <w:pPr>
                    <w:widowControl/>
                    <w:jc w:val="center"/>
                    <w:textAlignment w:val="center"/>
                    <w:rPr>
                      <w:rFonts w:hint="eastAsia"/>
                      <w:color w:val="auto"/>
                      <w:szCs w:val="21"/>
                      <w:lang w:val="en-US" w:eastAsia="zh-CN"/>
                    </w:rPr>
                  </w:pPr>
                  <w:r>
                    <w:rPr>
                      <w:rFonts w:hint="eastAsia"/>
                      <w:color w:val="auto"/>
                      <w:szCs w:val="21"/>
                      <w:lang w:val="en-US" w:eastAsia="zh-CN"/>
                    </w:rPr>
                    <w:t>0.046</w:t>
                  </w:r>
                </w:p>
              </w:tc>
              <w:tc>
                <w:tcPr>
                  <w:tcW w:w="986" w:type="dxa"/>
                  <w:vAlign w:val="center"/>
                </w:tcPr>
                <w:p w14:paraId="4F867937">
                  <w:pPr>
                    <w:widowControl/>
                    <w:jc w:val="center"/>
                    <w:textAlignment w:val="center"/>
                    <w:rPr>
                      <w:rFonts w:hint="eastAsia"/>
                      <w:color w:val="auto"/>
                      <w:szCs w:val="21"/>
                      <w:lang w:val="en-US" w:eastAsia="zh-CN"/>
                    </w:rPr>
                  </w:pPr>
                  <w:r>
                    <w:rPr>
                      <w:rFonts w:hint="eastAsia"/>
                      <w:color w:val="auto"/>
                      <w:szCs w:val="21"/>
                      <w:lang w:val="en-US" w:eastAsia="zh-CN"/>
                    </w:rPr>
                    <w:t>4.733</w:t>
                  </w:r>
                </w:p>
              </w:tc>
              <w:tc>
                <w:tcPr>
                  <w:tcW w:w="986" w:type="dxa"/>
                  <w:vAlign w:val="center"/>
                </w:tcPr>
                <w:p w14:paraId="27202816">
                  <w:pPr>
                    <w:widowControl/>
                    <w:jc w:val="center"/>
                    <w:textAlignment w:val="center"/>
                    <w:rPr>
                      <w:rFonts w:hint="eastAsia"/>
                      <w:color w:val="auto"/>
                      <w:szCs w:val="21"/>
                      <w:lang w:val="en-US" w:eastAsia="zh-CN"/>
                    </w:rPr>
                  </w:pPr>
                  <w:r>
                    <w:rPr>
                      <w:rFonts w:hint="eastAsia"/>
                      <w:color w:val="auto"/>
                      <w:szCs w:val="21"/>
                      <w:lang w:val="en-US" w:eastAsia="zh-CN"/>
                    </w:rPr>
                    <w:t>0.024</w:t>
                  </w:r>
                </w:p>
              </w:tc>
              <w:tc>
                <w:tcPr>
                  <w:tcW w:w="986" w:type="dxa"/>
                  <w:vAlign w:val="center"/>
                </w:tcPr>
                <w:p w14:paraId="651922F8">
                  <w:pPr>
                    <w:widowControl/>
                    <w:jc w:val="center"/>
                    <w:textAlignment w:val="center"/>
                    <w:rPr>
                      <w:rFonts w:hint="eastAsia"/>
                      <w:color w:val="auto"/>
                      <w:szCs w:val="21"/>
                      <w:lang w:val="en-US" w:eastAsia="zh-CN"/>
                    </w:rPr>
                  </w:pPr>
                  <w:r>
                    <w:rPr>
                      <w:rFonts w:hint="eastAsia"/>
                      <w:color w:val="auto"/>
                      <w:szCs w:val="21"/>
                      <w:lang w:val="en-US" w:eastAsia="zh-CN"/>
                    </w:rPr>
                    <w:t>1324.42</w:t>
                  </w:r>
                </w:p>
              </w:tc>
              <w:tc>
                <w:tcPr>
                  <w:tcW w:w="986" w:type="dxa"/>
                  <w:gridSpan w:val="2"/>
                  <w:vAlign w:val="center"/>
                </w:tcPr>
                <w:p w14:paraId="78673DFB">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0FAF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7D102CFA">
                  <w:pPr>
                    <w:widowControl/>
                    <w:jc w:val="center"/>
                    <w:textAlignment w:val="center"/>
                    <w:rPr>
                      <w:rFonts w:hint="eastAsia"/>
                      <w:color w:val="auto"/>
                      <w:szCs w:val="21"/>
                      <w:lang w:val="en-US" w:eastAsia="zh-CN"/>
                    </w:rPr>
                  </w:pPr>
                  <w:r>
                    <w:rPr>
                      <w:rFonts w:hint="eastAsia"/>
                      <w:color w:val="auto"/>
                      <w:szCs w:val="21"/>
                      <w:lang w:val="en-US" w:eastAsia="zh-CN"/>
                    </w:rPr>
                    <w:t>13</w:t>
                  </w:r>
                </w:p>
              </w:tc>
              <w:tc>
                <w:tcPr>
                  <w:tcW w:w="1500" w:type="dxa"/>
                  <w:gridSpan w:val="2"/>
                  <w:vAlign w:val="center"/>
                </w:tcPr>
                <w:p w14:paraId="29FADE9E">
                  <w:pPr>
                    <w:widowControl/>
                    <w:jc w:val="center"/>
                    <w:textAlignment w:val="center"/>
                    <w:rPr>
                      <w:rFonts w:hint="eastAsia"/>
                      <w:color w:val="auto"/>
                      <w:szCs w:val="21"/>
                      <w:lang w:val="en-US" w:eastAsia="zh-CN"/>
                    </w:rPr>
                  </w:pPr>
                  <w:r>
                    <w:rPr>
                      <w:rFonts w:hint="eastAsia"/>
                      <w:color w:val="auto"/>
                      <w:szCs w:val="21"/>
                      <w:lang w:val="en-US" w:eastAsia="zh-CN"/>
                    </w:rPr>
                    <w:t>2026-04-20 03</w:t>
                  </w:r>
                </w:p>
              </w:tc>
              <w:tc>
                <w:tcPr>
                  <w:tcW w:w="1068" w:type="dxa"/>
                  <w:vAlign w:val="center"/>
                </w:tcPr>
                <w:p w14:paraId="7E299CC5">
                  <w:pPr>
                    <w:widowControl/>
                    <w:jc w:val="center"/>
                    <w:textAlignment w:val="center"/>
                    <w:rPr>
                      <w:rFonts w:hint="eastAsia"/>
                      <w:color w:val="auto"/>
                      <w:szCs w:val="21"/>
                      <w:lang w:val="en-US" w:eastAsia="zh-CN"/>
                    </w:rPr>
                  </w:pPr>
                  <w:r>
                    <w:rPr>
                      <w:rFonts w:hint="eastAsia"/>
                      <w:color w:val="auto"/>
                      <w:szCs w:val="21"/>
                      <w:lang w:val="en-US" w:eastAsia="zh-CN"/>
                    </w:rPr>
                    <w:t>6.77~6.79</w:t>
                  </w:r>
                </w:p>
              </w:tc>
              <w:tc>
                <w:tcPr>
                  <w:tcW w:w="904" w:type="dxa"/>
                  <w:vAlign w:val="center"/>
                </w:tcPr>
                <w:p w14:paraId="54B10073">
                  <w:pPr>
                    <w:widowControl/>
                    <w:jc w:val="center"/>
                    <w:textAlignment w:val="center"/>
                    <w:rPr>
                      <w:rFonts w:hint="eastAsia"/>
                      <w:color w:val="auto"/>
                      <w:szCs w:val="21"/>
                      <w:lang w:val="en-US" w:eastAsia="zh-CN"/>
                    </w:rPr>
                  </w:pPr>
                  <w:r>
                    <w:rPr>
                      <w:rFonts w:hint="eastAsia"/>
                      <w:color w:val="auto"/>
                      <w:szCs w:val="21"/>
                      <w:lang w:val="en-US" w:eastAsia="zh-CN"/>
                    </w:rPr>
                    <w:t>25.9</w:t>
                  </w:r>
                </w:p>
              </w:tc>
              <w:tc>
                <w:tcPr>
                  <w:tcW w:w="986" w:type="dxa"/>
                  <w:vAlign w:val="center"/>
                </w:tcPr>
                <w:p w14:paraId="715B8C35">
                  <w:pPr>
                    <w:widowControl/>
                    <w:jc w:val="center"/>
                    <w:textAlignment w:val="center"/>
                    <w:rPr>
                      <w:rFonts w:hint="eastAsia"/>
                      <w:color w:val="auto"/>
                      <w:szCs w:val="21"/>
                      <w:lang w:val="en-US" w:eastAsia="zh-CN"/>
                    </w:rPr>
                  </w:pPr>
                  <w:r>
                    <w:rPr>
                      <w:rFonts w:hint="eastAsia"/>
                      <w:color w:val="auto"/>
                      <w:szCs w:val="21"/>
                      <w:lang w:val="en-US" w:eastAsia="zh-CN"/>
                    </w:rPr>
                    <w:t>0.053</w:t>
                  </w:r>
                </w:p>
              </w:tc>
              <w:tc>
                <w:tcPr>
                  <w:tcW w:w="986" w:type="dxa"/>
                  <w:vAlign w:val="center"/>
                </w:tcPr>
                <w:p w14:paraId="7489986F">
                  <w:pPr>
                    <w:widowControl/>
                    <w:jc w:val="center"/>
                    <w:textAlignment w:val="center"/>
                    <w:rPr>
                      <w:rFonts w:hint="eastAsia"/>
                      <w:color w:val="auto"/>
                      <w:szCs w:val="21"/>
                      <w:lang w:val="en-US" w:eastAsia="zh-CN"/>
                    </w:rPr>
                  </w:pPr>
                  <w:r>
                    <w:rPr>
                      <w:rFonts w:hint="eastAsia"/>
                      <w:color w:val="auto"/>
                      <w:szCs w:val="21"/>
                      <w:lang w:val="en-US" w:eastAsia="zh-CN"/>
                    </w:rPr>
                    <w:t>4.489</w:t>
                  </w:r>
                </w:p>
              </w:tc>
              <w:tc>
                <w:tcPr>
                  <w:tcW w:w="986" w:type="dxa"/>
                  <w:vAlign w:val="center"/>
                </w:tcPr>
                <w:p w14:paraId="77CE188B">
                  <w:pPr>
                    <w:widowControl/>
                    <w:jc w:val="center"/>
                    <w:textAlignment w:val="center"/>
                    <w:rPr>
                      <w:rFonts w:hint="eastAsia"/>
                      <w:color w:val="auto"/>
                      <w:szCs w:val="21"/>
                      <w:lang w:val="en-US" w:eastAsia="zh-CN"/>
                    </w:rPr>
                  </w:pPr>
                  <w:r>
                    <w:rPr>
                      <w:rFonts w:hint="eastAsia"/>
                      <w:color w:val="auto"/>
                      <w:szCs w:val="21"/>
                      <w:lang w:val="en-US" w:eastAsia="zh-CN"/>
                    </w:rPr>
                    <w:t>0.022</w:t>
                  </w:r>
                </w:p>
              </w:tc>
              <w:tc>
                <w:tcPr>
                  <w:tcW w:w="986" w:type="dxa"/>
                  <w:vAlign w:val="center"/>
                </w:tcPr>
                <w:p w14:paraId="3CD5C071">
                  <w:pPr>
                    <w:widowControl/>
                    <w:jc w:val="center"/>
                    <w:textAlignment w:val="center"/>
                    <w:rPr>
                      <w:rFonts w:hint="eastAsia"/>
                      <w:color w:val="auto"/>
                      <w:szCs w:val="21"/>
                      <w:lang w:val="en-US" w:eastAsia="zh-CN"/>
                    </w:rPr>
                  </w:pPr>
                  <w:r>
                    <w:rPr>
                      <w:rFonts w:hint="eastAsia"/>
                      <w:color w:val="auto"/>
                      <w:szCs w:val="21"/>
                      <w:lang w:val="en-US" w:eastAsia="zh-CN"/>
                    </w:rPr>
                    <w:t>1331.34</w:t>
                  </w:r>
                </w:p>
              </w:tc>
              <w:tc>
                <w:tcPr>
                  <w:tcW w:w="986" w:type="dxa"/>
                  <w:gridSpan w:val="2"/>
                  <w:vAlign w:val="center"/>
                </w:tcPr>
                <w:p w14:paraId="30A3E4B4">
                  <w:pPr>
                    <w:widowControl/>
                    <w:jc w:val="center"/>
                    <w:textAlignment w:val="center"/>
                    <w:rPr>
                      <w:rFonts w:hint="eastAsia"/>
                      <w:color w:val="auto"/>
                      <w:szCs w:val="21"/>
                      <w:lang w:val="en-US" w:eastAsia="zh-CN"/>
                    </w:rPr>
                  </w:pPr>
                  <w:r>
                    <w:rPr>
                      <w:rFonts w:hint="eastAsia"/>
                      <w:color w:val="auto"/>
                      <w:szCs w:val="21"/>
                      <w:lang w:val="en-US" w:eastAsia="zh-CN"/>
                    </w:rPr>
                    <w:t>24.50</w:t>
                  </w:r>
                </w:p>
              </w:tc>
            </w:tr>
            <w:tr w14:paraId="3012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33B9A906">
                  <w:pPr>
                    <w:widowControl/>
                    <w:jc w:val="center"/>
                    <w:textAlignment w:val="center"/>
                    <w:rPr>
                      <w:rFonts w:hint="eastAsia"/>
                      <w:color w:val="auto"/>
                      <w:szCs w:val="21"/>
                      <w:lang w:val="en-US" w:eastAsia="zh-CN"/>
                    </w:rPr>
                  </w:pPr>
                  <w:r>
                    <w:rPr>
                      <w:rFonts w:hint="eastAsia"/>
                      <w:color w:val="auto"/>
                      <w:szCs w:val="21"/>
                      <w:lang w:val="en-US" w:eastAsia="zh-CN"/>
                    </w:rPr>
                    <w:t>14</w:t>
                  </w:r>
                </w:p>
              </w:tc>
              <w:tc>
                <w:tcPr>
                  <w:tcW w:w="1500" w:type="dxa"/>
                  <w:gridSpan w:val="2"/>
                  <w:vAlign w:val="center"/>
                </w:tcPr>
                <w:p w14:paraId="08E08653">
                  <w:pPr>
                    <w:widowControl/>
                    <w:jc w:val="center"/>
                    <w:textAlignment w:val="center"/>
                    <w:rPr>
                      <w:rFonts w:hint="eastAsia"/>
                      <w:color w:val="auto"/>
                      <w:szCs w:val="21"/>
                      <w:lang w:val="en-US" w:eastAsia="zh-CN"/>
                    </w:rPr>
                  </w:pPr>
                  <w:r>
                    <w:rPr>
                      <w:rFonts w:hint="eastAsia"/>
                      <w:color w:val="auto"/>
                      <w:szCs w:val="21"/>
                      <w:lang w:val="en-US" w:eastAsia="zh-CN"/>
                    </w:rPr>
                    <w:t>2026-04-20 02</w:t>
                  </w:r>
                </w:p>
              </w:tc>
              <w:tc>
                <w:tcPr>
                  <w:tcW w:w="1068" w:type="dxa"/>
                  <w:vAlign w:val="center"/>
                </w:tcPr>
                <w:p w14:paraId="0EB60E62">
                  <w:pPr>
                    <w:widowControl/>
                    <w:jc w:val="center"/>
                    <w:textAlignment w:val="center"/>
                    <w:rPr>
                      <w:rFonts w:hint="eastAsia"/>
                      <w:color w:val="auto"/>
                      <w:szCs w:val="21"/>
                      <w:lang w:val="en-US" w:eastAsia="zh-CN"/>
                    </w:rPr>
                  </w:pPr>
                  <w:r>
                    <w:rPr>
                      <w:rFonts w:hint="eastAsia"/>
                      <w:color w:val="auto"/>
                      <w:szCs w:val="21"/>
                      <w:lang w:val="en-US" w:eastAsia="zh-CN"/>
                    </w:rPr>
                    <w:t>6.76~6.78</w:t>
                  </w:r>
                </w:p>
              </w:tc>
              <w:tc>
                <w:tcPr>
                  <w:tcW w:w="904" w:type="dxa"/>
                  <w:vAlign w:val="center"/>
                </w:tcPr>
                <w:p w14:paraId="41ABD2B1">
                  <w:pPr>
                    <w:widowControl/>
                    <w:jc w:val="center"/>
                    <w:textAlignment w:val="center"/>
                    <w:rPr>
                      <w:rFonts w:hint="eastAsia"/>
                      <w:color w:val="auto"/>
                      <w:szCs w:val="21"/>
                      <w:lang w:val="en-US" w:eastAsia="zh-CN"/>
                    </w:rPr>
                  </w:pPr>
                  <w:r>
                    <w:rPr>
                      <w:rFonts w:hint="eastAsia"/>
                      <w:color w:val="auto"/>
                      <w:szCs w:val="21"/>
                      <w:lang w:val="en-US" w:eastAsia="zh-CN"/>
                    </w:rPr>
                    <w:t>26.7</w:t>
                  </w:r>
                </w:p>
              </w:tc>
              <w:tc>
                <w:tcPr>
                  <w:tcW w:w="986" w:type="dxa"/>
                  <w:vAlign w:val="center"/>
                </w:tcPr>
                <w:p w14:paraId="558D767C">
                  <w:pPr>
                    <w:widowControl/>
                    <w:jc w:val="center"/>
                    <w:textAlignment w:val="center"/>
                    <w:rPr>
                      <w:rFonts w:hint="eastAsia"/>
                      <w:color w:val="auto"/>
                      <w:szCs w:val="21"/>
                      <w:lang w:val="en-US" w:eastAsia="zh-CN"/>
                    </w:rPr>
                  </w:pPr>
                  <w:r>
                    <w:rPr>
                      <w:rFonts w:hint="eastAsia"/>
                      <w:color w:val="auto"/>
                      <w:szCs w:val="21"/>
                      <w:lang w:val="en-US" w:eastAsia="zh-CN"/>
                    </w:rPr>
                    <w:t>0.051</w:t>
                  </w:r>
                </w:p>
              </w:tc>
              <w:tc>
                <w:tcPr>
                  <w:tcW w:w="986" w:type="dxa"/>
                  <w:vAlign w:val="center"/>
                </w:tcPr>
                <w:p w14:paraId="7F176CE9">
                  <w:pPr>
                    <w:widowControl/>
                    <w:jc w:val="center"/>
                    <w:textAlignment w:val="center"/>
                    <w:rPr>
                      <w:rFonts w:hint="eastAsia"/>
                      <w:color w:val="auto"/>
                      <w:szCs w:val="21"/>
                      <w:lang w:val="en-US" w:eastAsia="zh-CN"/>
                    </w:rPr>
                  </w:pPr>
                  <w:r>
                    <w:rPr>
                      <w:rFonts w:hint="eastAsia"/>
                      <w:color w:val="auto"/>
                      <w:szCs w:val="21"/>
                      <w:lang w:val="en-US" w:eastAsia="zh-CN"/>
                    </w:rPr>
                    <w:t>4.092</w:t>
                  </w:r>
                </w:p>
              </w:tc>
              <w:tc>
                <w:tcPr>
                  <w:tcW w:w="986" w:type="dxa"/>
                  <w:vAlign w:val="center"/>
                </w:tcPr>
                <w:p w14:paraId="1197E04A">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1C72EEDE">
                  <w:pPr>
                    <w:widowControl/>
                    <w:jc w:val="center"/>
                    <w:textAlignment w:val="center"/>
                    <w:rPr>
                      <w:rFonts w:hint="eastAsia"/>
                      <w:color w:val="auto"/>
                      <w:szCs w:val="21"/>
                      <w:lang w:val="en-US" w:eastAsia="zh-CN"/>
                    </w:rPr>
                  </w:pPr>
                  <w:r>
                    <w:rPr>
                      <w:rFonts w:hint="eastAsia"/>
                      <w:color w:val="auto"/>
                      <w:szCs w:val="21"/>
                      <w:lang w:val="en-US" w:eastAsia="zh-CN"/>
                    </w:rPr>
                    <w:t>1338.66</w:t>
                  </w:r>
                </w:p>
              </w:tc>
              <w:tc>
                <w:tcPr>
                  <w:tcW w:w="986" w:type="dxa"/>
                  <w:gridSpan w:val="2"/>
                  <w:vAlign w:val="center"/>
                </w:tcPr>
                <w:p w14:paraId="51B97D7C">
                  <w:pPr>
                    <w:widowControl/>
                    <w:jc w:val="center"/>
                    <w:textAlignment w:val="center"/>
                    <w:rPr>
                      <w:rFonts w:hint="eastAsia"/>
                      <w:color w:val="auto"/>
                      <w:szCs w:val="21"/>
                      <w:lang w:val="en-US" w:eastAsia="zh-CN"/>
                    </w:rPr>
                  </w:pPr>
                  <w:r>
                    <w:rPr>
                      <w:rFonts w:hint="eastAsia"/>
                      <w:color w:val="auto"/>
                      <w:szCs w:val="21"/>
                      <w:lang w:val="en-US" w:eastAsia="zh-CN"/>
                    </w:rPr>
                    <w:t>24.60</w:t>
                  </w:r>
                </w:p>
              </w:tc>
            </w:tr>
            <w:tr w14:paraId="3E41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78F3406D">
                  <w:pPr>
                    <w:widowControl/>
                    <w:jc w:val="center"/>
                    <w:textAlignment w:val="center"/>
                    <w:rPr>
                      <w:rFonts w:hint="eastAsia"/>
                      <w:color w:val="auto"/>
                      <w:szCs w:val="21"/>
                      <w:lang w:val="en-US" w:eastAsia="zh-CN"/>
                    </w:rPr>
                  </w:pPr>
                  <w:r>
                    <w:rPr>
                      <w:rFonts w:hint="eastAsia"/>
                      <w:color w:val="auto"/>
                      <w:szCs w:val="21"/>
                      <w:lang w:val="en-US" w:eastAsia="zh-CN"/>
                    </w:rPr>
                    <w:t>15</w:t>
                  </w:r>
                </w:p>
              </w:tc>
              <w:tc>
                <w:tcPr>
                  <w:tcW w:w="1500" w:type="dxa"/>
                  <w:gridSpan w:val="2"/>
                  <w:vAlign w:val="center"/>
                </w:tcPr>
                <w:p w14:paraId="7653D4AB">
                  <w:pPr>
                    <w:widowControl/>
                    <w:jc w:val="center"/>
                    <w:textAlignment w:val="center"/>
                    <w:rPr>
                      <w:rFonts w:hint="eastAsia"/>
                      <w:color w:val="auto"/>
                      <w:szCs w:val="21"/>
                      <w:lang w:val="en-US" w:eastAsia="zh-CN"/>
                    </w:rPr>
                  </w:pPr>
                  <w:r>
                    <w:rPr>
                      <w:rFonts w:hint="eastAsia"/>
                      <w:color w:val="auto"/>
                      <w:szCs w:val="21"/>
                      <w:lang w:val="en-US" w:eastAsia="zh-CN"/>
                    </w:rPr>
                    <w:t>2026-04-20 01</w:t>
                  </w:r>
                </w:p>
              </w:tc>
              <w:tc>
                <w:tcPr>
                  <w:tcW w:w="1068" w:type="dxa"/>
                  <w:vAlign w:val="center"/>
                </w:tcPr>
                <w:p w14:paraId="6097898A">
                  <w:pPr>
                    <w:widowControl/>
                    <w:jc w:val="center"/>
                    <w:textAlignment w:val="center"/>
                    <w:rPr>
                      <w:rFonts w:hint="eastAsia"/>
                      <w:color w:val="auto"/>
                      <w:szCs w:val="21"/>
                      <w:lang w:val="en-US" w:eastAsia="zh-CN"/>
                    </w:rPr>
                  </w:pPr>
                  <w:r>
                    <w:rPr>
                      <w:rFonts w:hint="eastAsia"/>
                      <w:color w:val="auto"/>
                      <w:szCs w:val="21"/>
                      <w:lang w:val="en-US" w:eastAsia="zh-CN"/>
                    </w:rPr>
                    <w:t>6.75~6.79</w:t>
                  </w:r>
                </w:p>
              </w:tc>
              <w:tc>
                <w:tcPr>
                  <w:tcW w:w="904" w:type="dxa"/>
                  <w:vAlign w:val="center"/>
                </w:tcPr>
                <w:p w14:paraId="6E910CDF">
                  <w:pPr>
                    <w:widowControl/>
                    <w:jc w:val="center"/>
                    <w:textAlignment w:val="center"/>
                    <w:rPr>
                      <w:rFonts w:hint="eastAsia"/>
                      <w:color w:val="auto"/>
                      <w:szCs w:val="21"/>
                      <w:lang w:val="en-US" w:eastAsia="zh-CN"/>
                    </w:rPr>
                  </w:pPr>
                  <w:r>
                    <w:rPr>
                      <w:rFonts w:hint="eastAsia"/>
                      <w:color w:val="auto"/>
                      <w:szCs w:val="21"/>
                      <w:lang w:val="en-US" w:eastAsia="zh-CN"/>
                    </w:rPr>
                    <w:t>27.3</w:t>
                  </w:r>
                </w:p>
              </w:tc>
              <w:tc>
                <w:tcPr>
                  <w:tcW w:w="986" w:type="dxa"/>
                  <w:vAlign w:val="center"/>
                </w:tcPr>
                <w:p w14:paraId="780446C0">
                  <w:pPr>
                    <w:widowControl/>
                    <w:jc w:val="center"/>
                    <w:textAlignment w:val="center"/>
                    <w:rPr>
                      <w:rFonts w:hint="eastAsia"/>
                      <w:color w:val="auto"/>
                      <w:szCs w:val="21"/>
                      <w:lang w:val="en-US" w:eastAsia="zh-CN"/>
                    </w:rPr>
                  </w:pPr>
                  <w:r>
                    <w:rPr>
                      <w:rFonts w:hint="eastAsia"/>
                      <w:color w:val="auto"/>
                      <w:szCs w:val="21"/>
                      <w:lang w:val="en-US" w:eastAsia="zh-CN"/>
                    </w:rPr>
                    <w:t>0.049</w:t>
                  </w:r>
                </w:p>
              </w:tc>
              <w:tc>
                <w:tcPr>
                  <w:tcW w:w="986" w:type="dxa"/>
                  <w:vAlign w:val="center"/>
                </w:tcPr>
                <w:p w14:paraId="12718F4B">
                  <w:pPr>
                    <w:widowControl/>
                    <w:jc w:val="center"/>
                    <w:textAlignment w:val="center"/>
                    <w:rPr>
                      <w:rFonts w:hint="eastAsia"/>
                      <w:color w:val="auto"/>
                      <w:szCs w:val="21"/>
                      <w:lang w:val="en-US" w:eastAsia="zh-CN"/>
                    </w:rPr>
                  </w:pPr>
                  <w:r>
                    <w:rPr>
                      <w:rFonts w:hint="eastAsia"/>
                      <w:color w:val="auto"/>
                      <w:szCs w:val="21"/>
                      <w:lang w:val="en-US" w:eastAsia="zh-CN"/>
                    </w:rPr>
                    <w:t>3.991</w:t>
                  </w:r>
                </w:p>
              </w:tc>
              <w:tc>
                <w:tcPr>
                  <w:tcW w:w="986" w:type="dxa"/>
                  <w:vAlign w:val="center"/>
                </w:tcPr>
                <w:p w14:paraId="652D97A1">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776BCB81">
                  <w:pPr>
                    <w:widowControl/>
                    <w:jc w:val="center"/>
                    <w:textAlignment w:val="center"/>
                    <w:rPr>
                      <w:rFonts w:hint="eastAsia"/>
                      <w:color w:val="auto"/>
                      <w:szCs w:val="21"/>
                      <w:lang w:val="en-US" w:eastAsia="zh-CN"/>
                    </w:rPr>
                  </w:pPr>
                  <w:r>
                    <w:rPr>
                      <w:rFonts w:hint="eastAsia"/>
                      <w:color w:val="auto"/>
                      <w:szCs w:val="21"/>
                      <w:lang w:val="en-US" w:eastAsia="zh-CN"/>
                    </w:rPr>
                    <w:t>1331.05</w:t>
                  </w:r>
                </w:p>
              </w:tc>
              <w:tc>
                <w:tcPr>
                  <w:tcW w:w="986" w:type="dxa"/>
                  <w:gridSpan w:val="2"/>
                  <w:vAlign w:val="center"/>
                </w:tcPr>
                <w:p w14:paraId="3C6B7CE5">
                  <w:pPr>
                    <w:widowControl/>
                    <w:jc w:val="center"/>
                    <w:textAlignment w:val="center"/>
                    <w:rPr>
                      <w:rFonts w:hint="eastAsia"/>
                      <w:color w:val="auto"/>
                      <w:szCs w:val="21"/>
                      <w:lang w:val="en-US" w:eastAsia="zh-CN"/>
                    </w:rPr>
                  </w:pPr>
                  <w:r>
                    <w:rPr>
                      <w:rFonts w:hint="eastAsia"/>
                      <w:color w:val="auto"/>
                      <w:szCs w:val="21"/>
                      <w:lang w:val="en-US" w:eastAsia="zh-CN"/>
                    </w:rPr>
                    <w:t>24.60</w:t>
                  </w:r>
                </w:p>
              </w:tc>
            </w:tr>
            <w:tr w14:paraId="08B4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0F2A532F">
                  <w:pPr>
                    <w:widowControl/>
                    <w:jc w:val="center"/>
                    <w:textAlignment w:val="center"/>
                    <w:rPr>
                      <w:rFonts w:hint="eastAsia"/>
                      <w:color w:val="auto"/>
                      <w:szCs w:val="21"/>
                      <w:lang w:val="en-US" w:eastAsia="zh-CN"/>
                    </w:rPr>
                  </w:pPr>
                  <w:r>
                    <w:rPr>
                      <w:rFonts w:hint="eastAsia"/>
                      <w:color w:val="auto"/>
                      <w:szCs w:val="21"/>
                      <w:lang w:val="en-US" w:eastAsia="zh-CN"/>
                    </w:rPr>
                    <w:t>16</w:t>
                  </w:r>
                </w:p>
              </w:tc>
              <w:tc>
                <w:tcPr>
                  <w:tcW w:w="1500" w:type="dxa"/>
                  <w:gridSpan w:val="2"/>
                  <w:vAlign w:val="center"/>
                </w:tcPr>
                <w:p w14:paraId="2270DE65">
                  <w:pPr>
                    <w:widowControl/>
                    <w:jc w:val="center"/>
                    <w:textAlignment w:val="center"/>
                    <w:rPr>
                      <w:rFonts w:hint="eastAsia"/>
                      <w:color w:val="auto"/>
                      <w:szCs w:val="21"/>
                      <w:lang w:val="en-US" w:eastAsia="zh-CN"/>
                    </w:rPr>
                  </w:pPr>
                  <w:r>
                    <w:rPr>
                      <w:rFonts w:hint="eastAsia"/>
                      <w:color w:val="auto"/>
                      <w:szCs w:val="21"/>
                      <w:lang w:val="en-US" w:eastAsia="zh-CN"/>
                    </w:rPr>
                    <w:t>2026-04-20 00</w:t>
                  </w:r>
                </w:p>
              </w:tc>
              <w:tc>
                <w:tcPr>
                  <w:tcW w:w="1068" w:type="dxa"/>
                  <w:vAlign w:val="center"/>
                </w:tcPr>
                <w:p w14:paraId="646F7F0B">
                  <w:pPr>
                    <w:widowControl/>
                    <w:jc w:val="center"/>
                    <w:textAlignment w:val="center"/>
                    <w:rPr>
                      <w:rFonts w:hint="eastAsia"/>
                      <w:color w:val="auto"/>
                      <w:szCs w:val="21"/>
                      <w:lang w:val="en-US" w:eastAsia="zh-CN"/>
                    </w:rPr>
                  </w:pPr>
                  <w:r>
                    <w:rPr>
                      <w:rFonts w:hint="eastAsia"/>
                      <w:color w:val="auto"/>
                      <w:szCs w:val="21"/>
                      <w:lang w:val="en-US" w:eastAsia="zh-CN"/>
                    </w:rPr>
                    <w:t>6.73~6.76</w:t>
                  </w:r>
                </w:p>
              </w:tc>
              <w:tc>
                <w:tcPr>
                  <w:tcW w:w="904" w:type="dxa"/>
                  <w:vAlign w:val="center"/>
                </w:tcPr>
                <w:p w14:paraId="61C5FEFD">
                  <w:pPr>
                    <w:widowControl/>
                    <w:jc w:val="center"/>
                    <w:textAlignment w:val="center"/>
                    <w:rPr>
                      <w:rFonts w:hint="eastAsia"/>
                      <w:color w:val="auto"/>
                      <w:szCs w:val="21"/>
                      <w:lang w:val="en-US" w:eastAsia="zh-CN"/>
                    </w:rPr>
                  </w:pPr>
                  <w:r>
                    <w:rPr>
                      <w:rFonts w:hint="eastAsia"/>
                      <w:color w:val="auto"/>
                      <w:szCs w:val="21"/>
                      <w:lang w:val="en-US" w:eastAsia="zh-CN"/>
                    </w:rPr>
                    <w:t>28.3</w:t>
                  </w:r>
                </w:p>
              </w:tc>
              <w:tc>
                <w:tcPr>
                  <w:tcW w:w="986" w:type="dxa"/>
                  <w:vAlign w:val="center"/>
                </w:tcPr>
                <w:p w14:paraId="2D8F136C">
                  <w:pPr>
                    <w:widowControl/>
                    <w:jc w:val="center"/>
                    <w:textAlignment w:val="center"/>
                    <w:rPr>
                      <w:rFonts w:hint="eastAsia"/>
                      <w:color w:val="auto"/>
                      <w:szCs w:val="21"/>
                      <w:lang w:val="en-US" w:eastAsia="zh-CN"/>
                    </w:rPr>
                  </w:pPr>
                  <w:r>
                    <w:rPr>
                      <w:rFonts w:hint="eastAsia"/>
                      <w:color w:val="auto"/>
                      <w:szCs w:val="21"/>
                      <w:lang w:val="en-US" w:eastAsia="zh-CN"/>
                    </w:rPr>
                    <w:t>0.045</w:t>
                  </w:r>
                </w:p>
              </w:tc>
              <w:tc>
                <w:tcPr>
                  <w:tcW w:w="986" w:type="dxa"/>
                  <w:vAlign w:val="center"/>
                </w:tcPr>
                <w:p w14:paraId="0B84B061">
                  <w:pPr>
                    <w:widowControl/>
                    <w:jc w:val="center"/>
                    <w:textAlignment w:val="center"/>
                    <w:rPr>
                      <w:rFonts w:hint="eastAsia"/>
                      <w:color w:val="auto"/>
                      <w:szCs w:val="21"/>
                      <w:lang w:val="en-US" w:eastAsia="zh-CN"/>
                    </w:rPr>
                  </w:pPr>
                  <w:r>
                    <w:rPr>
                      <w:rFonts w:hint="eastAsia"/>
                      <w:color w:val="auto"/>
                      <w:szCs w:val="21"/>
                      <w:lang w:val="en-US" w:eastAsia="zh-CN"/>
                    </w:rPr>
                    <w:t>4.103</w:t>
                  </w:r>
                </w:p>
              </w:tc>
              <w:tc>
                <w:tcPr>
                  <w:tcW w:w="986" w:type="dxa"/>
                  <w:vAlign w:val="center"/>
                </w:tcPr>
                <w:p w14:paraId="3570EBBB">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3BEEFEF8">
                  <w:pPr>
                    <w:widowControl/>
                    <w:jc w:val="center"/>
                    <w:textAlignment w:val="center"/>
                    <w:rPr>
                      <w:rFonts w:hint="eastAsia"/>
                      <w:color w:val="auto"/>
                      <w:szCs w:val="21"/>
                      <w:lang w:val="en-US" w:eastAsia="zh-CN"/>
                    </w:rPr>
                  </w:pPr>
                  <w:r>
                    <w:rPr>
                      <w:rFonts w:hint="eastAsia"/>
                      <w:color w:val="auto"/>
                      <w:szCs w:val="21"/>
                      <w:lang w:val="en-US" w:eastAsia="zh-CN"/>
                    </w:rPr>
                    <w:t>1334.36</w:t>
                  </w:r>
                </w:p>
              </w:tc>
              <w:tc>
                <w:tcPr>
                  <w:tcW w:w="986" w:type="dxa"/>
                  <w:gridSpan w:val="2"/>
                  <w:vAlign w:val="center"/>
                </w:tcPr>
                <w:p w14:paraId="01BA9D91">
                  <w:pPr>
                    <w:widowControl/>
                    <w:jc w:val="center"/>
                    <w:textAlignment w:val="center"/>
                    <w:rPr>
                      <w:rFonts w:hint="eastAsia"/>
                      <w:color w:val="auto"/>
                      <w:szCs w:val="21"/>
                      <w:lang w:val="en-US" w:eastAsia="zh-CN"/>
                    </w:rPr>
                  </w:pPr>
                  <w:r>
                    <w:rPr>
                      <w:rFonts w:hint="eastAsia"/>
                      <w:color w:val="auto"/>
                      <w:szCs w:val="21"/>
                      <w:lang w:val="en-US" w:eastAsia="zh-CN"/>
                    </w:rPr>
                    <w:t>24.60</w:t>
                  </w:r>
                </w:p>
              </w:tc>
            </w:tr>
            <w:tr w14:paraId="4C7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18076669">
                  <w:pPr>
                    <w:widowControl/>
                    <w:jc w:val="center"/>
                    <w:textAlignment w:val="center"/>
                    <w:rPr>
                      <w:rFonts w:hint="eastAsia"/>
                      <w:color w:val="auto"/>
                      <w:szCs w:val="21"/>
                      <w:lang w:val="en-US" w:eastAsia="zh-CN"/>
                    </w:rPr>
                  </w:pPr>
                  <w:r>
                    <w:rPr>
                      <w:rFonts w:hint="eastAsia"/>
                      <w:color w:val="auto"/>
                      <w:szCs w:val="21"/>
                      <w:lang w:val="en-US" w:eastAsia="zh-CN"/>
                    </w:rPr>
                    <w:t>17</w:t>
                  </w:r>
                </w:p>
              </w:tc>
              <w:tc>
                <w:tcPr>
                  <w:tcW w:w="1500" w:type="dxa"/>
                  <w:gridSpan w:val="2"/>
                  <w:vAlign w:val="center"/>
                </w:tcPr>
                <w:p w14:paraId="3EFE5990">
                  <w:pPr>
                    <w:widowControl/>
                    <w:jc w:val="center"/>
                    <w:textAlignment w:val="center"/>
                    <w:rPr>
                      <w:rFonts w:hint="eastAsia"/>
                      <w:color w:val="auto"/>
                      <w:szCs w:val="21"/>
                      <w:lang w:val="en-US" w:eastAsia="zh-CN"/>
                    </w:rPr>
                  </w:pPr>
                  <w:r>
                    <w:rPr>
                      <w:rFonts w:hint="eastAsia"/>
                      <w:color w:val="auto"/>
                      <w:szCs w:val="21"/>
                      <w:lang w:val="en-US" w:eastAsia="zh-CN"/>
                    </w:rPr>
                    <w:t>2026-04-19 23</w:t>
                  </w:r>
                </w:p>
              </w:tc>
              <w:tc>
                <w:tcPr>
                  <w:tcW w:w="1068" w:type="dxa"/>
                  <w:vAlign w:val="center"/>
                </w:tcPr>
                <w:p w14:paraId="47B2EA67">
                  <w:pPr>
                    <w:widowControl/>
                    <w:jc w:val="center"/>
                    <w:textAlignment w:val="center"/>
                    <w:rPr>
                      <w:rFonts w:hint="eastAsia"/>
                      <w:color w:val="auto"/>
                      <w:szCs w:val="21"/>
                      <w:lang w:val="en-US" w:eastAsia="zh-CN"/>
                    </w:rPr>
                  </w:pPr>
                  <w:r>
                    <w:rPr>
                      <w:rFonts w:hint="eastAsia"/>
                      <w:color w:val="auto"/>
                      <w:szCs w:val="21"/>
                      <w:lang w:val="en-US" w:eastAsia="zh-CN"/>
                    </w:rPr>
                    <w:t>6.69~6.74</w:t>
                  </w:r>
                </w:p>
              </w:tc>
              <w:tc>
                <w:tcPr>
                  <w:tcW w:w="904" w:type="dxa"/>
                  <w:vAlign w:val="center"/>
                </w:tcPr>
                <w:p w14:paraId="5C348FE5">
                  <w:pPr>
                    <w:widowControl/>
                    <w:jc w:val="center"/>
                    <w:textAlignment w:val="center"/>
                    <w:rPr>
                      <w:rFonts w:hint="eastAsia"/>
                      <w:color w:val="auto"/>
                      <w:szCs w:val="21"/>
                      <w:lang w:val="en-US" w:eastAsia="zh-CN"/>
                    </w:rPr>
                  </w:pPr>
                  <w:r>
                    <w:rPr>
                      <w:rFonts w:hint="eastAsia"/>
                      <w:color w:val="auto"/>
                      <w:szCs w:val="21"/>
                      <w:lang w:val="en-US" w:eastAsia="zh-CN"/>
                    </w:rPr>
                    <w:t>28.7</w:t>
                  </w:r>
                </w:p>
              </w:tc>
              <w:tc>
                <w:tcPr>
                  <w:tcW w:w="986" w:type="dxa"/>
                  <w:vAlign w:val="center"/>
                </w:tcPr>
                <w:p w14:paraId="1E099E67">
                  <w:pPr>
                    <w:widowControl/>
                    <w:jc w:val="center"/>
                    <w:textAlignment w:val="center"/>
                    <w:rPr>
                      <w:rFonts w:hint="eastAsia"/>
                      <w:color w:val="auto"/>
                      <w:szCs w:val="21"/>
                      <w:lang w:val="en-US" w:eastAsia="zh-CN"/>
                    </w:rPr>
                  </w:pPr>
                  <w:r>
                    <w:rPr>
                      <w:rFonts w:hint="eastAsia"/>
                      <w:color w:val="auto"/>
                      <w:szCs w:val="21"/>
                      <w:lang w:val="en-US" w:eastAsia="zh-CN"/>
                    </w:rPr>
                    <w:t>0.043</w:t>
                  </w:r>
                </w:p>
              </w:tc>
              <w:tc>
                <w:tcPr>
                  <w:tcW w:w="986" w:type="dxa"/>
                  <w:vAlign w:val="center"/>
                </w:tcPr>
                <w:p w14:paraId="4BD239DA">
                  <w:pPr>
                    <w:widowControl/>
                    <w:jc w:val="center"/>
                    <w:textAlignment w:val="center"/>
                    <w:rPr>
                      <w:rFonts w:hint="eastAsia"/>
                      <w:color w:val="auto"/>
                      <w:szCs w:val="21"/>
                      <w:lang w:val="en-US" w:eastAsia="zh-CN"/>
                    </w:rPr>
                  </w:pPr>
                  <w:r>
                    <w:rPr>
                      <w:rFonts w:hint="eastAsia"/>
                      <w:color w:val="auto"/>
                      <w:szCs w:val="21"/>
                      <w:lang w:val="en-US" w:eastAsia="zh-CN"/>
                    </w:rPr>
                    <w:t>4.145</w:t>
                  </w:r>
                </w:p>
              </w:tc>
              <w:tc>
                <w:tcPr>
                  <w:tcW w:w="986" w:type="dxa"/>
                  <w:vAlign w:val="center"/>
                </w:tcPr>
                <w:p w14:paraId="04605557">
                  <w:pPr>
                    <w:widowControl/>
                    <w:jc w:val="center"/>
                    <w:textAlignment w:val="center"/>
                    <w:rPr>
                      <w:rFonts w:hint="eastAsia"/>
                      <w:color w:val="auto"/>
                      <w:szCs w:val="21"/>
                      <w:lang w:val="en-US" w:eastAsia="zh-CN"/>
                    </w:rPr>
                  </w:pPr>
                  <w:r>
                    <w:rPr>
                      <w:rFonts w:hint="eastAsia"/>
                      <w:color w:val="auto"/>
                      <w:szCs w:val="21"/>
                      <w:lang w:val="en-US" w:eastAsia="zh-CN"/>
                    </w:rPr>
                    <w:t>0.024</w:t>
                  </w:r>
                </w:p>
              </w:tc>
              <w:tc>
                <w:tcPr>
                  <w:tcW w:w="986" w:type="dxa"/>
                  <w:vAlign w:val="center"/>
                </w:tcPr>
                <w:p w14:paraId="196C0DC5">
                  <w:pPr>
                    <w:widowControl/>
                    <w:jc w:val="center"/>
                    <w:textAlignment w:val="center"/>
                    <w:rPr>
                      <w:rFonts w:hint="eastAsia"/>
                      <w:color w:val="auto"/>
                      <w:szCs w:val="21"/>
                      <w:lang w:val="en-US" w:eastAsia="zh-CN"/>
                    </w:rPr>
                  </w:pPr>
                  <w:r>
                    <w:rPr>
                      <w:rFonts w:hint="eastAsia"/>
                      <w:color w:val="auto"/>
                      <w:szCs w:val="21"/>
                      <w:lang w:val="en-US" w:eastAsia="zh-CN"/>
                    </w:rPr>
                    <w:t>1338.92</w:t>
                  </w:r>
                </w:p>
              </w:tc>
              <w:tc>
                <w:tcPr>
                  <w:tcW w:w="986" w:type="dxa"/>
                  <w:gridSpan w:val="2"/>
                  <w:vAlign w:val="center"/>
                </w:tcPr>
                <w:p w14:paraId="30FE5780">
                  <w:pPr>
                    <w:widowControl/>
                    <w:jc w:val="center"/>
                    <w:textAlignment w:val="center"/>
                    <w:rPr>
                      <w:rFonts w:hint="eastAsia"/>
                      <w:color w:val="auto"/>
                      <w:szCs w:val="21"/>
                      <w:lang w:val="en-US" w:eastAsia="zh-CN"/>
                    </w:rPr>
                  </w:pPr>
                  <w:r>
                    <w:rPr>
                      <w:rFonts w:hint="eastAsia"/>
                      <w:color w:val="auto"/>
                      <w:szCs w:val="21"/>
                      <w:lang w:val="en-US" w:eastAsia="zh-CN"/>
                    </w:rPr>
                    <w:t>24.60</w:t>
                  </w:r>
                </w:p>
              </w:tc>
            </w:tr>
            <w:tr w14:paraId="3DA6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42D6D272">
                  <w:pPr>
                    <w:widowControl/>
                    <w:jc w:val="center"/>
                    <w:textAlignment w:val="center"/>
                    <w:rPr>
                      <w:rFonts w:hint="eastAsia"/>
                      <w:color w:val="auto"/>
                      <w:szCs w:val="21"/>
                      <w:lang w:val="en-US" w:eastAsia="zh-CN"/>
                    </w:rPr>
                  </w:pPr>
                  <w:r>
                    <w:rPr>
                      <w:rFonts w:hint="eastAsia"/>
                      <w:color w:val="auto"/>
                      <w:szCs w:val="21"/>
                      <w:lang w:val="en-US" w:eastAsia="zh-CN"/>
                    </w:rPr>
                    <w:t>18</w:t>
                  </w:r>
                </w:p>
              </w:tc>
              <w:tc>
                <w:tcPr>
                  <w:tcW w:w="1500" w:type="dxa"/>
                  <w:gridSpan w:val="2"/>
                  <w:vAlign w:val="center"/>
                </w:tcPr>
                <w:p w14:paraId="3EADE77A">
                  <w:pPr>
                    <w:widowControl/>
                    <w:jc w:val="center"/>
                    <w:textAlignment w:val="center"/>
                    <w:rPr>
                      <w:rFonts w:hint="eastAsia"/>
                      <w:color w:val="auto"/>
                      <w:szCs w:val="21"/>
                      <w:lang w:val="en-US" w:eastAsia="zh-CN"/>
                    </w:rPr>
                  </w:pPr>
                  <w:r>
                    <w:rPr>
                      <w:rFonts w:hint="eastAsia"/>
                      <w:color w:val="auto"/>
                      <w:szCs w:val="21"/>
                      <w:lang w:val="en-US" w:eastAsia="zh-CN"/>
                    </w:rPr>
                    <w:t>2026-04-19 22</w:t>
                  </w:r>
                </w:p>
              </w:tc>
              <w:tc>
                <w:tcPr>
                  <w:tcW w:w="1068" w:type="dxa"/>
                  <w:vAlign w:val="center"/>
                </w:tcPr>
                <w:p w14:paraId="1C4A561C">
                  <w:pPr>
                    <w:widowControl/>
                    <w:jc w:val="center"/>
                    <w:textAlignment w:val="center"/>
                    <w:rPr>
                      <w:rFonts w:hint="eastAsia"/>
                      <w:color w:val="auto"/>
                      <w:szCs w:val="21"/>
                      <w:lang w:val="en-US" w:eastAsia="zh-CN"/>
                    </w:rPr>
                  </w:pPr>
                  <w:r>
                    <w:rPr>
                      <w:rFonts w:hint="eastAsia"/>
                      <w:color w:val="auto"/>
                      <w:szCs w:val="21"/>
                      <w:lang w:val="en-US" w:eastAsia="zh-CN"/>
                    </w:rPr>
                    <w:t>6.66~6.70</w:t>
                  </w:r>
                </w:p>
              </w:tc>
              <w:tc>
                <w:tcPr>
                  <w:tcW w:w="904" w:type="dxa"/>
                  <w:vAlign w:val="center"/>
                </w:tcPr>
                <w:p w14:paraId="6180BACF">
                  <w:pPr>
                    <w:widowControl/>
                    <w:jc w:val="center"/>
                    <w:textAlignment w:val="center"/>
                    <w:rPr>
                      <w:rFonts w:hint="eastAsia"/>
                      <w:color w:val="auto"/>
                      <w:szCs w:val="21"/>
                      <w:lang w:val="en-US" w:eastAsia="zh-CN"/>
                    </w:rPr>
                  </w:pPr>
                  <w:r>
                    <w:rPr>
                      <w:rFonts w:hint="eastAsia"/>
                      <w:color w:val="auto"/>
                      <w:szCs w:val="21"/>
                      <w:lang w:val="en-US" w:eastAsia="zh-CN"/>
                    </w:rPr>
                    <w:t>33.5</w:t>
                  </w:r>
                </w:p>
              </w:tc>
              <w:tc>
                <w:tcPr>
                  <w:tcW w:w="986" w:type="dxa"/>
                  <w:vAlign w:val="center"/>
                </w:tcPr>
                <w:p w14:paraId="7AF8AD28">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23CA9276">
                  <w:pPr>
                    <w:widowControl/>
                    <w:jc w:val="center"/>
                    <w:textAlignment w:val="center"/>
                    <w:rPr>
                      <w:rFonts w:hint="eastAsia"/>
                      <w:color w:val="auto"/>
                      <w:szCs w:val="21"/>
                      <w:lang w:val="en-US" w:eastAsia="zh-CN"/>
                    </w:rPr>
                  </w:pPr>
                  <w:r>
                    <w:rPr>
                      <w:rFonts w:hint="eastAsia"/>
                      <w:color w:val="auto"/>
                      <w:szCs w:val="21"/>
                      <w:lang w:val="en-US" w:eastAsia="zh-CN"/>
                    </w:rPr>
                    <w:t>4.622</w:t>
                  </w:r>
                </w:p>
              </w:tc>
              <w:tc>
                <w:tcPr>
                  <w:tcW w:w="986" w:type="dxa"/>
                  <w:vAlign w:val="center"/>
                </w:tcPr>
                <w:p w14:paraId="47EB1020">
                  <w:pPr>
                    <w:widowControl/>
                    <w:jc w:val="center"/>
                    <w:textAlignment w:val="center"/>
                    <w:rPr>
                      <w:rFonts w:hint="eastAsia"/>
                      <w:color w:val="auto"/>
                      <w:szCs w:val="21"/>
                      <w:lang w:val="en-US" w:eastAsia="zh-CN"/>
                    </w:rPr>
                  </w:pPr>
                  <w:r>
                    <w:rPr>
                      <w:rFonts w:hint="eastAsia"/>
                      <w:color w:val="auto"/>
                      <w:szCs w:val="21"/>
                      <w:lang w:val="en-US" w:eastAsia="zh-CN"/>
                    </w:rPr>
                    <w:t>0.026</w:t>
                  </w:r>
                </w:p>
              </w:tc>
              <w:tc>
                <w:tcPr>
                  <w:tcW w:w="986" w:type="dxa"/>
                  <w:vAlign w:val="center"/>
                </w:tcPr>
                <w:p w14:paraId="6C6B3D91">
                  <w:pPr>
                    <w:widowControl/>
                    <w:jc w:val="center"/>
                    <w:textAlignment w:val="center"/>
                    <w:rPr>
                      <w:rFonts w:hint="eastAsia"/>
                      <w:color w:val="auto"/>
                      <w:szCs w:val="21"/>
                      <w:lang w:val="en-US" w:eastAsia="zh-CN"/>
                    </w:rPr>
                  </w:pPr>
                  <w:r>
                    <w:rPr>
                      <w:rFonts w:hint="eastAsia"/>
                      <w:color w:val="auto"/>
                      <w:szCs w:val="21"/>
                      <w:lang w:val="en-US" w:eastAsia="zh-CN"/>
                    </w:rPr>
                    <w:t>1341.33</w:t>
                  </w:r>
                </w:p>
              </w:tc>
              <w:tc>
                <w:tcPr>
                  <w:tcW w:w="986" w:type="dxa"/>
                  <w:gridSpan w:val="2"/>
                  <w:vAlign w:val="center"/>
                </w:tcPr>
                <w:p w14:paraId="21674FF9">
                  <w:pPr>
                    <w:widowControl/>
                    <w:jc w:val="center"/>
                    <w:textAlignment w:val="center"/>
                    <w:rPr>
                      <w:rFonts w:hint="eastAsia"/>
                      <w:color w:val="auto"/>
                      <w:szCs w:val="21"/>
                      <w:lang w:val="en-US" w:eastAsia="zh-CN"/>
                    </w:rPr>
                  </w:pPr>
                  <w:r>
                    <w:rPr>
                      <w:rFonts w:hint="eastAsia"/>
                      <w:color w:val="auto"/>
                      <w:szCs w:val="21"/>
                      <w:lang w:val="en-US" w:eastAsia="zh-CN"/>
                    </w:rPr>
                    <w:t>24.70</w:t>
                  </w:r>
                </w:p>
              </w:tc>
            </w:tr>
            <w:tr w14:paraId="4750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7647DD87">
                  <w:pPr>
                    <w:widowControl/>
                    <w:jc w:val="center"/>
                    <w:textAlignment w:val="center"/>
                    <w:rPr>
                      <w:rFonts w:hint="eastAsia"/>
                      <w:color w:val="auto"/>
                      <w:szCs w:val="21"/>
                      <w:lang w:val="en-US" w:eastAsia="zh-CN"/>
                    </w:rPr>
                  </w:pPr>
                  <w:r>
                    <w:rPr>
                      <w:rFonts w:hint="eastAsia"/>
                      <w:color w:val="auto"/>
                      <w:szCs w:val="21"/>
                      <w:lang w:val="en-US" w:eastAsia="zh-CN"/>
                    </w:rPr>
                    <w:t>19</w:t>
                  </w:r>
                </w:p>
              </w:tc>
              <w:tc>
                <w:tcPr>
                  <w:tcW w:w="1500" w:type="dxa"/>
                  <w:gridSpan w:val="2"/>
                  <w:vAlign w:val="center"/>
                </w:tcPr>
                <w:p w14:paraId="02207C49">
                  <w:pPr>
                    <w:widowControl/>
                    <w:jc w:val="center"/>
                    <w:textAlignment w:val="center"/>
                    <w:rPr>
                      <w:rFonts w:hint="eastAsia"/>
                      <w:color w:val="auto"/>
                      <w:szCs w:val="21"/>
                      <w:lang w:val="en-US" w:eastAsia="zh-CN"/>
                    </w:rPr>
                  </w:pPr>
                  <w:r>
                    <w:rPr>
                      <w:rFonts w:hint="eastAsia"/>
                      <w:color w:val="auto"/>
                      <w:szCs w:val="21"/>
                      <w:lang w:val="en-US" w:eastAsia="zh-CN"/>
                    </w:rPr>
                    <w:t>2026-04-19 21</w:t>
                  </w:r>
                </w:p>
              </w:tc>
              <w:tc>
                <w:tcPr>
                  <w:tcW w:w="1068" w:type="dxa"/>
                  <w:vAlign w:val="center"/>
                </w:tcPr>
                <w:p w14:paraId="697C0861">
                  <w:pPr>
                    <w:widowControl/>
                    <w:jc w:val="center"/>
                    <w:textAlignment w:val="center"/>
                    <w:rPr>
                      <w:rFonts w:hint="eastAsia"/>
                      <w:color w:val="auto"/>
                      <w:szCs w:val="21"/>
                      <w:lang w:val="en-US" w:eastAsia="zh-CN"/>
                    </w:rPr>
                  </w:pPr>
                  <w:r>
                    <w:rPr>
                      <w:rFonts w:hint="eastAsia"/>
                      <w:color w:val="auto"/>
                      <w:szCs w:val="21"/>
                      <w:lang w:val="en-US" w:eastAsia="zh-CN"/>
                    </w:rPr>
                    <w:t>6.63~6.67</w:t>
                  </w:r>
                </w:p>
              </w:tc>
              <w:tc>
                <w:tcPr>
                  <w:tcW w:w="904" w:type="dxa"/>
                  <w:vAlign w:val="center"/>
                </w:tcPr>
                <w:p w14:paraId="4CDEF9C6">
                  <w:pPr>
                    <w:widowControl/>
                    <w:jc w:val="center"/>
                    <w:textAlignment w:val="center"/>
                    <w:rPr>
                      <w:rFonts w:hint="eastAsia"/>
                      <w:color w:val="auto"/>
                      <w:szCs w:val="21"/>
                      <w:lang w:val="en-US" w:eastAsia="zh-CN"/>
                    </w:rPr>
                  </w:pPr>
                  <w:r>
                    <w:rPr>
                      <w:rFonts w:hint="eastAsia"/>
                      <w:color w:val="auto"/>
                      <w:szCs w:val="21"/>
                      <w:lang w:val="en-US" w:eastAsia="zh-CN"/>
                    </w:rPr>
                    <w:t>34.4</w:t>
                  </w:r>
                </w:p>
              </w:tc>
              <w:tc>
                <w:tcPr>
                  <w:tcW w:w="986" w:type="dxa"/>
                  <w:vAlign w:val="center"/>
                </w:tcPr>
                <w:p w14:paraId="2DDDC038">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0675B35C">
                  <w:pPr>
                    <w:widowControl/>
                    <w:jc w:val="center"/>
                    <w:textAlignment w:val="center"/>
                    <w:rPr>
                      <w:rFonts w:hint="eastAsia"/>
                      <w:color w:val="auto"/>
                      <w:szCs w:val="21"/>
                      <w:lang w:val="en-US" w:eastAsia="zh-CN"/>
                    </w:rPr>
                  </w:pPr>
                  <w:r>
                    <w:rPr>
                      <w:rFonts w:hint="eastAsia"/>
                      <w:color w:val="auto"/>
                      <w:szCs w:val="21"/>
                      <w:lang w:val="en-US" w:eastAsia="zh-CN"/>
                    </w:rPr>
                    <w:t>4.557</w:t>
                  </w:r>
                </w:p>
              </w:tc>
              <w:tc>
                <w:tcPr>
                  <w:tcW w:w="986" w:type="dxa"/>
                  <w:vAlign w:val="center"/>
                </w:tcPr>
                <w:p w14:paraId="6837A3DC">
                  <w:pPr>
                    <w:widowControl/>
                    <w:jc w:val="center"/>
                    <w:textAlignment w:val="center"/>
                    <w:rPr>
                      <w:rFonts w:hint="eastAsia"/>
                      <w:color w:val="auto"/>
                      <w:szCs w:val="21"/>
                      <w:lang w:val="en-US" w:eastAsia="zh-CN"/>
                    </w:rPr>
                  </w:pPr>
                  <w:r>
                    <w:rPr>
                      <w:rFonts w:hint="eastAsia"/>
                      <w:color w:val="auto"/>
                      <w:szCs w:val="21"/>
                      <w:lang w:val="en-US" w:eastAsia="zh-CN"/>
                    </w:rPr>
                    <w:t>0.022</w:t>
                  </w:r>
                </w:p>
              </w:tc>
              <w:tc>
                <w:tcPr>
                  <w:tcW w:w="986" w:type="dxa"/>
                  <w:vAlign w:val="center"/>
                </w:tcPr>
                <w:p w14:paraId="5C8BF7C2">
                  <w:pPr>
                    <w:widowControl/>
                    <w:jc w:val="center"/>
                    <w:textAlignment w:val="center"/>
                    <w:rPr>
                      <w:rFonts w:hint="eastAsia"/>
                      <w:color w:val="auto"/>
                      <w:szCs w:val="21"/>
                      <w:lang w:val="en-US" w:eastAsia="zh-CN"/>
                    </w:rPr>
                  </w:pPr>
                  <w:r>
                    <w:rPr>
                      <w:rFonts w:hint="eastAsia"/>
                      <w:color w:val="auto"/>
                      <w:szCs w:val="21"/>
                      <w:lang w:val="en-US" w:eastAsia="zh-CN"/>
                    </w:rPr>
                    <w:t>1342.34</w:t>
                  </w:r>
                </w:p>
              </w:tc>
              <w:tc>
                <w:tcPr>
                  <w:tcW w:w="986" w:type="dxa"/>
                  <w:gridSpan w:val="2"/>
                  <w:vAlign w:val="center"/>
                </w:tcPr>
                <w:p w14:paraId="0253C5A1">
                  <w:pPr>
                    <w:widowControl/>
                    <w:jc w:val="center"/>
                    <w:textAlignment w:val="center"/>
                    <w:rPr>
                      <w:rFonts w:hint="eastAsia"/>
                      <w:color w:val="auto"/>
                      <w:szCs w:val="21"/>
                      <w:lang w:val="en-US" w:eastAsia="zh-CN"/>
                    </w:rPr>
                  </w:pPr>
                  <w:r>
                    <w:rPr>
                      <w:rFonts w:hint="eastAsia"/>
                      <w:color w:val="auto"/>
                      <w:szCs w:val="21"/>
                      <w:lang w:val="en-US" w:eastAsia="zh-CN"/>
                    </w:rPr>
                    <w:t>24.70</w:t>
                  </w:r>
                </w:p>
              </w:tc>
            </w:tr>
            <w:tr w14:paraId="73B4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09B2AB45">
                  <w:pPr>
                    <w:widowControl/>
                    <w:jc w:val="center"/>
                    <w:textAlignment w:val="center"/>
                    <w:rPr>
                      <w:rFonts w:hint="eastAsia"/>
                      <w:color w:val="auto"/>
                      <w:szCs w:val="21"/>
                      <w:lang w:val="en-US" w:eastAsia="zh-CN"/>
                    </w:rPr>
                  </w:pPr>
                  <w:r>
                    <w:rPr>
                      <w:rFonts w:hint="eastAsia"/>
                      <w:color w:val="auto"/>
                      <w:szCs w:val="21"/>
                      <w:lang w:val="en-US" w:eastAsia="zh-CN"/>
                    </w:rPr>
                    <w:t>20</w:t>
                  </w:r>
                </w:p>
              </w:tc>
              <w:tc>
                <w:tcPr>
                  <w:tcW w:w="1500" w:type="dxa"/>
                  <w:gridSpan w:val="2"/>
                  <w:vAlign w:val="center"/>
                </w:tcPr>
                <w:p w14:paraId="6054381B">
                  <w:pPr>
                    <w:widowControl/>
                    <w:jc w:val="center"/>
                    <w:textAlignment w:val="center"/>
                    <w:rPr>
                      <w:rFonts w:hint="eastAsia"/>
                      <w:color w:val="auto"/>
                      <w:szCs w:val="21"/>
                      <w:lang w:val="en-US" w:eastAsia="zh-CN"/>
                    </w:rPr>
                  </w:pPr>
                  <w:r>
                    <w:rPr>
                      <w:rFonts w:hint="eastAsia"/>
                      <w:color w:val="auto"/>
                      <w:szCs w:val="21"/>
                      <w:lang w:val="en-US" w:eastAsia="zh-CN"/>
                    </w:rPr>
                    <w:t>2026-04-19 20</w:t>
                  </w:r>
                </w:p>
              </w:tc>
              <w:tc>
                <w:tcPr>
                  <w:tcW w:w="1068" w:type="dxa"/>
                  <w:vAlign w:val="center"/>
                </w:tcPr>
                <w:p w14:paraId="765A2A47">
                  <w:pPr>
                    <w:widowControl/>
                    <w:jc w:val="center"/>
                    <w:textAlignment w:val="center"/>
                    <w:rPr>
                      <w:rFonts w:hint="eastAsia"/>
                      <w:color w:val="auto"/>
                      <w:szCs w:val="21"/>
                      <w:lang w:val="en-US" w:eastAsia="zh-CN"/>
                    </w:rPr>
                  </w:pPr>
                  <w:r>
                    <w:rPr>
                      <w:rFonts w:hint="eastAsia"/>
                      <w:color w:val="auto"/>
                      <w:szCs w:val="21"/>
                      <w:lang w:val="en-US" w:eastAsia="zh-CN"/>
                    </w:rPr>
                    <w:t>6.62~6.64</w:t>
                  </w:r>
                </w:p>
              </w:tc>
              <w:tc>
                <w:tcPr>
                  <w:tcW w:w="904" w:type="dxa"/>
                  <w:vAlign w:val="center"/>
                </w:tcPr>
                <w:p w14:paraId="68BD2277">
                  <w:pPr>
                    <w:widowControl/>
                    <w:jc w:val="center"/>
                    <w:textAlignment w:val="center"/>
                    <w:rPr>
                      <w:rFonts w:hint="eastAsia"/>
                      <w:color w:val="auto"/>
                      <w:szCs w:val="21"/>
                      <w:lang w:val="en-US" w:eastAsia="zh-CN"/>
                    </w:rPr>
                  </w:pPr>
                  <w:r>
                    <w:rPr>
                      <w:rFonts w:hint="eastAsia"/>
                      <w:color w:val="auto"/>
                      <w:szCs w:val="21"/>
                      <w:lang w:val="en-US" w:eastAsia="zh-CN"/>
                    </w:rPr>
                    <w:t>36.9</w:t>
                  </w:r>
                </w:p>
              </w:tc>
              <w:tc>
                <w:tcPr>
                  <w:tcW w:w="986" w:type="dxa"/>
                  <w:vAlign w:val="center"/>
                </w:tcPr>
                <w:p w14:paraId="5BA31E38">
                  <w:pPr>
                    <w:widowControl/>
                    <w:jc w:val="center"/>
                    <w:textAlignment w:val="center"/>
                    <w:rPr>
                      <w:rFonts w:hint="eastAsia"/>
                      <w:color w:val="auto"/>
                      <w:szCs w:val="21"/>
                      <w:lang w:val="en-US" w:eastAsia="zh-CN"/>
                    </w:rPr>
                  </w:pPr>
                  <w:r>
                    <w:rPr>
                      <w:rFonts w:hint="eastAsia"/>
                      <w:color w:val="auto"/>
                      <w:szCs w:val="21"/>
                      <w:lang w:val="en-US" w:eastAsia="zh-CN"/>
                    </w:rPr>
                    <w:t>0.043</w:t>
                  </w:r>
                </w:p>
              </w:tc>
              <w:tc>
                <w:tcPr>
                  <w:tcW w:w="986" w:type="dxa"/>
                  <w:vAlign w:val="center"/>
                </w:tcPr>
                <w:p w14:paraId="58C82065">
                  <w:pPr>
                    <w:widowControl/>
                    <w:jc w:val="center"/>
                    <w:textAlignment w:val="center"/>
                    <w:rPr>
                      <w:rFonts w:hint="eastAsia"/>
                      <w:color w:val="auto"/>
                      <w:szCs w:val="21"/>
                      <w:lang w:val="en-US" w:eastAsia="zh-CN"/>
                    </w:rPr>
                  </w:pPr>
                  <w:r>
                    <w:rPr>
                      <w:rFonts w:hint="eastAsia"/>
                      <w:color w:val="auto"/>
                      <w:szCs w:val="21"/>
                      <w:lang w:val="en-US" w:eastAsia="zh-CN"/>
                    </w:rPr>
                    <w:t>4.298</w:t>
                  </w:r>
                </w:p>
              </w:tc>
              <w:tc>
                <w:tcPr>
                  <w:tcW w:w="986" w:type="dxa"/>
                  <w:vAlign w:val="center"/>
                </w:tcPr>
                <w:p w14:paraId="48A55FF2">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986" w:type="dxa"/>
                  <w:vAlign w:val="center"/>
                </w:tcPr>
                <w:p w14:paraId="47BF8C57">
                  <w:pPr>
                    <w:widowControl/>
                    <w:jc w:val="center"/>
                    <w:textAlignment w:val="center"/>
                    <w:rPr>
                      <w:rFonts w:hint="eastAsia"/>
                      <w:color w:val="auto"/>
                      <w:szCs w:val="21"/>
                      <w:lang w:val="en-US" w:eastAsia="zh-CN"/>
                    </w:rPr>
                  </w:pPr>
                  <w:r>
                    <w:rPr>
                      <w:rFonts w:hint="eastAsia"/>
                      <w:color w:val="auto"/>
                      <w:szCs w:val="21"/>
                      <w:lang w:val="en-US" w:eastAsia="zh-CN"/>
                    </w:rPr>
                    <w:t>1336.53</w:t>
                  </w:r>
                </w:p>
              </w:tc>
              <w:tc>
                <w:tcPr>
                  <w:tcW w:w="986" w:type="dxa"/>
                  <w:gridSpan w:val="2"/>
                  <w:vAlign w:val="center"/>
                </w:tcPr>
                <w:p w14:paraId="55E35231">
                  <w:pPr>
                    <w:widowControl/>
                    <w:jc w:val="center"/>
                    <w:textAlignment w:val="center"/>
                    <w:rPr>
                      <w:rFonts w:hint="eastAsia"/>
                      <w:color w:val="auto"/>
                      <w:szCs w:val="21"/>
                      <w:lang w:val="en-US" w:eastAsia="zh-CN"/>
                    </w:rPr>
                  </w:pPr>
                  <w:r>
                    <w:rPr>
                      <w:rFonts w:hint="eastAsia"/>
                      <w:color w:val="auto"/>
                      <w:szCs w:val="21"/>
                      <w:lang w:val="en-US" w:eastAsia="zh-CN"/>
                    </w:rPr>
                    <w:t>24.80</w:t>
                  </w:r>
                </w:p>
              </w:tc>
            </w:tr>
            <w:tr w14:paraId="430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75C40CC7">
                  <w:pPr>
                    <w:widowControl/>
                    <w:jc w:val="center"/>
                    <w:textAlignment w:val="center"/>
                    <w:rPr>
                      <w:rFonts w:hint="eastAsia"/>
                      <w:color w:val="auto"/>
                      <w:szCs w:val="21"/>
                      <w:lang w:val="en-US" w:eastAsia="zh-CN"/>
                    </w:rPr>
                  </w:pPr>
                  <w:r>
                    <w:rPr>
                      <w:rFonts w:hint="eastAsia"/>
                      <w:color w:val="auto"/>
                      <w:szCs w:val="21"/>
                      <w:lang w:val="en-US" w:eastAsia="zh-CN"/>
                    </w:rPr>
                    <w:t>21</w:t>
                  </w:r>
                </w:p>
              </w:tc>
              <w:tc>
                <w:tcPr>
                  <w:tcW w:w="1480" w:type="dxa"/>
                  <w:vAlign w:val="center"/>
                </w:tcPr>
                <w:p w14:paraId="6F9562CB">
                  <w:pPr>
                    <w:widowControl/>
                    <w:jc w:val="center"/>
                    <w:textAlignment w:val="center"/>
                    <w:rPr>
                      <w:rFonts w:hint="eastAsia"/>
                      <w:color w:val="auto"/>
                      <w:szCs w:val="21"/>
                      <w:lang w:val="en-US" w:eastAsia="zh-CN"/>
                    </w:rPr>
                  </w:pPr>
                  <w:r>
                    <w:rPr>
                      <w:rFonts w:hint="eastAsia"/>
                      <w:color w:val="auto"/>
                      <w:szCs w:val="21"/>
                      <w:lang w:val="en-US" w:eastAsia="zh-CN"/>
                    </w:rPr>
                    <w:t>2026-04-19 19</w:t>
                  </w:r>
                </w:p>
              </w:tc>
              <w:tc>
                <w:tcPr>
                  <w:tcW w:w="1088" w:type="dxa"/>
                  <w:gridSpan w:val="2"/>
                  <w:vAlign w:val="center"/>
                </w:tcPr>
                <w:p w14:paraId="76C7D7BB">
                  <w:pPr>
                    <w:widowControl/>
                    <w:jc w:val="center"/>
                    <w:textAlignment w:val="center"/>
                    <w:rPr>
                      <w:rFonts w:hint="eastAsia"/>
                      <w:color w:val="auto"/>
                      <w:szCs w:val="21"/>
                      <w:lang w:val="en-US" w:eastAsia="zh-CN"/>
                    </w:rPr>
                  </w:pPr>
                  <w:r>
                    <w:rPr>
                      <w:rFonts w:hint="eastAsia"/>
                      <w:color w:val="auto"/>
                      <w:szCs w:val="21"/>
                      <w:lang w:val="en-US" w:eastAsia="zh-CN"/>
                    </w:rPr>
                    <w:t>6.61~6.62</w:t>
                  </w:r>
                </w:p>
              </w:tc>
              <w:tc>
                <w:tcPr>
                  <w:tcW w:w="904" w:type="dxa"/>
                  <w:vAlign w:val="center"/>
                </w:tcPr>
                <w:p w14:paraId="7E503CC5">
                  <w:pPr>
                    <w:widowControl/>
                    <w:jc w:val="center"/>
                    <w:textAlignment w:val="center"/>
                    <w:rPr>
                      <w:rFonts w:hint="eastAsia"/>
                      <w:color w:val="auto"/>
                      <w:szCs w:val="21"/>
                      <w:lang w:val="en-US" w:eastAsia="zh-CN"/>
                    </w:rPr>
                  </w:pPr>
                  <w:r>
                    <w:rPr>
                      <w:rFonts w:hint="eastAsia"/>
                      <w:color w:val="auto"/>
                      <w:szCs w:val="21"/>
                      <w:lang w:val="en-US" w:eastAsia="zh-CN"/>
                    </w:rPr>
                    <w:t>36.6</w:t>
                  </w:r>
                </w:p>
              </w:tc>
              <w:tc>
                <w:tcPr>
                  <w:tcW w:w="986" w:type="dxa"/>
                  <w:vAlign w:val="center"/>
                </w:tcPr>
                <w:p w14:paraId="74B36095">
                  <w:pPr>
                    <w:widowControl/>
                    <w:jc w:val="center"/>
                    <w:textAlignment w:val="center"/>
                    <w:rPr>
                      <w:rFonts w:hint="eastAsia"/>
                      <w:color w:val="auto"/>
                      <w:szCs w:val="21"/>
                      <w:lang w:val="en-US" w:eastAsia="zh-CN"/>
                    </w:rPr>
                  </w:pPr>
                  <w:r>
                    <w:rPr>
                      <w:rFonts w:hint="eastAsia"/>
                      <w:color w:val="auto"/>
                      <w:szCs w:val="21"/>
                      <w:lang w:val="en-US" w:eastAsia="zh-CN"/>
                    </w:rPr>
                    <w:t>0.044</w:t>
                  </w:r>
                </w:p>
              </w:tc>
              <w:tc>
                <w:tcPr>
                  <w:tcW w:w="986" w:type="dxa"/>
                  <w:vAlign w:val="center"/>
                </w:tcPr>
                <w:p w14:paraId="66A20CAD">
                  <w:pPr>
                    <w:widowControl/>
                    <w:jc w:val="center"/>
                    <w:textAlignment w:val="center"/>
                    <w:rPr>
                      <w:rFonts w:hint="eastAsia"/>
                      <w:color w:val="auto"/>
                      <w:szCs w:val="21"/>
                      <w:lang w:val="en-US" w:eastAsia="zh-CN"/>
                    </w:rPr>
                  </w:pPr>
                  <w:r>
                    <w:rPr>
                      <w:rFonts w:hint="eastAsia"/>
                      <w:color w:val="auto"/>
                      <w:szCs w:val="21"/>
                      <w:lang w:val="en-US" w:eastAsia="zh-CN"/>
                    </w:rPr>
                    <w:t>4.150</w:t>
                  </w:r>
                </w:p>
              </w:tc>
              <w:tc>
                <w:tcPr>
                  <w:tcW w:w="986" w:type="dxa"/>
                  <w:vAlign w:val="center"/>
                </w:tcPr>
                <w:p w14:paraId="0D82D7A8">
                  <w:pPr>
                    <w:widowControl/>
                    <w:jc w:val="center"/>
                    <w:textAlignment w:val="center"/>
                    <w:rPr>
                      <w:rFonts w:hint="eastAsia"/>
                      <w:color w:val="auto"/>
                      <w:szCs w:val="21"/>
                      <w:lang w:val="en-US" w:eastAsia="zh-CN"/>
                    </w:rPr>
                  </w:pPr>
                  <w:r>
                    <w:rPr>
                      <w:rFonts w:hint="eastAsia"/>
                      <w:color w:val="auto"/>
                      <w:szCs w:val="21"/>
                      <w:lang w:val="en-US" w:eastAsia="zh-CN"/>
                    </w:rPr>
                    <w:t>0.023</w:t>
                  </w:r>
                </w:p>
              </w:tc>
              <w:tc>
                <w:tcPr>
                  <w:tcW w:w="1005" w:type="dxa"/>
                  <w:gridSpan w:val="2"/>
                  <w:vAlign w:val="center"/>
                </w:tcPr>
                <w:p w14:paraId="4FA13F5F">
                  <w:pPr>
                    <w:widowControl/>
                    <w:jc w:val="center"/>
                    <w:textAlignment w:val="center"/>
                    <w:rPr>
                      <w:rFonts w:hint="eastAsia"/>
                      <w:color w:val="auto"/>
                      <w:szCs w:val="21"/>
                      <w:lang w:val="en-US" w:eastAsia="zh-CN"/>
                    </w:rPr>
                  </w:pPr>
                  <w:r>
                    <w:rPr>
                      <w:rFonts w:hint="eastAsia"/>
                      <w:color w:val="auto"/>
                      <w:szCs w:val="21"/>
                      <w:lang w:val="en-US" w:eastAsia="zh-CN"/>
                    </w:rPr>
                    <w:t>1339.35</w:t>
                  </w:r>
                </w:p>
              </w:tc>
              <w:tc>
                <w:tcPr>
                  <w:tcW w:w="967" w:type="dxa"/>
                  <w:vAlign w:val="center"/>
                </w:tcPr>
                <w:p w14:paraId="642DAF61">
                  <w:pPr>
                    <w:widowControl/>
                    <w:jc w:val="center"/>
                    <w:textAlignment w:val="center"/>
                    <w:rPr>
                      <w:rFonts w:hint="eastAsia"/>
                      <w:color w:val="auto"/>
                      <w:szCs w:val="21"/>
                      <w:lang w:val="en-US" w:eastAsia="zh-CN"/>
                    </w:rPr>
                  </w:pPr>
                  <w:r>
                    <w:rPr>
                      <w:rFonts w:hint="eastAsia"/>
                      <w:color w:val="auto"/>
                      <w:szCs w:val="21"/>
                      <w:lang w:val="en-US" w:eastAsia="zh-CN"/>
                    </w:rPr>
                    <w:t>24.80</w:t>
                  </w:r>
                </w:p>
              </w:tc>
            </w:tr>
            <w:tr w14:paraId="0630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1A6AF4BC">
                  <w:pPr>
                    <w:widowControl/>
                    <w:jc w:val="center"/>
                    <w:textAlignment w:val="center"/>
                    <w:rPr>
                      <w:rFonts w:hint="eastAsia"/>
                      <w:color w:val="auto"/>
                      <w:szCs w:val="21"/>
                      <w:lang w:val="en-US" w:eastAsia="zh-CN"/>
                    </w:rPr>
                  </w:pPr>
                  <w:r>
                    <w:rPr>
                      <w:rFonts w:hint="eastAsia"/>
                      <w:color w:val="auto"/>
                      <w:szCs w:val="21"/>
                      <w:lang w:val="en-US" w:eastAsia="zh-CN"/>
                    </w:rPr>
                    <w:t>22</w:t>
                  </w:r>
                </w:p>
              </w:tc>
              <w:tc>
                <w:tcPr>
                  <w:tcW w:w="1480" w:type="dxa"/>
                  <w:vAlign w:val="center"/>
                </w:tcPr>
                <w:p w14:paraId="61CB501F">
                  <w:pPr>
                    <w:widowControl/>
                    <w:jc w:val="center"/>
                    <w:textAlignment w:val="center"/>
                    <w:rPr>
                      <w:rFonts w:hint="eastAsia"/>
                      <w:color w:val="auto"/>
                      <w:szCs w:val="21"/>
                      <w:lang w:val="en-US" w:eastAsia="zh-CN"/>
                    </w:rPr>
                  </w:pPr>
                  <w:r>
                    <w:rPr>
                      <w:rFonts w:hint="eastAsia"/>
                      <w:color w:val="auto"/>
                      <w:szCs w:val="21"/>
                      <w:lang w:val="en-US" w:eastAsia="zh-CN"/>
                    </w:rPr>
                    <w:t>2026-04-19 18</w:t>
                  </w:r>
                </w:p>
              </w:tc>
              <w:tc>
                <w:tcPr>
                  <w:tcW w:w="1088" w:type="dxa"/>
                  <w:gridSpan w:val="2"/>
                  <w:vAlign w:val="center"/>
                </w:tcPr>
                <w:p w14:paraId="4BD93E36">
                  <w:pPr>
                    <w:widowControl/>
                    <w:jc w:val="center"/>
                    <w:textAlignment w:val="center"/>
                    <w:rPr>
                      <w:rFonts w:hint="eastAsia"/>
                      <w:color w:val="auto"/>
                      <w:szCs w:val="21"/>
                      <w:lang w:val="en-US" w:eastAsia="zh-CN"/>
                    </w:rPr>
                  </w:pPr>
                  <w:r>
                    <w:rPr>
                      <w:rFonts w:hint="eastAsia"/>
                      <w:color w:val="auto"/>
                      <w:szCs w:val="21"/>
                      <w:lang w:val="en-US" w:eastAsia="zh-CN"/>
                    </w:rPr>
                    <w:t>6.61~6.63</w:t>
                  </w:r>
                </w:p>
              </w:tc>
              <w:tc>
                <w:tcPr>
                  <w:tcW w:w="904" w:type="dxa"/>
                  <w:vAlign w:val="center"/>
                </w:tcPr>
                <w:p w14:paraId="248D5A0F">
                  <w:pPr>
                    <w:widowControl/>
                    <w:jc w:val="center"/>
                    <w:textAlignment w:val="center"/>
                    <w:rPr>
                      <w:rFonts w:hint="eastAsia"/>
                      <w:color w:val="auto"/>
                      <w:szCs w:val="21"/>
                      <w:lang w:val="en-US" w:eastAsia="zh-CN"/>
                    </w:rPr>
                  </w:pPr>
                  <w:r>
                    <w:rPr>
                      <w:rFonts w:hint="eastAsia"/>
                      <w:color w:val="auto"/>
                      <w:szCs w:val="21"/>
                      <w:lang w:val="en-US" w:eastAsia="zh-CN"/>
                    </w:rPr>
                    <w:t>34.3</w:t>
                  </w:r>
                </w:p>
              </w:tc>
              <w:tc>
                <w:tcPr>
                  <w:tcW w:w="986" w:type="dxa"/>
                  <w:vAlign w:val="center"/>
                </w:tcPr>
                <w:p w14:paraId="6E99C121">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7D23834F">
                  <w:pPr>
                    <w:widowControl/>
                    <w:jc w:val="center"/>
                    <w:textAlignment w:val="center"/>
                    <w:rPr>
                      <w:rFonts w:hint="eastAsia"/>
                      <w:color w:val="auto"/>
                      <w:szCs w:val="21"/>
                      <w:lang w:val="en-US" w:eastAsia="zh-CN"/>
                    </w:rPr>
                  </w:pPr>
                  <w:r>
                    <w:rPr>
                      <w:rFonts w:hint="eastAsia"/>
                      <w:color w:val="auto"/>
                      <w:szCs w:val="21"/>
                      <w:lang w:val="en-US" w:eastAsia="zh-CN"/>
                    </w:rPr>
                    <w:t>3.832</w:t>
                  </w:r>
                </w:p>
              </w:tc>
              <w:tc>
                <w:tcPr>
                  <w:tcW w:w="986" w:type="dxa"/>
                  <w:vAlign w:val="center"/>
                </w:tcPr>
                <w:p w14:paraId="5F96250D">
                  <w:pPr>
                    <w:widowControl/>
                    <w:jc w:val="center"/>
                    <w:textAlignment w:val="center"/>
                    <w:rPr>
                      <w:rFonts w:hint="eastAsia"/>
                      <w:color w:val="auto"/>
                      <w:szCs w:val="21"/>
                      <w:lang w:val="en-US" w:eastAsia="zh-CN"/>
                    </w:rPr>
                  </w:pPr>
                  <w:r>
                    <w:rPr>
                      <w:rFonts w:hint="eastAsia"/>
                      <w:color w:val="auto"/>
                      <w:szCs w:val="21"/>
                      <w:lang w:val="en-US" w:eastAsia="zh-CN"/>
                    </w:rPr>
                    <w:t>0.023</w:t>
                  </w:r>
                </w:p>
              </w:tc>
              <w:tc>
                <w:tcPr>
                  <w:tcW w:w="1005" w:type="dxa"/>
                  <w:gridSpan w:val="2"/>
                  <w:vAlign w:val="center"/>
                </w:tcPr>
                <w:p w14:paraId="4EA89C12">
                  <w:pPr>
                    <w:widowControl/>
                    <w:jc w:val="center"/>
                    <w:textAlignment w:val="center"/>
                    <w:rPr>
                      <w:rFonts w:hint="eastAsia"/>
                      <w:color w:val="auto"/>
                      <w:szCs w:val="21"/>
                      <w:lang w:val="en-US" w:eastAsia="zh-CN"/>
                    </w:rPr>
                  </w:pPr>
                  <w:r>
                    <w:rPr>
                      <w:rFonts w:hint="eastAsia"/>
                      <w:color w:val="auto"/>
                      <w:szCs w:val="21"/>
                      <w:lang w:val="en-US" w:eastAsia="zh-CN"/>
                    </w:rPr>
                    <w:t>1333.65</w:t>
                  </w:r>
                </w:p>
              </w:tc>
              <w:tc>
                <w:tcPr>
                  <w:tcW w:w="967" w:type="dxa"/>
                  <w:vAlign w:val="center"/>
                </w:tcPr>
                <w:p w14:paraId="1507C547">
                  <w:pPr>
                    <w:widowControl/>
                    <w:jc w:val="center"/>
                    <w:textAlignment w:val="center"/>
                    <w:rPr>
                      <w:rFonts w:hint="eastAsia"/>
                      <w:color w:val="auto"/>
                      <w:szCs w:val="21"/>
                      <w:lang w:val="en-US" w:eastAsia="zh-CN"/>
                    </w:rPr>
                  </w:pPr>
                  <w:r>
                    <w:rPr>
                      <w:rFonts w:hint="eastAsia"/>
                      <w:color w:val="auto"/>
                      <w:szCs w:val="21"/>
                      <w:lang w:val="en-US" w:eastAsia="zh-CN"/>
                    </w:rPr>
                    <w:t>25.00</w:t>
                  </w:r>
                </w:p>
              </w:tc>
            </w:tr>
            <w:tr w14:paraId="1C31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4EC66E20">
                  <w:pPr>
                    <w:widowControl/>
                    <w:jc w:val="center"/>
                    <w:textAlignment w:val="center"/>
                    <w:rPr>
                      <w:rFonts w:hint="eastAsia"/>
                      <w:color w:val="auto"/>
                      <w:szCs w:val="21"/>
                      <w:lang w:val="en-US" w:eastAsia="zh-CN"/>
                    </w:rPr>
                  </w:pPr>
                  <w:r>
                    <w:rPr>
                      <w:rFonts w:hint="eastAsia"/>
                      <w:color w:val="auto"/>
                      <w:szCs w:val="21"/>
                      <w:lang w:val="en-US" w:eastAsia="zh-CN"/>
                    </w:rPr>
                    <w:t>23</w:t>
                  </w:r>
                </w:p>
              </w:tc>
              <w:tc>
                <w:tcPr>
                  <w:tcW w:w="1480" w:type="dxa"/>
                  <w:vAlign w:val="center"/>
                </w:tcPr>
                <w:p w14:paraId="093AC011">
                  <w:pPr>
                    <w:widowControl/>
                    <w:jc w:val="center"/>
                    <w:textAlignment w:val="center"/>
                    <w:rPr>
                      <w:rFonts w:hint="eastAsia"/>
                      <w:color w:val="auto"/>
                      <w:szCs w:val="21"/>
                      <w:lang w:val="en-US" w:eastAsia="zh-CN"/>
                    </w:rPr>
                  </w:pPr>
                  <w:r>
                    <w:rPr>
                      <w:rFonts w:hint="eastAsia"/>
                      <w:color w:val="auto"/>
                      <w:szCs w:val="21"/>
                      <w:lang w:val="en-US" w:eastAsia="zh-CN"/>
                    </w:rPr>
                    <w:t>2026-04-19 17</w:t>
                  </w:r>
                </w:p>
              </w:tc>
              <w:tc>
                <w:tcPr>
                  <w:tcW w:w="1088" w:type="dxa"/>
                  <w:gridSpan w:val="2"/>
                  <w:vAlign w:val="center"/>
                </w:tcPr>
                <w:p w14:paraId="79D3976D">
                  <w:pPr>
                    <w:widowControl/>
                    <w:jc w:val="center"/>
                    <w:textAlignment w:val="center"/>
                    <w:rPr>
                      <w:rFonts w:hint="eastAsia"/>
                      <w:color w:val="auto"/>
                      <w:szCs w:val="21"/>
                      <w:lang w:val="en-US" w:eastAsia="zh-CN"/>
                    </w:rPr>
                  </w:pPr>
                  <w:r>
                    <w:rPr>
                      <w:rFonts w:hint="eastAsia"/>
                      <w:color w:val="auto"/>
                      <w:szCs w:val="21"/>
                      <w:lang w:val="en-US" w:eastAsia="zh-CN"/>
                    </w:rPr>
                    <w:t>6.61~6.66</w:t>
                  </w:r>
                </w:p>
              </w:tc>
              <w:tc>
                <w:tcPr>
                  <w:tcW w:w="904" w:type="dxa"/>
                  <w:vAlign w:val="center"/>
                </w:tcPr>
                <w:p w14:paraId="2AE2A296">
                  <w:pPr>
                    <w:widowControl/>
                    <w:jc w:val="center"/>
                    <w:textAlignment w:val="center"/>
                    <w:rPr>
                      <w:rFonts w:hint="eastAsia"/>
                      <w:color w:val="auto"/>
                      <w:szCs w:val="21"/>
                      <w:lang w:val="en-US" w:eastAsia="zh-CN"/>
                    </w:rPr>
                  </w:pPr>
                  <w:r>
                    <w:rPr>
                      <w:rFonts w:hint="eastAsia"/>
                      <w:color w:val="auto"/>
                      <w:szCs w:val="21"/>
                      <w:lang w:val="en-US" w:eastAsia="zh-CN"/>
                    </w:rPr>
                    <w:t>32.7</w:t>
                  </w:r>
                </w:p>
              </w:tc>
              <w:tc>
                <w:tcPr>
                  <w:tcW w:w="986" w:type="dxa"/>
                  <w:vAlign w:val="center"/>
                </w:tcPr>
                <w:p w14:paraId="4629B08F">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4F63D51E">
                  <w:pPr>
                    <w:widowControl/>
                    <w:jc w:val="center"/>
                    <w:textAlignment w:val="center"/>
                    <w:rPr>
                      <w:rFonts w:hint="eastAsia"/>
                      <w:color w:val="auto"/>
                      <w:szCs w:val="21"/>
                      <w:lang w:val="en-US" w:eastAsia="zh-CN"/>
                    </w:rPr>
                  </w:pPr>
                  <w:r>
                    <w:rPr>
                      <w:rFonts w:hint="eastAsia"/>
                      <w:color w:val="auto"/>
                      <w:szCs w:val="21"/>
                      <w:lang w:val="en-US" w:eastAsia="zh-CN"/>
                    </w:rPr>
                    <w:t>3.645</w:t>
                  </w:r>
                </w:p>
              </w:tc>
              <w:tc>
                <w:tcPr>
                  <w:tcW w:w="986" w:type="dxa"/>
                  <w:vAlign w:val="center"/>
                </w:tcPr>
                <w:p w14:paraId="18DC6B4E">
                  <w:pPr>
                    <w:widowControl/>
                    <w:jc w:val="center"/>
                    <w:textAlignment w:val="center"/>
                    <w:rPr>
                      <w:rFonts w:hint="eastAsia"/>
                      <w:color w:val="auto"/>
                      <w:szCs w:val="21"/>
                      <w:lang w:val="en-US" w:eastAsia="zh-CN"/>
                    </w:rPr>
                  </w:pPr>
                  <w:r>
                    <w:rPr>
                      <w:rFonts w:hint="eastAsia"/>
                      <w:color w:val="auto"/>
                      <w:szCs w:val="21"/>
                      <w:lang w:val="en-US" w:eastAsia="zh-CN"/>
                    </w:rPr>
                    <w:t>0.020</w:t>
                  </w:r>
                </w:p>
              </w:tc>
              <w:tc>
                <w:tcPr>
                  <w:tcW w:w="1005" w:type="dxa"/>
                  <w:gridSpan w:val="2"/>
                  <w:vAlign w:val="center"/>
                </w:tcPr>
                <w:p w14:paraId="6A61BD8F">
                  <w:pPr>
                    <w:widowControl/>
                    <w:jc w:val="center"/>
                    <w:textAlignment w:val="center"/>
                    <w:rPr>
                      <w:rFonts w:hint="eastAsia"/>
                      <w:color w:val="auto"/>
                      <w:szCs w:val="21"/>
                      <w:lang w:val="en-US" w:eastAsia="zh-CN"/>
                    </w:rPr>
                  </w:pPr>
                  <w:r>
                    <w:rPr>
                      <w:rFonts w:hint="eastAsia"/>
                      <w:color w:val="auto"/>
                      <w:szCs w:val="21"/>
                      <w:lang w:val="en-US" w:eastAsia="zh-CN"/>
                    </w:rPr>
                    <w:t>1317.05</w:t>
                  </w:r>
                </w:p>
              </w:tc>
              <w:tc>
                <w:tcPr>
                  <w:tcW w:w="967" w:type="dxa"/>
                  <w:vAlign w:val="center"/>
                </w:tcPr>
                <w:p w14:paraId="16303AE1">
                  <w:pPr>
                    <w:widowControl/>
                    <w:jc w:val="center"/>
                    <w:textAlignment w:val="center"/>
                    <w:rPr>
                      <w:rFonts w:hint="eastAsia"/>
                      <w:color w:val="auto"/>
                      <w:szCs w:val="21"/>
                      <w:lang w:val="en-US" w:eastAsia="zh-CN"/>
                    </w:rPr>
                  </w:pPr>
                  <w:r>
                    <w:rPr>
                      <w:rFonts w:hint="eastAsia"/>
                      <w:color w:val="auto"/>
                      <w:szCs w:val="21"/>
                      <w:lang w:val="en-US" w:eastAsia="zh-CN"/>
                    </w:rPr>
                    <w:t>25.10</w:t>
                  </w:r>
                </w:p>
              </w:tc>
            </w:tr>
            <w:tr w14:paraId="5826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dxa"/>
                  <w:vAlign w:val="center"/>
                </w:tcPr>
                <w:p w14:paraId="452DD394">
                  <w:pPr>
                    <w:widowControl/>
                    <w:jc w:val="center"/>
                    <w:textAlignment w:val="center"/>
                    <w:rPr>
                      <w:rFonts w:hint="eastAsia"/>
                      <w:color w:val="auto"/>
                      <w:szCs w:val="21"/>
                      <w:lang w:val="en-US" w:eastAsia="zh-CN"/>
                    </w:rPr>
                  </w:pPr>
                  <w:r>
                    <w:rPr>
                      <w:rFonts w:hint="eastAsia"/>
                      <w:color w:val="auto"/>
                      <w:szCs w:val="21"/>
                      <w:lang w:val="en-US" w:eastAsia="zh-CN"/>
                    </w:rPr>
                    <w:t>24</w:t>
                  </w:r>
                </w:p>
              </w:tc>
              <w:tc>
                <w:tcPr>
                  <w:tcW w:w="1480" w:type="dxa"/>
                  <w:vAlign w:val="center"/>
                </w:tcPr>
                <w:p w14:paraId="2982E5B3">
                  <w:pPr>
                    <w:widowControl/>
                    <w:jc w:val="center"/>
                    <w:textAlignment w:val="center"/>
                    <w:rPr>
                      <w:rFonts w:hint="eastAsia"/>
                      <w:color w:val="auto"/>
                      <w:szCs w:val="21"/>
                      <w:lang w:val="en-US" w:eastAsia="zh-CN"/>
                    </w:rPr>
                  </w:pPr>
                  <w:r>
                    <w:rPr>
                      <w:rFonts w:hint="eastAsia"/>
                      <w:color w:val="auto"/>
                      <w:szCs w:val="21"/>
                      <w:lang w:val="en-US" w:eastAsia="zh-CN"/>
                    </w:rPr>
                    <w:t>2026-04-19 16</w:t>
                  </w:r>
                </w:p>
              </w:tc>
              <w:tc>
                <w:tcPr>
                  <w:tcW w:w="1088" w:type="dxa"/>
                  <w:gridSpan w:val="2"/>
                  <w:vAlign w:val="center"/>
                </w:tcPr>
                <w:p w14:paraId="7C61995F">
                  <w:pPr>
                    <w:widowControl/>
                    <w:jc w:val="center"/>
                    <w:textAlignment w:val="center"/>
                    <w:rPr>
                      <w:rFonts w:hint="eastAsia"/>
                      <w:color w:val="auto"/>
                      <w:szCs w:val="21"/>
                      <w:lang w:val="en-US" w:eastAsia="zh-CN"/>
                    </w:rPr>
                  </w:pPr>
                  <w:r>
                    <w:rPr>
                      <w:rFonts w:hint="eastAsia"/>
                      <w:color w:val="auto"/>
                      <w:szCs w:val="21"/>
                      <w:lang w:val="en-US" w:eastAsia="zh-CN"/>
                    </w:rPr>
                    <w:t>6.63~6.68</w:t>
                  </w:r>
                </w:p>
              </w:tc>
              <w:tc>
                <w:tcPr>
                  <w:tcW w:w="904" w:type="dxa"/>
                  <w:vAlign w:val="center"/>
                </w:tcPr>
                <w:p w14:paraId="469EE2A0">
                  <w:pPr>
                    <w:widowControl/>
                    <w:jc w:val="center"/>
                    <w:textAlignment w:val="center"/>
                    <w:rPr>
                      <w:rFonts w:hint="eastAsia"/>
                      <w:color w:val="auto"/>
                      <w:szCs w:val="21"/>
                      <w:lang w:val="en-US" w:eastAsia="zh-CN"/>
                    </w:rPr>
                  </w:pPr>
                  <w:r>
                    <w:rPr>
                      <w:rFonts w:hint="eastAsia"/>
                      <w:color w:val="auto"/>
                      <w:szCs w:val="21"/>
                      <w:lang w:val="en-US" w:eastAsia="zh-CN"/>
                    </w:rPr>
                    <w:t>28.0</w:t>
                  </w:r>
                </w:p>
              </w:tc>
              <w:tc>
                <w:tcPr>
                  <w:tcW w:w="986" w:type="dxa"/>
                  <w:vAlign w:val="center"/>
                </w:tcPr>
                <w:p w14:paraId="1DE53865">
                  <w:pPr>
                    <w:widowControl/>
                    <w:jc w:val="center"/>
                    <w:textAlignment w:val="center"/>
                    <w:rPr>
                      <w:rFonts w:hint="eastAsia"/>
                      <w:color w:val="auto"/>
                      <w:szCs w:val="21"/>
                      <w:lang w:val="en-US" w:eastAsia="zh-CN"/>
                    </w:rPr>
                  </w:pPr>
                  <w:r>
                    <w:rPr>
                      <w:rFonts w:hint="eastAsia"/>
                      <w:color w:val="auto"/>
                      <w:szCs w:val="21"/>
                      <w:lang w:val="en-US" w:eastAsia="zh-CN"/>
                    </w:rPr>
                    <w:t>0.041</w:t>
                  </w:r>
                </w:p>
              </w:tc>
              <w:tc>
                <w:tcPr>
                  <w:tcW w:w="986" w:type="dxa"/>
                  <w:vAlign w:val="center"/>
                </w:tcPr>
                <w:p w14:paraId="268A56DC">
                  <w:pPr>
                    <w:widowControl/>
                    <w:jc w:val="center"/>
                    <w:textAlignment w:val="center"/>
                    <w:rPr>
                      <w:rFonts w:hint="eastAsia"/>
                      <w:color w:val="auto"/>
                      <w:szCs w:val="21"/>
                      <w:lang w:val="en-US" w:eastAsia="zh-CN"/>
                    </w:rPr>
                  </w:pPr>
                  <w:r>
                    <w:rPr>
                      <w:rFonts w:hint="eastAsia"/>
                      <w:color w:val="auto"/>
                      <w:szCs w:val="21"/>
                      <w:lang w:val="en-US" w:eastAsia="zh-CN"/>
                    </w:rPr>
                    <w:t>3.414</w:t>
                  </w:r>
                </w:p>
              </w:tc>
              <w:tc>
                <w:tcPr>
                  <w:tcW w:w="986" w:type="dxa"/>
                  <w:vAlign w:val="center"/>
                </w:tcPr>
                <w:p w14:paraId="310764E6">
                  <w:pPr>
                    <w:widowControl/>
                    <w:jc w:val="center"/>
                    <w:textAlignment w:val="center"/>
                    <w:rPr>
                      <w:rFonts w:hint="eastAsia"/>
                      <w:color w:val="auto"/>
                      <w:szCs w:val="21"/>
                      <w:lang w:val="en-US" w:eastAsia="zh-CN"/>
                    </w:rPr>
                  </w:pPr>
                  <w:r>
                    <w:rPr>
                      <w:rFonts w:hint="eastAsia"/>
                      <w:color w:val="auto"/>
                      <w:szCs w:val="21"/>
                      <w:lang w:val="en-US" w:eastAsia="zh-CN"/>
                    </w:rPr>
                    <w:t>0.021</w:t>
                  </w:r>
                </w:p>
              </w:tc>
              <w:tc>
                <w:tcPr>
                  <w:tcW w:w="1005" w:type="dxa"/>
                  <w:gridSpan w:val="2"/>
                  <w:vAlign w:val="center"/>
                </w:tcPr>
                <w:p w14:paraId="0E3537C5">
                  <w:pPr>
                    <w:widowControl/>
                    <w:jc w:val="center"/>
                    <w:textAlignment w:val="center"/>
                    <w:rPr>
                      <w:rFonts w:hint="eastAsia"/>
                      <w:color w:val="auto"/>
                      <w:szCs w:val="21"/>
                      <w:lang w:val="en-US" w:eastAsia="zh-CN"/>
                    </w:rPr>
                  </w:pPr>
                  <w:r>
                    <w:rPr>
                      <w:rFonts w:hint="eastAsia"/>
                      <w:color w:val="auto"/>
                      <w:szCs w:val="21"/>
                      <w:lang w:val="en-US" w:eastAsia="zh-CN"/>
                    </w:rPr>
                    <w:t>1291.51</w:t>
                  </w:r>
                </w:p>
              </w:tc>
              <w:tc>
                <w:tcPr>
                  <w:tcW w:w="967" w:type="dxa"/>
                  <w:vAlign w:val="center"/>
                </w:tcPr>
                <w:p w14:paraId="4A3409F3">
                  <w:pPr>
                    <w:widowControl/>
                    <w:jc w:val="center"/>
                    <w:textAlignment w:val="center"/>
                    <w:rPr>
                      <w:rFonts w:hint="eastAsia"/>
                      <w:color w:val="auto"/>
                      <w:szCs w:val="21"/>
                      <w:lang w:val="en-US" w:eastAsia="zh-CN"/>
                    </w:rPr>
                  </w:pPr>
                  <w:r>
                    <w:rPr>
                      <w:rFonts w:hint="eastAsia"/>
                      <w:color w:val="auto"/>
                      <w:szCs w:val="21"/>
                      <w:lang w:val="en-US" w:eastAsia="zh-CN"/>
                    </w:rPr>
                    <w:t>25.20</w:t>
                  </w:r>
                </w:p>
              </w:tc>
            </w:tr>
            <w:tr w14:paraId="3AAC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0" w:type="dxa"/>
                  <w:gridSpan w:val="2"/>
                  <w:vAlign w:val="center"/>
                </w:tcPr>
                <w:p w14:paraId="4ACF0B4E">
                  <w:pPr>
                    <w:widowControl/>
                    <w:jc w:val="center"/>
                    <w:textAlignment w:val="center"/>
                    <w:rPr>
                      <w:rFonts w:hint="default"/>
                      <w:color w:val="auto"/>
                      <w:szCs w:val="21"/>
                      <w:lang w:val="en-US" w:eastAsia="zh-CN"/>
                    </w:rPr>
                  </w:pPr>
                  <w:r>
                    <w:rPr>
                      <w:rFonts w:hint="eastAsia"/>
                      <w:color w:val="auto"/>
                      <w:szCs w:val="21"/>
                      <w:lang w:val="en-US" w:eastAsia="zh-CN"/>
                    </w:rPr>
                    <w:t>标准限值</w:t>
                  </w:r>
                </w:p>
              </w:tc>
              <w:tc>
                <w:tcPr>
                  <w:tcW w:w="1088" w:type="dxa"/>
                  <w:gridSpan w:val="2"/>
                  <w:vAlign w:val="center"/>
                </w:tcPr>
                <w:p w14:paraId="61B8DCBB">
                  <w:pPr>
                    <w:widowControl/>
                    <w:jc w:val="center"/>
                    <w:textAlignment w:val="center"/>
                    <w:rPr>
                      <w:rFonts w:hint="eastAsia"/>
                      <w:color w:val="auto"/>
                      <w:szCs w:val="21"/>
                      <w:lang w:val="en-US" w:eastAsia="zh-CN"/>
                    </w:rPr>
                  </w:pPr>
                  <w:r>
                    <w:rPr>
                      <w:color w:val="auto"/>
                      <w:szCs w:val="21"/>
                    </w:rPr>
                    <w:t>6~9</w:t>
                  </w:r>
                </w:p>
              </w:tc>
              <w:tc>
                <w:tcPr>
                  <w:tcW w:w="904" w:type="dxa"/>
                  <w:vAlign w:val="center"/>
                </w:tcPr>
                <w:p w14:paraId="205D3FF2">
                  <w:pPr>
                    <w:widowControl/>
                    <w:jc w:val="center"/>
                    <w:textAlignment w:val="center"/>
                    <w:rPr>
                      <w:rFonts w:hint="eastAsia"/>
                      <w:color w:val="auto"/>
                      <w:szCs w:val="21"/>
                      <w:lang w:val="en-US" w:eastAsia="zh-CN"/>
                    </w:rPr>
                  </w:pPr>
                  <w:r>
                    <w:rPr>
                      <w:rFonts w:hint="eastAsia"/>
                      <w:color w:val="auto"/>
                      <w:szCs w:val="21"/>
                    </w:rPr>
                    <w:t>40</w:t>
                  </w:r>
                </w:p>
              </w:tc>
              <w:tc>
                <w:tcPr>
                  <w:tcW w:w="986" w:type="dxa"/>
                  <w:vAlign w:val="center"/>
                </w:tcPr>
                <w:p w14:paraId="6C36D0A3">
                  <w:pPr>
                    <w:widowControl/>
                    <w:jc w:val="center"/>
                    <w:textAlignment w:val="center"/>
                    <w:rPr>
                      <w:rFonts w:hint="eastAsia"/>
                      <w:color w:val="auto"/>
                      <w:szCs w:val="21"/>
                      <w:lang w:val="en-US" w:eastAsia="zh-CN"/>
                    </w:rPr>
                  </w:pPr>
                  <w:r>
                    <w:rPr>
                      <w:rFonts w:hint="eastAsia"/>
                      <w:color w:val="auto"/>
                      <w:szCs w:val="21"/>
                    </w:rPr>
                    <w:t>2（4）</w:t>
                  </w:r>
                </w:p>
              </w:tc>
              <w:tc>
                <w:tcPr>
                  <w:tcW w:w="986" w:type="dxa"/>
                  <w:vAlign w:val="center"/>
                </w:tcPr>
                <w:p w14:paraId="2CE0D341">
                  <w:pPr>
                    <w:widowControl/>
                    <w:jc w:val="center"/>
                    <w:textAlignment w:val="center"/>
                    <w:rPr>
                      <w:rFonts w:hint="eastAsia"/>
                      <w:color w:val="auto"/>
                      <w:szCs w:val="21"/>
                      <w:lang w:val="en-US" w:eastAsia="zh-CN"/>
                    </w:rPr>
                  </w:pPr>
                  <w:r>
                    <w:rPr>
                      <w:color w:val="auto"/>
                      <w:szCs w:val="21"/>
                    </w:rPr>
                    <w:t>1</w:t>
                  </w:r>
                  <w:r>
                    <w:rPr>
                      <w:rFonts w:hint="eastAsia"/>
                      <w:color w:val="auto"/>
                      <w:szCs w:val="21"/>
                    </w:rPr>
                    <w:t>2（15）</w:t>
                  </w:r>
                </w:p>
              </w:tc>
              <w:tc>
                <w:tcPr>
                  <w:tcW w:w="986" w:type="dxa"/>
                  <w:vAlign w:val="center"/>
                </w:tcPr>
                <w:p w14:paraId="7E26892D">
                  <w:pPr>
                    <w:widowControl/>
                    <w:jc w:val="center"/>
                    <w:textAlignment w:val="center"/>
                    <w:rPr>
                      <w:rFonts w:hint="eastAsia"/>
                      <w:color w:val="auto"/>
                      <w:szCs w:val="21"/>
                      <w:lang w:val="en-US" w:eastAsia="zh-CN"/>
                    </w:rPr>
                  </w:pPr>
                  <w:r>
                    <w:rPr>
                      <w:color w:val="auto"/>
                      <w:szCs w:val="21"/>
                    </w:rPr>
                    <w:t>0.</w:t>
                  </w:r>
                  <w:r>
                    <w:rPr>
                      <w:rFonts w:hint="eastAsia"/>
                      <w:color w:val="auto"/>
                      <w:szCs w:val="21"/>
                    </w:rPr>
                    <w:t>3</w:t>
                  </w:r>
                </w:p>
              </w:tc>
              <w:tc>
                <w:tcPr>
                  <w:tcW w:w="1005" w:type="dxa"/>
                  <w:gridSpan w:val="2"/>
                  <w:vAlign w:val="center"/>
                </w:tcPr>
                <w:p w14:paraId="54303FA4">
                  <w:pPr>
                    <w:widowControl/>
                    <w:jc w:val="center"/>
                    <w:textAlignment w:val="center"/>
                    <w:rPr>
                      <w:rFonts w:hint="default"/>
                      <w:color w:val="auto"/>
                      <w:szCs w:val="21"/>
                      <w:lang w:val="en-US" w:eastAsia="zh-CN"/>
                    </w:rPr>
                  </w:pPr>
                  <w:r>
                    <w:rPr>
                      <w:rFonts w:hint="eastAsia"/>
                      <w:color w:val="auto"/>
                      <w:szCs w:val="21"/>
                      <w:lang w:val="en-US" w:eastAsia="zh-CN"/>
                    </w:rPr>
                    <w:t>/</w:t>
                  </w:r>
                </w:p>
              </w:tc>
              <w:tc>
                <w:tcPr>
                  <w:tcW w:w="967" w:type="dxa"/>
                  <w:vAlign w:val="center"/>
                </w:tcPr>
                <w:p w14:paraId="506B732F">
                  <w:pPr>
                    <w:widowControl/>
                    <w:jc w:val="center"/>
                    <w:textAlignment w:val="center"/>
                    <w:rPr>
                      <w:rFonts w:hint="default"/>
                      <w:color w:val="auto"/>
                      <w:szCs w:val="21"/>
                      <w:lang w:val="en-US" w:eastAsia="zh-CN"/>
                    </w:rPr>
                  </w:pPr>
                  <w:r>
                    <w:rPr>
                      <w:rFonts w:hint="eastAsia"/>
                      <w:color w:val="auto"/>
                      <w:szCs w:val="21"/>
                      <w:lang w:val="en-US" w:eastAsia="zh-CN"/>
                    </w:rPr>
                    <w:t>/</w:t>
                  </w:r>
                </w:p>
              </w:tc>
            </w:tr>
          </w:tbl>
          <w:p w14:paraId="27F4169A">
            <w:pPr>
              <w:spacing w:line="360" w:lineRule="auto"/>
              <w:ind w:firstLine="480" w:firstLineChars="200"/>
              <w:rPr>
                <w:color w:val="auto"/>
                <w:sz w:val="24"/>
              </w:rPr>
            </w:pPr>
            <w:r>
              <w:rPr>
                <w:rFonts w:hint="eastAsia"/>
                <w:color w:val="auto"/>
                <w:sz w:val="24"/>
              </w:rPr>
              <w:t>根据浙江省污染源自动监控信息管理平台上相关资料，湖州光正水质净化有限公司目前稳定运行，出水水质中各监测指标均能满足《城镇污水处理厂污染物排放标准》</w:t>
            </w:r>
            <w:r>
              <w:rPr>
                <w:rFonts w:hint="eastAsia"/>
                <w:color w:val="auto"/>
                <w:sz w:val="24"/>
                <w:lang w:eastAsia="zh-CN"/>
              </w:rPr>
              <w:t>（</w:t>
            </w:r>
            <w:r>
              <w:rPr>
                <w:rFonts w:hint="eastAsia"/>
                <w:color w:val="auto"/>
                <w:sz w:val="24"/>
              </w:rPr>
              <w:t>GB18918-2002</w:t>
            </w:r>
            <w:r>
              <w:rPr>
                <w:rFonts w:hint="eastAsia"/>
                <w:color w:val="auto"/>
                <w:sz w:val="24"/>
                <w:lang w:eastAsia="zh-CN"/>
              </w:rPr>
              <w:t>，</w:t>
            </w:r>
            <w:r>
              <w:rPr>
                <w:rFonts w:hint="eastAsia"/>
                <w:color w:val="auto"/>
                <w:sz w:val="24"/>
                <w:lang w:val="zh-CN"/>
              </w:rPr>
              <w:t>含2006年、2025年修改单</w:t>
            </w:r>
            <w:r>
              <w:rPr>
                <w:rFonts w:hint="eastAsia"/>
                <w:color w:val="auto"/>
                <w:sz w:val="24"/>
                <w:lang w:eastAsia="zh-CN"/>
              </w:rPr>
              <w:t>）</w:t>
            </w:r>
            <w:r>
              <w:rPr>
                <w:rFonts w:hint="eastAsia"/>
                <w:color w:val="auto"/>
                <w:sz w:val="24"/>
              </w:rPr>
              <w:t>一级A标准要求，且化学需氧量、氨氮、总氮、总磷4项指标满足《城镇污水处理厂主要水污染物排放标准》（DB33/2169-2018）表1标准。</w:t>
            </w:r>
          </w:p>
          <w:p w14:paraId="5A13E6FD">
            <w:pPr>
              <w:spacing w:line="360" w:lineRule="auto"/>
              <w:ind w:firstLine="480" w:firstLineChars="200"/>
              <w:rPr>
                <w:color w:val="auto"/>
                <w:sz w:val="24"/>
              </w:rPr>
            </w:pPr>
            <w:r>
              <w:rPr>
                <w:rFonts w:hint="eastAsia"/>
                <w:color w:val="auto"/>
                <w:sz w:val="24"/>
              </w:rPr>
              <w:t>②污水处理厂处理余量能够满足项目废水处理要求</w:t>
            </w:r>
          </w:p>
          <w:p w14:paraId="489157F8">
            <w:pPr>
              <w:spacing w:line="360" w:lineRule="auto"/>
              <w:ind w:firstLine="480" w:firstLineChars="200"/>
              <w:rPr>
                <w:color w:val="auto"/>
                <w:sz w:val="24"/>
              </w:rPr>
            </w:pPr>
            <w:r>
              <w:rPr>
                <w:rFonts w:hint="eastAsia"/>
                <w:color w:val="auto"/>
                <w:sz w:val="24"/>
              </w:rPr>
              <w:t>项目不排放生产废水，生活污水总排放量为294 t/a，折合约0.85 t/d。据调查，湖州光正水质净化有限公司目前暂无处理余量。本项目投产后，仅纳管排放生活污水，且企业员工均为练市镇本地人员，不新增外来员工，因此区域内生活污水排放量未发生新增变化。项目废水排放量小，水质亦满足污水处理厂进水水质要求，预计不会对污水处理厂造成较大冲击。经污水处理厂集中处理后排放，项目废水对纳污水体的环境影响较小。</w:t>
            </w:r>
          </w:p>
          <w:p w14:paraId="0AE899B1">
            <w:pPr>
              <w:spacing w:line="360" w:lineRule="auto"/>
              <w:ind w:firstLine="480" w:firstLineChars="200"/>
              <w:rPr>
                <w:color w:val="auto"/>
                <w:sz w:val="24"/>
              </w:rPr>
            </w:pPr>
            <w:r>
              <w:rPr>
                <w:rFonts w:hint="eastAsia"/>
                <w:color w:val="auto"/>
                <w:sz w:val="24"/>
              </w:rPr>
              <w:t>4、</w:t>
            </w:r>
            <w:r>
              <w:rPr>
                <w:color w:val="auto"/>
                <w:sz w:val="24"/>
              </w:rPr>
              <w:t>环境监测等其他要求</w:t>
            </w:r>
          </w:p>
          <w:p w14:paraId="185CD18D">
            <w:pPr>
              <w:spacing w:line="360" w:lineRule="auto"/>
              <w:ind w:firstLine="480" w:firstLineChars="200"/>
              <w:rPr>
                <w:color w:val="auto"/>
                <w:sz w:val="24"/>
              </w:rPr>
            </w:pPr>
            <w:r>
              <w:rPr>
                <w:color w:val="auto"/>
                <w:sz w:val="24"/>
              </w:rPr>
              <w:t>项目废水环境监测计划详见后续章节4.</w:t>
            </w:r>
            <w:r>
              <w:rPr>
                <w:rFonts w:hint="eastAsia"/>
                <w:color w:val="auto"/>
                <w:sz w:val="24"/>
              </w:rPr>
              <w:t>3</w:t>
            </w:r>
            <w:r>
              <w:rPr>
                <w:color w:val="auto"/>
                <w:sz w:val="24"/>
              </w:rPr>
              <w:t>环境监测计划。</w:t>
            </w:r>
          </w:p>
          <w:p w14:paraId="3BDFD52E">
            <w:pPr>
              <w:spacing w:line="360" w:lineRule="auto"/>
              <w:ind w:firstLine="480" w:firstLineChars="200"/>
              <w:rPr>
                <w:color w:val="auto"/>
                <w:sz w:val="24"/>
              </w:rPr>
            </w:pPr>
            <w:r>
              <w:rPr>
                <w:color w:val="auto"/>
                <w:sz w:val="24"/>
              </w:rPr>
              <w:t>根据原国家环境保护局《关于开展排污口规范化整治试点工作的通知》等文件的要求，企业应加强排污口的规范化管理，并定期清理化粪池等。</w:t>
            </w:r>
          </w:p>
          <w:p w14:paraId="15022014">
            <w:pPr>
              <w:numPr>
                <w:ilvl w:val="0"/>
                <w:numId w:val="26"/>
              </w:numPr>
              <w:tabs>
                <w:tab w:val="left" w:pos="993"/>
                <w:tab w:val="clear" w:pos="0"/>
              </w:tabs>
              <w:adjustRightInd w:val="0"/>
              <w:spacing w:line="360" w:lineRule="auto"/>
              <w:rPr>
                <w:b/>
                <w:bCs/>
                <w:color w:val="auto"/>
                <w:sz w:val="24"/>
              </w:rPr>
            </w:pPr>
            <w:r>
              <w:rPr>
                <w:rFonts w:hint="eastAsia"/>
                <w:b/>
                <w:bCs/>
                <w:color w:val="auto"/>
                <w:sz w:val="24"/>
              </w:rPr>
              <w:t>噪声</w:t>
            </w:r>
          </w:p>
          <w:p w14:paraId="0D9554FE">
            <w:pPr>
              <w:spacing w:line="360" w:lineRule="auto"/>
              <w:ind w:firstLine="480" w:firstLineChars="200"/>
              <w:rPr>
                <w:color w:val="auto"/>
                <w:sz w:val="24"/>
              </w:rPr>
            </w:pPr>
            <w:r>
              <w:rPr>
                <w:color w:val="auto"/>
                <w:sz w:val="24"/>
              </w:rPr>
              <w:t>1、产污环节及污染源强</w:t>
            </w:r>
          </w:p>
          <w:p w14:paraId="34EA50D1">
            <w:pPr>
              <w:adjustRightInd w:val="0"/>
              <w:spacing w:line="360" w:lineRule="auto"/>
              <w:ind w:firstLine="480" w:firstLineChars="200"/>
              <w:rPr>
                <w:color w:val="auto"/>
                <w:sz w:val="24"/>
              </w:rPr>
            </w:pPr>
            <w:r>
              <w:rPr>
                <w:color w:val="auto"/>
                <w:sz w:val="24"/>
              </w:rPr>
              <w:t>项目噪声源主要为</w:t>
            </w:r>
            <w:r>
              <w:rPr>
                <w:rFonts w:hint="eastAsia"/>
                <w:color w:val="auto"/>
                <w:sz w:val="24"/>
              </w:rPr>
              <w:t>混料、挤出、裁切等</w:t>
            </w:r>
            <w:r>
              <w:rPr>
                <w:color w:val="auto"/>
                <w:sz w:val="24"/>
              </w:rPr>
              <w:t>生产工序所产生的机械噪音，</w:t>
            </w:r>
            <w:r>
              <w:rPr>
                <w:rFonts w:hint="eastAsia"/>
                <w:color w:val="auto"/>
                <w:sz w:val="24"/>
              </w:rPr>
              <w:t>以及废气处理设施风机的噪声，</w:t>
            </w:r>
            <w:r>
              <w:rPr>
                <w:color w:val="auto"/>
                <w:sz w:val="24"/>
              </w:rPr>
              <w:t>项目主要</w:t>
            </w:r>
            <w:r>
              <w:rPr>
                <w:rFonts w:hint="eastAsia"/>
                <w:color w:val="auto"/>
                <w:sz w:val="24"/>
              </w:rPr>
              <w:t>产噪</w:t>
            </w:r>
            <w:r>
              <w:rPr>
                <w:color w:val="auto"/>
                <w:sz w:val="24"/>
              </w:rPr>
              <w:t>设备的噪声源强调查表。</w:t>
            </w:r>
          </w:p>
          <w:p w14:paraId="1C2B32C7">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工业企业噪声源强调查清单（室外声源）</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308"/>
              <w:gridCol w:w="708"/>
              <w:gridCol w:w="732"/>
              <w:gridCol w:w="720"/>
              <w:gridCol w:w="672"/>
              <w:gridCol w:w="1512"/>
              <w:gridCol w:w="828"/>
              <w:gridCol w:w="1177"/>
              <w:gridCol w:w="844"/>
            </w:tblGrid>
            <w:tr w14:paraId="3741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dxa"/>
                  <w:vMerge w:val="restart"/>
                  <w:vAlign w:val="center"/>
                </w:tcPr>
                <w:p w14:paraId="4047AF65">
                  <w:pPr>
                    <w:jc w:val="center"/>
                    <w:rPr>
                      <w:bCs/>
                      <w:color w:val="auto"/>
                      <w:szCs w:val="21"/>
                    </w:rPr>
                  </w:pPr>
                  <w:r>
                    <w:rPr>
                      <w:bCs/>
                      <w:color w:val="auto"/>
                      <w:szCs w:val="21"/>
                    </w:rPr>
                    <w:t>序号</w:t>
                  </w:r>
                </w:p>
              </w:tc>
              <w:tc>
                <w:tcPr>
                  <w:tcW w:w="1308" w:type="dxa"/>
                  <w:vMerge w:val="restart"/>
                  <w:vAlign w:val="center"/>
                </w:tcPr>
                <w:p w14:paraId="19208AE3">
                  <w:pPr>
                    <w:jc w:val="center"/>
                    <w:rPr>
                      <w:bCs/>
                      <w:color w:val="auto"/>
                      <w:szCs w:val="21"/>
                    </w:rPr>
                  </w:pPr>
                  <w:r>
                    <w:rPr>
                      <w:bCs/>
                      <w:color w:val="auto"/>
                      <w:szCs w:val="21"/>
                    </w:rPr>
                    <w:t>声源名称</w:t>
                  </w:r>
                </w:p>
              </w:tc>
              <w:tc>
                <w:tcPr>
                  <w:tcW w:w="708" w:type="dxa"/>
                  <w:vMerge w:val="restart"/>
                  <w:vAlign w:val="center"/>
                </w:tcPr>
                <w:p w14:paraId="107CEE19">
                  <w:pPr>
                    <w:jc w:val="center"/>
                    <w:rPr>
                      <w:bCs/>
                      <w:color w:val="auto"/>
                      <w:szCs w:val="21"/>
                    </w:rPr>
                  </w:pPr>
                  <w:r>
                    <w:rPr>
                      <w:bCs/>
                      <w:color w:val="auto"/>
                      <w:szCs w:val="21"/>
                    </w:rPr>
                    <w:t>型号</w:t>
                  </w:r>
                </w:p>
              </w:tc>
              <w:tc>
                <w:tcPr>
                  <w:tcW w:w="2124" w:type="dxa"/>
                  <w:gridSpan w:val="3"/>
                  <w:vAlign w:val="center"/>
                </w:tcPr>
                <w:p w14:paraId="23C70170">
                  <w:pPr>
                    <w:jc w:val="center"/>
                    <w:rPr>
                      <w:bCs/>
                      <w:color w:val="auto"/>
                      <w:szCs w:val="21"/>
                    </w:rPr>
                  </w:pPr>
                  <w:r>
                    <w:rPr>
                      <w:bCs/>
                      <w:color w:val="auto"/>
                      <w:szCs w:val="21"/>
                    </w:rPr>
                    <w:t>空间相对位置/m</w:t>
                  </w:r>
                </w:p>
              </w:tc>
              <w:tc>
                <w:tcPr>
                  <w:tcW w:w="2340" w:type="dxa"/>
                  <w:gridSpan w:val="2"/>
                  <w:vAlign w:val="center"/>
                </w:tcPr>
                <w:p w14:paraId="248EDCB0">
                  <w:pPr>
                    <w:jc w:val="center"/>
                    <w:rPr>
                      <w:bCs/>
                      <w:color w:val="auto"/>
                      <w:szCs w:val="21"/>
                    </w:rPr>
                  </w:pPr>
                  <w:r>
                    <w:rPr>
                      <w:bCs/>
                      <w:color w:val="auto"/>
                      <w:szCs w:val="21"/>
                    </w:rPr>
                    <w:t>声源源强（任选一种）</w:t>
                  </w:r>
                </w:p>
              </w:tc>
              <w:tc>
                <w:tcPr>
                  <w:tcW w:w="1177" w:type="dxa"/>
                  <w:vMerge w:val="restart"/>
                  <w:vAlign w:val="center"/>
                </w:tcPr>
                <w:p w14:paraId="17B50BDB">
                  <w:pPr>
                    <w:jc w:val="center"/>
                    <w:rPr>
                      <w:bCs/>
                      <w:color w:val="auto"/>
                      <w:szCs w:val="21"/>
                    </w:rPr>
                  </w:pPr>
                  <w:r>
                    <w:rPr>
                      <w:bCs/>
                      <w:color w:val="auto"/>
                      <w:szCs w:val="21"/>
                    </w:rPr>
                    <w:t>声源控制措施</w:t>
                  </w:r>
                </w:p>
              </w:tc>
              <w:tc>
                <w:tcPr>
                  <w:tcW w:w="844" w:type="dxa"/>
                  <w:vMerge w:val="restart"/>
                  <w:vAlign w:val="center"/>
                </w:tcPr>
                <w:p w14:paraId="179481B7">
                  <w:pPr>
                    <w:jc w:val="center"/>
                    <w:rPr>
                      <w:bCs/>
                      <w:color w:val="auto"/>
                      <w:szCs w:val="21"/>
                    </w:rPr>
                  </w:pPr>
                  <w:r>
                    <w:rPr>
                      <w:bCs/>
                      <w:color w:val="auto"/>
                      <w:szCs w:val="21"/>
                    </w:rPr>
                    <w:t>运行时段</w:t>
                  </w:r>
                </w:p>
              </w:tc>
            </w:tr>
            <w:tr w14:paraId="3C3E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dxa"/>
                  <w:vMerge w:val="continue"/>
                  <w:vAlign w:val="center"/>
                </w:tcPr>
                <w:p w14:paraId="541B0A54">
                  <w:pPr>
                    <w:spacing w:line="360" w:lineRule="auto"/>
                    <w:jc w:val="center"/>
                    <w:rPr>
                      <w:color w:val="auto"/>
                      <w:szCs w:val="21"/>
                    </w:rPr>
                  </w:pPr>
                </w:p>
              </w:tc>
              <w:tc>
                <w:tcPr>
                  <w:tcW w:w="1308" w:type="dxa"/>
                  <w:vMerge w:val="continue"/>
                  <w:vAlign w:val="center"/>
                </w:tcPr>
                <w:p w14:paraId="2C68217E">
                  <w:pPr>
                    <w:spacing w:line="360" w:lineRule="auto"/>
                    <w:jc w:val="center"/>
                    <w:rPr>
                      <w:color w:val="auto"/>
                      <w:szCs w:val="21"/>
                    </w:rPr>
                  </w:pPr>
                </w:p>
              </w:tc>
              <w:tc>
                <w:tcPr>
                  <w:tcW w:w="708" w:type="dxa"/>
                  <w:vMerge w:val="continue"/>
                  <w:vAlign w:val="center"/>
                </w:tcPr>
                <w:p w14:paraId="31D9A49C">
                  <w:pPr>
                    <w:spacing w:line="360" w:lineRule="auto"/>
                    <w:jc w:val="center"/>
                    <w:rPr>
                      <w:color w:val="auto"/>
                      <w:szCs w:val="21"/>
                    </w:rPr>
                  </w:pPr>
                </w:p>
              </w:tc>
              <w:tc>
                <w:tcPr>
                  <w:tcW w:w="732" w:type="dxa"/>
                  <w:vAlign w:val="center"/>
                </w:tcPr>
                <w:p w14:paraId="058CB33E">
                  <w:pPr>
                    <w:jc w:val="center"/>
                    <w:rPr>
                      <w:color w:val="auto"/>
                      <w:szCs w:val="21"/>
                    </w:rPr>
                  </w:pPr>
                  <w:r>
                    <w:rPr>
                      <w:color w:val="auto"/>
                      <w:szCs w:val="21"/>
                    </w:rPr>
                    <w:t>X</w:t>
                  </w:r>
                </w:p>
              </w:tc>
              <w:tc>
                <w:tcPr>
                  <w:tcW w:w="720" w:type="dxa"/>
                  <w:vAlign w:val="center"/>
                </w:tcPr>
                <w:p w14:paraId="01C4F857">
                  <w:pPr>
                    <w:jc w:val="center"/>
                    <w:rPr>
                      <w:color w:val="auto"/>
                      <w:szCs w:val="21"/>
                    </w:rPr>
                  </w:pPr>
                  <w:r>
                    <w:rPr>
                      <w:color w:val="auto"/>
                      <w:szCs w:val="21"/>
                    </w:rPr>
                    <w:t>Y</w:t>
                  </w:r>
                </w:p>
              </w:tc>
              <w:tc>
                <w:tcPr>
                  <w:tcW w:w="672" w:type="dxa"/>
                  <w:vAlign w:val="center"/>
                </w:tcPr>
                <w:p w14:paraId="7C77D886">
                  <w:pPr>
                    <w:jc w:val="center"/>
                    <w:rPr>
                      <w:color w:val="auto"/>
                      <w:szCs w:val="21"/>
                    </w:rPr>
                  </w:pPr>
                  <w:r>
                    <w:rPr>
                      <w:color w:val="auto"/>
                      <w:szCs w:val="21"/>
                    </w:rPr>
                    <w:t>Z</w:t>
                  </w:r>
                </w:p>
              </w:tc>
              <w:tc>
                <w:tcPr>
                  <w:tcW w:w="1512" w:type="dxa"/>
                  <w:vAlign w:val="center"/>
                </w:tcPr>
                <w:p w14:paraId="1CBA925B">
                  <w:pPr>
                    <w:jc w:val="center"/>
                    <w:rPr>
                      <w:color w:val="auto"/>
                      <w:szCs w:val="21"/>
                    </w:rPr>
                  </w:pPr>
                  <w:r>
                    <w:rPr>
                      <w:color w:val="auto"/>
                      <w:szCs w:val="21"/>
                    </w:rPr>
                    <w:t>（声压级/距声源距离）/（dB(A)/m）</w:t>
                  </w:r>
                </w:p>
              </w:tc>
              <w:tc>
                <w:tcPr>
                  <w:tcW w:w="828" w:type="dxa"/>
                  <w:vAlign w:val="center"/>
                </w:tcPr>
                <w:p w14:paraId="3C8D7969">
                  <w:pPr>
                    <w:jc w:val="center"/>
                    <w:rPr>
                      <w:color w:val="auto"/>
                      <w:szCs w:val="21"/>
                    </w:rPr>
                  </w:pPr>
                  <w:r>
                    <w:rPr>
                      <w:color w:val="auto"/>
                      <w:szCs w:val="21"/>
                    </w:rPr>
                    <w:t>声功率级/dB(A)</w:t>
                  </w:r>
                </w:p>
              </w:tc>
              <w:tc>
                <w:tcPr>
                  <w:tcW w:w="1177" w:type="dxa"/>
                  <w:vMerge w:val="continue"/>
                  <w:vAlign w:val="center"/>
                </w:tcPr>
                <w:p w14:paraId="1A778E82">
                  <w:pPr>
                    <w:spacing w:line="360" w:lineRule="auto"/>
                    <w:jc w:val="center"/>
                    <w:rPr>
                      <w:color w:val="auto"/>
                      <w:szCs w:val="21"/>
                    </w:rPr>
                  </w:pPr>
                </w:p>
              </w:tc>
              <w:tc>
                <w:tcPr>
                  <w:tcW w:w="844" w:type="dxa"/>
                  <w:vMerge w:val="continue"/>
                  <w:vAlign w:val="center"/>
                </w:tcPr>
                <w:p w14:paraId="77A2D123">
                  <w:pPr>
                    <w:spacing w:line="360" w:lineRule="auto"/>
                    <w:jc w:val="center"/>
                    <w:rPr>
                      <w:color w:val="auto"/>
                      <w:szCs w:val="21"/>
                    </w:rPr>
                  </w:pPr>
                </w:p>
              </w:tc>
            </w:tr>
            <w:tr w14:paraId="021D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dxa"/>
                  <w:vAlign w:val="center"/>
                </w:tcPr>
                <w:p w14:paraId="37CE8C0E">
                  <w:pPr>
                    <w:jc w:val="center"/>
                    <w:rPr>
                      <w:color w:val="auto"/>
                      <w:szCs w:val="21"/>
                    </w:rPr>
                  </w:pPr>
                  <w:r>
                    <w:rPr>
                      <w:rFonts w:hint="eastAsia"/>
                      <w:color w:val="auto"/>
                      <w:szCs w:val="21"/>
                    </w:rPr>
                    <w:t>1</w:t>
                  </w:r>
                </w:p>
              </w:tc>
              <w:tc>
                <w:tcPr>
                  <w:tcW w:w="1308" w:type="dxa"/>
                  <w:vAlign w:val="center"/>
                </w:tcPr>
                <w:p w14:paraId="09DFB4C7">
                  <w:pPr>
                    <w:jc w:val="center"/>
                    <w:rPr>
                      <w:color w:val="auto"/>
                      <w:szCs w:val="21"/>
                    </w:rPr>
                  </w:pPr>
                  <w:r>
                    <w:rPr>
                      <w:rFonts w:hint="eastAsia"/>
                      <w:color w:val="auto"/>
                      <w:szCs w:val="21"/>
                    </w:rPr>
                    <w:t>粉尘废气处理风机</w:t>
                  </w:r>
                </w:p>
              </w:tc>
              <w:tc>
                <w:tcPr>
                  <w:tcW w:w="708" w:type="dxa"/>
                  <w:vAlign w:val="center"/>
                </w:tcPr>
                <w:p w14:paraId="6626F8E7">
                  <w:pPr>
                    <w:jc w:val="center"/>
                    <w:rPr>
                      <w:color w:val="auto"/>
                      <w:szCs w:val="21"/>
                    </w:rPr>
                  </w:pPr>
                  <w:r>
                    <w:rPr>
                      <w:rFonts w:hint="eastAsia"/>
                      <w:color w:val="auto"/>
                      <w:szCs w:val="21"/>
                    </w:rPr>
                    <w:t>/</w:t>
                  </w:r>
                </w:p>
              </w:tc>
              <w:tc>
                <w:tcPr>
                  <w:tcW w:w="732" w:type="dxa"/>
                  <w:vAlign w:val="center"/>
                </w:tcPr>
                <w:p w14:paraId="0027A21E">
                  <w:pPr>
                    <w:jc w:val="center"/>
                    <w:rPr>
                      <w:rFonts w:hint="default"/>
                      <w:color w:val="auto"/>
                      <w:szCs w:val="21"/>
                      <w:lang w:val="en-US" w:eastAsia="zh-CN"/>
                    </w:rPr>
                  </w:pPr>
                  <w:r>
                    <w:rPr>
                      <w:rFonts w:hint="eastAsia"/>
                      <w:color w:val="auto"/>
                      <w:szCs w:val="21"/>
                    </w:rPr>
                    <w:t>-95.9</w:t>
                  </w:r>
                </w:p>
              </w:tc>
              <w:tc>
                <w:tcPr>
                  <w:tcW w:w="720" w:type="dxa"/>
                  <w:vAlign w:val="center"/>
                </w:tcPr>
                <w:p w14:paraId="0B831778">
                  <w:pPr>
                    <w:jc w:val="center"/>
                    <w:rPr>
                      <w:rFonts w:hint="default"/>
                      <w:color w:val="auto"/>
                      <w:szCs w:val="21"/>
                      <w:lang w:val="en-US" w:eastAsia="zh-CN"/>
                    </w:rPr>
                  </w:pPr>
                  <w:r>
                    <w:rPr>
                      <w:rFonts w:hint="eastAsia"/>
                      <w:color w:val="auto"/>
                      <w:szCs w:val="21"/>
                    </w:rPr>
                    <w:t>-67.8</w:t>
                  </w:r>
                </w:p>
              </w:tc>
              <w:tc>
                <w:tcPr>
                  <w:tcW w:w="672" w:type="dxa"/>
                  <w:vAlign w:val="center"/>
                </w:tcPr>
                <w:p w14:paraId="3F27FD69">
                  <w:pPr>
                    <w:jc w:val="center"/>
                    <w:rPr>
                      <w:rFonts w:hint="eastAsia"/>
                      <w:color w:val="auto"/>
                      <w:szCs w:val="21"/>
                    </w:rPr>
                  </w:pPr>
                  <w:r>
                    <w:rPr>
                      <w:rFonts w:hint="eastAsia"/>
                      <w:color w:val="auto"/>
                      <w:szCs w:val="21"/>
                    </w:rPr>
                    <w:t>1.2</w:t>
                  </w:r>
                </w:p>
              </w:tc>
              <w:tc>
                <w:tcPr>
                  <w:tcW w:w="1512" w:type="dxa"/>
                  <w:vAlign w:val="center"/>
                </w:tcPr>
                <w:p w14:paraId="7C316A71">
                  <w:pPr>
                    <w:jc w:val="center"/>
                    <w:rPr>
                      <w:color w:val="auto"/>
                      <w:szCs w:val="21"/>
                    </w:rPr>
                  </w:pPr>
                  <w:r>
                    <w:rPr>
                      <w:rFonts w:hint="eastAsia"/>
                      <w:color w:val="auto"/>
                      <w:szCs w:val="21"/>
                    </w:rPr>
                    <w:t>75</w:t>
                  </w:r>
                  <w:r>
                    <w:rPr>
                      <w:color w:val="auto"/>
                      <w:szCs w:val="21"/>
                    </w:rPr>
                    <w:t>/</w:t>
                  </w:r>
                  <w:r>
                    <w:rPr>
                      <w:rFonts w:hint="eastAsia"/>
                      <w:color w:val="auto"/>
                      <w:szCs w:val="21"/>
                    </w:rPr>
                    <w:t>1m</w:t>
                  </w:r>
                </w:p>
              </w:tc>
              <w:tc>
                <w:tcPr>
                  <w:tcW w:w="828" w:type="dxa"/>
                  <w:vAlign w:val="center"/>
                </w:tcPr>
                <w:p w14:paraId="0ECD62A5">
                  <w:pPr>
                    <w:jc w:val="center"/>
                    <w:rPr>
                      <w:color w:val="auto"/>
                      <w:szCs w:val="21"/>
                    </w:rPr>
                  </w:pPr>
                  <w:r>
                    <w:rPr>
                      <w:rFonts w:hint="eastAsia"/>
                      <w:color w:val="auto"/>
                      <w:szCs w:val="21"/>
                    </w:rPr>
                    <w:t>/</w:t>
                  </w:r>
                </w:p>
              </w:tc>
              <w:tc>
                <w:tcPr>
                  <w:tcW w:w="1177" w:type="dxa"/>
                  <w:vAlign w:val="center"/>
                </w:tcPr>
                <w:p w14:paraId="784E1580">
                  <w:pPr>
                    <w:jc w:val="center"/>
                    <w:rPr>
                      <w:color w:val="auto"/>
                      <w:szCs w:val="21"/>
                    </w:rPr>
                  </w:pPr>
                  <w:r>
                    <w:rPr>
                      <w:rFonts w:hint="eastAsia"/>
                      <w:color w:val="auto"/>
                      <w:szCs w:val="21"/>
                    </w:rPr>
                    <w:t>隔声减震</w:t>
                  </w:r>
                </w:p>
              </w:tc>
              <w:tc>
                <w:tcPr>
                  <w:tcW w:w="844" w:type="dxa"/>
                  <w:vAlign w:val="center"/>
                </w:tcPr>
                <w:p w14:paraId="669BCD3A">
                  <w:pPr>
                    <w:jc w:val="center"/>
                    <w:rPr>
                      <w:color w:val="auto"/>
                      <w:szCs w:val="21"/>
                    </w:rPr>
                  </w:pPr>
                  <w:r>
                    <w:rPr>
                      <w:rFonts w:hint="eastAsia"/>
                      <w:color w:val="auto"/>
                      <w:szCs w:val="21"/>
                      <w:lang w:val="en-US" w:eastAsia="zh-CN"/>
                    </w:rPr>
                    <w:t>10</w:t>
                  </w:r>
                  <w:r>
                    <w:rPr>
                      <w:rFonts w:hint="eastAsia"/>
                      <w:color w:val="auto"/>
                      <w:szCs w:val="21"/>
                    </w:rPr>
                    <w:t>h</w:t>
                  </w:r>
                </w:p>
              </w:tc>
            </w:tr>
            <w:tr w14:paraId="616D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dxa"/>
                  <w:vAlign w:val="center"/>
                </w:tcPr>
                <w:p w14:paraId="32C09E8D">
                  <w:pPr>
                    <w:jc w:val="center"/>
                    <w:rPr>
                      <w:color w:val="auto"/>
                      <w:szCs w:val="21"/>
                    </w:rPr>
                  </w:pPr>
                  <w:r>
                    <w:rPr>
                      <w:rFonts w:hint="eastAsia"/>
                      <w:color w:val="auto"/>
                      <w:szCs w:val="21"/>
                    </w:rPr>
                    <w:t>2</w:t>
                  </w:r>
                </w:p>
              </w:tc>
              <w:tc>
                <w:tcPr>
                  <w:tcW w:w="1308" w:type="dxa"/>
                  <w:vAlign w:val="center"/>
                </w:tcPr>
                <w:p w14:paraId="228F6736">
                  <w:pPr>
                    <w:jc w:val="center"/>
                    <w:rPr>
                      <w:color w:val="auto"/>
                      <w:szCs w:val="21"/>
                    </w:rPr>
                  </w:pPr>
                  <w:r>
                    <w:rPr>
                      <w:rFonts w:hint="eastAsia"/>
                      <w:color w:val="auto"/>
                      <w:szCs w:val="21"/>
                    </w:rPr>
                    <w:t>有机废气处理风机</w:t>
                  </w:r>
                </w:p>
              </w:tc>
              <w:tc>
                <w:tcPr>
                  <w:tcW w:w="708" w:type="dxa"/>
                  <w:vAlign w:val="center"/>
                </w:tcPr>
                <w:p w14:paraId="727740E1">
                  <w:pPr>
                    <w:jc w:val="center"/>
                    <w:rPr>
                      <w:color w:val="auto"/>
                      <w:szCs w:val="21"/>
                    </w:rPr>
                  </w:pPr>
                  <w:r>
                    <w:rPr>
                      <w:rFonts w:hint="eastAsia"/>
                      <w:color w:val="auto"/>
                      <w:szCs w:val="21"/>
                    </w:rPr>
                    <w:t>/</w:t>
                  </w:r>
                </w:p>
              </w:tc>
              <w:tc>
                <w:tcPr>
                  <w:tcW w:w="732" w:type="dxa"/>
                  <w:vAlign w:val="center"/>
                </w:tcPr>
                <w:p w14:paraId="6400F5C4">
                  <w:pPr>
                    <w:jc w:val="center"/>
                    <w:rPr>
                      <w:rFonts w:hint="default"/>
                      <w:color w:val="auto"/>
                      <w:szCs w:val="21"/>
                      <w:lang w:val="en-US" w:eastAsia="zh-CN"/>
                    </w:rPr>
                  </w:pPr>
                  <w:r>
                    <w:rPr>
                      <w:rFonts w:hint="eastAsia"/>
                      <w:color w:val="auto"/>
                      <w:szCs w:val="21"/>
                    </w:rPr>
                    <w:t>-76.8</w:t>
                  </w:r>
                </w:p>
              </w:tc>
              <w:tc>
                <w:tcPr>
                  <w:tcW w:w="720" w:type="dxa"/>
                  <w:vAlign w:val="center"/>
                </w:tcPr>
                <w:p w14:paraId="13E14E20">
                  <w:pPr>
                    <w:jc w:val="center"/>
                    <w:rPr>
                      <w:rFonts w:hint="default"/>
                      <w:color w:val="auto"/>
                      <w:szCs w:val="21"/>
                      <w:lang w:val="en-US" w:eastAsia="zh-CN"/>
                    </w:rPr>
                  </w:pPr>
                  <w:r>
                    <w:rPr>
                      <w:rFonts w:hint="eastAsia"/>
                      <w:color w:val="auto"/>
                      <w:szCs w:val="21"/>
                    </w:rPr>
                    <w:t>-67.6</w:t>
                  </w:r>
                </w:p>
              </w:tc>
              <w:tc>
                <w:tcPr>
                  <w:tcW w:w="672" w:type="dxa"/>
                  <w:vAlign w:val="center"/>
                </w:tcPr>
                <w:p w14:paraId="457EE702">
                  <w:pPr>
                    <w:jc w:val="center"/>
                    <w:rPr>
                      <w:rFonts w:hint="eastAsia"/>
                      <w:color w:val="auto"/>
                      <w:szCs w:val="21"/>
                    </w:rPr>
                  </w:pPr>
                  <w:r>
                    <w:rPr>
                      <w:rFonts w:hint="eastAsia"/>
                      <w:color w:val="auto"/>
                      <w:szCs w:val="21"/>
                    </w:rPr>
                    <w:t>1.2</w:t>
                  </w:r>
                </w:p>
              </w:tc>
              <w:tc>
                <w:tcPr>
                  <w:tcW w:w="1512" w:type="dxa"/>
                  <w:vAlign w:val="center"/>
                </w:tcPr>
                <w:p w14:paraId="30711936">
                  <w:pPr>
                    <w:jc w:val="center"/>
                    <w:rPr>
                      <w:color w:val="auto"/>
                      <w:szCs w:val="21"/>
                    </w:rPr>
                  </w:pPr>
                  <w:r>
                    <w:rPr>
                      <w:rFonts w:hint="eastAsia"/>
                      <w:color w:val="auto"/>
                      <w:szCs w:val="21"/>
                    </w:rPr>
                    <w:t>80</w:t>
                  </w:r>
                  <w:r>
                    <w:rPr>
                      <w:color w:val="auto"/>
                      <w:szCs w:val="21"/>
                    </w:rPr>
                    <w:t>/</w:t>
                  </w:r>
                  <w:r>
                    <w:rPr>
                      <w:rFonts w:hint="eastAsia"/>
                      <w:color w:val="auto"/>
                      <w:szCs w:val="21"/>
                    </w:rPr>
                    <w:t>1m</w:t>
                  </w:r>
                </w:p>
              </w:tc>
              <w:tc>
                <w:tcPr>
                  <w:tcW w:w="828" w:type="dxa"/>
                  <w:vAlign w:val="center"/>
                </w:tcPr>
                <w:p w14:paraId="7DE0EC27">
                  <w:pPr>
                    <w:jc w:val="center"/>
                    <w:rPr>
                      <w:color w:val="auto"/>
                      <w:szCs w:val="21"/>
                    </w:rPr>
                  </w:pPr>
                  <w:r>
                    <w:rPr>
                      <w:rFonts w:hint="eastAsia"/>
                      <w:color w:val="auto"/>
                      <w:szCs w:val="21"/>
                    </w:rPr>
                    <w:t>/</w:t>
                  </w:r>
                </w:p>
              </w:tc>
              <w:tc>
                <w:tcPr>
                  <w:tcW w:w="1177" w:type="dxa"/>
                  <w:vAlign w:val="center"/>
                </w:tcPr>
                <w:p w14:paraId="38D09592">
                  <w:pPr>
                    <w:jc w:val="center"/>
                    <w:rPr>
                      <w:color w:val="auto"/>
                      <w:szCs w:val="21"/>
                    </w:rPr>
                  </w:pPr>
                  <w:r>
                    <w:rPr>
                      <w:rFonts w:hint="eastAsia"/>
                      <w:color w:val="auto"/>
                      <w:szCs w:val="21"/>
                    </w:rPr>
                    <w:t>隔声减震</w:t>
                  </w:r>
                </w:p>
              </w:tc>
              <w:tc>
                <w:tcPr>
                  <w:tcW w:w="844" w:type="dxa"/>
                  <w:vAlign w:val="center"/>
                </w:tcPr>
                <w:p w14:paraId="3506D031">
                  <w:pPr>
                    <w:jc w:val="center"/>
                    <w:rPr>
                      <w:color w:val="auto"/>
                      <w:szCs w:val="21"/>
                    </w:rPr>
                  </w:pPr>
                  <w:r>
                    <w:rPr>
                      <w:rFonts w:hint="eastAsia"/>
                      <w:color w:val="auto"/>
                      <w:szCs w:val="21"/>
                    </w:rPr>
                    <w:t>24h</w:t>
                  </w:r>
                </w:p>
              </w:tc>
            </w:tr>
            <w:tr w14:paraId="207A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0" w:type="dxa"/>
                  <w:vAlign w:val="center"/>
                </w:tcPr>
                <w:p w14:paraId="0FE8C481">
                  <w:pPr>
                    <w:jc w:val="center"/>
                    <w:rPr>
                      <w:rFonts w:hint="eastAsia" w:eastAsia="宋体"/>
                      <w:color w:val="auto"/>
                      <w:szCs w:val="21"/>
                      <w:lang w:val="en-US" w:eastAsia="zh-CN"/>
                    </w:rPr>
                  </w:pPr>
                  <w:r>
                    <w:rPr>
                      <w:rFonts w:hint="eastAsia"/>
                      <w:color w:val="auto"/>
                      <w:szCs w:val="21"/>
                      <w:lang w:val="en-US" w:eastAsia="zh-CN"/>
                    </w:rPr>
                    <w:t>3</w:t>
                  </w:r>
                </w:p>
              </w:tc>
              <w:tc>
                <w:tcPr>
                  <w:tcW w:w="1308" w:type="dxa"/>
                  <w:vAlign w:val="center"/>
                </w:tcPr>
                <w:p w14:paraId="3382665D">
                  <w:pPr>
                    <w:jc w:val="center"/>
                    <w:rPr>
                      <w:rFonts w:hint="eastAsia" w:eastAsia="宋体"/>
                      <w:color w:val="auto"/>
                      <w:szCs w:val="21"/>
                      <w:lang w:val="en-US" w:eastAsia="zh-CN"/>
                    </w:rPr>
                  </w:pPr>
                  <w:r>
                    <w:rPr>
                      <w:rFonts w:hint="eastAsia"/>
                      <w:color w:val="auto"/>
                      <w:szCs w:val="21"/>
                      <w:lang w:val="en-US" w:eastAsia="zh-CN"/>
                    </w:rPr>
                    <w:t>冷却塔</w:t>
                  </w:r>
                </w:p>
              </w:tc>
              <w:tc>
                <w:tcPr>
                  <w:tcW w:w="708" w:type="dxa"/>
                  <w:vAlign w:val="center"/>
                </w:tcPr>
                <w:p w14:paraId="6B7BED77">
                  <w:pPr>
                    <w:jc w:val="center"/>
                    <w:rPr>
                      <w:rFonts w:hint="eastAsia" w:eastAsia="宋体"/>
                      <w:color w:val="auto"/>
                      <w:szCs w:val="21"/>
                      <w:lang w:val="en-US" w:eastAsia="zh-CN"/>
                    </w:rPr>
                  </w:pPr>
                  <w:r>
                    <w:rPr>
                      <w:rFonts w:hint="eastAsia"/>
                      <w:color w:val="auto"/>
                      <w:szCs w:val="21"/>
                      <w:lang w:val="en-US" w:eastAsia="zh-CN"/>
                    </w:rPr>
                    <w:t>/</w:t>
                  </w:r>
                </w:p>
              </w:tc>
              <w:tc>
                <w:tcPr>
                  <w:tcW w:w="732" w:type="dxa"/>
                  <w:vAlign w:val="center"/>
                </w:tcPr>
                <w:p w14:paraId="2FF46397">
                  <w:pPr>
                    <w:jc w:val="center"/>
                    <w:rPr>
                      <w:rFonts w:hint="default"/>
                      <w:color w:val="auto"/>
                      <w:szCs w:val="21"/>
                      <w:lang w:val="en-US" w:eastAsia="zh-CN"/>
                    </w:rPr>
                  </w:pPr>
                  <w:r>
                    <w:rPr>
                      <w:rFonts w:hint="eastAsia"/>
                      <w:color w:val="auto"/>
                      <w:szCs w:val="21"/>
                    </w:rPr>
                    <w:t>-63</w:t>
                  </w:r>
                </w:p>
              </w:tc>
              <w:tc>
                <w:tcPr>
                  <w:tcW w:w="720" w:type="dxa"/>
                  <w:vAlign w:val="center"/>
                </w:tcPr>
                <w:p w14:paraId="4397F48D">
                  <w:pPr>
                    <w:jc w:val="center"/>
                    <w:rPr>
                      <w:rFonts w:hint="default"/>
                      <w:color w:val="auto"/>
                      <w:szCs w:val="21"/>
                      <w:lang w:val="en-US" w:eastAsia="zh-CN"/>
                    </w:rPr>
                  </w:pPr>
                  <w:r>
                    <w:rPr>
                      <w:rFonts w:hint="eastAsia"/>
                      <w:color w:val="auto"/>
                      <w:szCs w:val="21"/>
                    </w:rPr>
                    <w:t>-68.1</w:t>
                  </w:r>
                </w:p>
              </w:tc>
              <w:tc>
                <w:tcPr>
                  <w:tcW w:w="672" w:type="dxa"/>
                  <w:vAlign w:val="center"/>
                </w:tcPr>
                <w:p w14:paraId="770A0958">
                  <w:pPr>
                    <w:jc w:val="center"/>
                    <w:rPr>
                      <w:rFonts w:hint="default"/>
                      <w:color w:val="auto"/>
                      <w:szCs w:val="21"/>
                      <w:lang w:val="en-US" w:eastAsia="zh-CN"/>
                    </w:rPr>
                  </w:pPr>
                  <w:r>
                    <w:rPr>
                      <w:rFonts w:hint="eastAsia"/>
                      <w:color w:val="auto"/>
                      <w:szCs w:val="21"/>
                    </w:rPr>
                    <w:t>1.2</w:t>
                  </w:r>
                </w:p>
              </w:tc>
              <w:tc>
                <w:tcPr>
                  <w:tcW w:w="1512" w:type="dxa"/>
                  <w:vAlign w:val="center"/>
                </w:tcPr>
                <w:p w14:paraId="746743EE">
                  <w:pPr>
                    <w:jc w:val="center"/>
                    <w:rPr>
                      <w:rFonts w:hint="eastAsia"/>
                      <w:color w:val="auto"/>
                      <w:szCs w:val="21"/>
                    </w:rPr>
                  </w:pPr>
                  <w:r>
                    <w:rPr>
                      <w:rFonts w:hint="eastAsia"/>
                      <w:color w:val="auto"/>
                      <w:szCs w:val="21"/>
                    </w:rPr>
                    <w:t>80</w:t>
                  </w:r>
                  <w:r>
                    <w:rPr>
                      <w:color w:val="auto"/>
                      <w:szCs w:val="21"/>
                    </w:rPr>
                    <w:t>/</w:t>
                  </w:r>
                  <w:r>
                    <w:rPr>
                      <w:rFonts w:hint="eastAsia"/>
                      <w:color w:val="auto"/>
                      <w:szCs w:val="21"/>
                    </w:rPr>
                    <w:t>1m</w:t>
                  </w:r>
                </w:p>
              </w:tc>
              <w:tc>
                <w:tcPr>
                  <w:tcW w:w="828" w:type="dxa"/>
                  <w:vAlign w:val="center"/>
                </w:tcPr>
                <w:p w14:paraId="18EE3DD7">
                  <w:pPr>
                    <w:jc w:val="center"/>
                    <w:rPr>
                      <w:rFonts w:hint="default" w:eastAsia="宋体"/>
                      <w:color w:val="auto"/>
                      <w:szCs w:val="21"/>
                      <w:lang w:val="en-US" w:eastAsia="zh-CN"/>
                    </w:rPr>
                  </w:pPr>
                  <w:r>
                    <w:rPr>
                      <w:rFonts w:hint="eastAsia"/>
                      <w:color w:val="auto"/>
                      <w:szCs w:val="21"/>
                      <w:lang w:val="en-US" w:eastAsia="zh-CN"/>
                    </w:rPr>
                    <w:t>/</w:t>
                  </w:r>
                </w:p>
              </w:tc>
              <w:tc>
                <w:tcPr>
                  <w:tcW w:w="1177" w:type="dxa"/>
                  <w:vAlign w:val="center"/>
                </w:tcPr>
                <w:p w14:paraId="1CFFB37D">
                  <w:pPr>
                    <w:jc w:val="center"/>
                    <w:rPr>
                      <w:rFonts w:hint="eastAsia"/>
                      <w:color w:val="auto"/>
                      <w:szCs w:val="21"/>
                    </w:rPr>
                  </w:pPr>
                  <w:r>
                    <w:rPr>
                      <w:rFonts w:hint="eastAsia"/>
                      <w:color w:val="auto"/>
                      <w:szCs w:val="21"/>
                    </w:rPr>
                    <w:t>隔声减震</w:t>
                  </w:r>
                </w:p>
              </w:tc>
              <w:tc>
                <w:tcPr>
                  <w:tcW w:w="844" w:type="dxa"/>
                  <w:vAlign w:val="center"/>
                </w:tcPr>
                <w:p w14:paraId="3C7BE104">
                  <w:pPr>
                    <w:jc w:val="center"/>
                    <w:rPr>
                      <w:rFonts w:hint="eastAsia"/>
                      <w:color w:val="auto"/>
                      <w:szCs w:val="21"/>
                    </w:rPr>
                  </w:pPr>
                  <w:r>
                    <w:rPr>
                      <w:rFonts w:hint="eastAsia"/>
                      <w:color w:val="auto"/>
                      <w:szCs w:val="21"/>
                    </w:rPr>
                    <w:t>24h</w:t>
                  </w:r>
                </w:p>
              </w:tc>
            </w:tr>
            <w:tr w14:paraId="7F09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1" w:type="dxa"/>
                  <w:gridSpan w:val="10"/>
                  <w:vAlign w:val="center"/>
                </w:tcPr>
                <w:p w14:paraId="4782C697">
                  <w:pPr>
                    <w:jc w:val="left"/>
                    <w:rPr>
                      <w:color w:val="auto"/>
                      <w:szCs w:val="21"/>
                    </w:rPr>
                  </w:pPr>
                  <w:r>
                    <w:rPr>
                      <w:rFonts w:hint="eastAsia"/>
                      <w:b/>
                      <w:bCs/>
                      <w:color w:val="auto"/>
                      <w:szCs w:val="21"/>
                    </w:rPr>
                    <w:t>注：</w:t>
                  </w:r>
                  <w:r>
                    <w:rPr>
                      <w:b/>
                      <w:bCs/>
                      <w:color w:val="auto"/>
                      <w:szCs w:val="21"/>
                    </w:rPr>
                    <w:t>表中坐标以厂界中心（</w:t>
                  </w:r>
                  <w:r>
                    <w:rPr>
                      <w:rFonts w:hint="eastAsia"/>
                      <w:b/>
                      <w:bCs/>
                      <w:color w:val="auto"/>
                      <w:szCs w:val="21"/>
                    </w:rPr>
                    <w:t>120.410827,30.768360</w:t>
                  </w:r>
                  <w:r>
                    <w:rPr>
                      <w:b/>
                      <w:bCs/>
                      <w:color w:val="auto"/>
                      <w:szCs w:val="21"/>
                    </w:rPr>
                    <w:t>）为坐标原点，正东向为X轴正方向，正北向为Y轴正方向</w:t>
                  </w:r>
                  <w:r>
                    <w:rPr>
                      <w:rFonts w:hint="eastAsia"/>
                      <w:b/>
                      <w:bCs/>
                      <w:color w:val="auto"/>
                      <w:szCs w:val="21"/>
                    </w:rPr>
                    <w:t>。</w:t>
                  </w:r>
                </w:p>
              </w:tc>
            </w:tr>
          </w:tbl>
          <w:p w14:paraId="28021AD4">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工业企业噪声源强调查清单（室内声源）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20"/>
              <w:gridCol w:w="784"/>
              <w:gridCol w:w="432"/>
              <w:gridCol w:w="756"/>
              <w:gridCol w:w="684"/>
              <w:gridCol w:w="696"/>
              <w:gridCol w:w="612"/>
              <w:gridCol w:w="456"/>
              <w:gridCol w:w="624"/>
              <w:gridCol w:w="648"/>
              <w:gridCol w:w="519"/>
              <w:gridCol w:w="558"/>
              <w:gridCol w:w="535"/>
              <w:gridCol w:w="539"/>
            </w:tblGrid>
            <w:tr w14:paraId="6483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5" w:type="pct"/>
                  <w:vMerge w:val="restart"/>
                  <w:noWrap/>
                  <w:vAlign w:val="center"/>
                </w:tcPr>
                <w:p w14:paraId="73CBFAF9">
                  <w:pPr>
                    <w:widowControl/>
                    <w:ind w:left="-105" w:leftChars="-50" w:right="-105" w:rightChars="-50"/>
                    <w:jc w:val="center"/>
                    <w:rPr>
                      <w:color w:val="auto"/>
                      <w:kern w:val="0"/>
                      <w:sz w:val="18"/>
                      <w:szCs w:val="18"/>
                    </w:rPr>
                  </w:pPr>
                  <w:r>
                    <w:rPr>
                      <w:color w:val="auto"/>
                      <w:kern w:val="0"/>
                      <w:sz w:val="18"/>
                      <w:szCs w:val="18"/>
                    </w:rPr>
                    <w:t>序号</w:t>
                  </w:r>
                </w:p>
              </w:tc>
              <w:tc>
                <w:tcPr>
                  <w:tcW w:w="349" w:type="pct"/>
                  <w:vMerge w:val="restart"/>
                  <w:noWrap/>
                  <w:vAlign w:val="center"/>
                </w:tcPr>
                <w:p w14:paraId="736818FE">
                  <w:pPr>
                    <w:widowControl/>
                    <w:ind w:left="-105" w:leftChars="-50" w:right="-105" w:rightChars="-50"/>
                    <w:jc w:val="center"/>
                    <w:rPr>
                      <w:color w:val="auto"/>
                      <w:kern w:val="0"/>
                      <w:sz w:val="18"/>
                      <w:szCs w:val="18"/>
                    </w:rPr>
                  </w:pPr>
                  <w:r>
                    <w:rPr>
                      <w:color w:val="auto"/>
                      <w:kern w:val="0"/>
                      <w:sz w:val="18"/>
                      <w:szCs w:val="18"/>
                    </w:rPr>
                    <w:t>建筑物</w:t>
                  </w:r>
                </w:p>
                <w:p w14:paraId="7B93AFE5">
                  <w:pPr>
                    <w:widowControl/>
                    <w:ind w:left="-105" w:leftChars="-50" w:right="-105" w:rightChars="-50"/>
                    <w:jc w:val="center"/>
                    <w:rPr>
                      <w:color w:val="auto"/>
                      <w:kern w:val="0"/>
                      <w:sz w:val="18"/>
                      <w:szCs w:val="18"/>
                    </w:rPr>
                  </w:pPr>
                  <w:r>
                    <w:rPr>
                      <w:color w:val="auto"/>
                      <w:kern w:val="0"/>
                      <w:sz w:val="18"/>
                      <w:szCs w:val="18"/>
                    </w:rPr>
                    <w:t>名称</w:t>
                  </w:r>
                </w:p>
              </w:tc>
              <w:tc>
                <w:tcPr>
                  <w:tcW w:w="442" w:type="pct"/>
                  <w:vMerge w:val="restart"/>
                  <w:noWrap/>
                  <w:vAlign w:val="center"/>
                </w:tcPr>
                <w:p w14:paraId="6BCFEC7C">
                  <w:pPr>
                    <w:widowControl/>
                    <w:ind w:left="-105" w:leftChars="-50" w:right="-105" w:rightChars="-50"/>
                    <w:jc w:val="center"/>
                    <w:rPr>
                      <w:color w:val="auto"/>
                      <w:kern w:val="0"/>
                      <w:sz w:val="18"/>
                      <w:szCs w:val="18"/>
                    </w:rPr>
                  </w:pPr>
                  <w:r>
                    <w:rPr>
                      <w:color w:val="auto"/>
                      <w:kern w:val="0"/>
                      <w:sz w:val="18"/>
                      <w:szCs w:val="18"/>
                    </w:rPr>
                    <w:t>声源名称</w:t>
                  </w:r>
                </w:p>
              </w:tc>
              <w:tc>
                <w:tcPr>
                  <w:tcW w:w="243" w:type="pct"/>
                  <w:vMerge w:val="restart"/>
                  <w:noWrap/>
                  <w:vAlign w:val="center"/>
                </w:tcPr>
                <w:p w14:paraId="22B03A79">
                  <w:pPr>
                    <w:widowControl/>
                    <w:ind w:left="-105" w:leftChars="-50" w:right="-105" w:rightChars="-50"/>
                    <w:jc w:val="center"/>
                    <w:rPr>
                      <w:color w:val="auto"/>
                      <w:kern w:val="0"/>
                      <w:sz w:val="18"/>
                      <w:szCs w:val="18"/>
                    </w:rPr>
                  </w:pPr>
                  <w:r>
                    <w:rPr>
                      <w:color w:val="auto"/>
                      <w:kern w:val="0"/>
                      <w:sz w:val="18"/>
                      <w:szCs w:val="18"/>
                    </w:rPr>
                    <w:t>型号</w:t>
                  </w:r>
                </w:p>
              </w:tc>
              <w:tc>
                <w:tcPr>
                  <w:tcW w:w="426" w:type="pct"/>
                  <w:vMerge w:val="restart"/>
                  <w:vAlign w:val="center"/>
                </w:tcPr>
                <w:p w14:paraId="5DBFFD4F">
                  <w:pPr>
                    <w:widowControl/>
                    <w:ind w:left="-105" w:leftChars="-50" w:right="-105" w:rightChars="-50"/>
                    <w:jc w:val="center"/>
                    <w:rPr>
                      <w:color w:val="auto"/>
                      <w:kern w:val="0"/>
                      <w:sz w:val="18"/>
                      <w:szCs w:val="18"/>
                    </w:rPr>
                  </w:pPr>
                  <w:r>
                    <w:rPr>
                      <w:color w:val="auto"/>
                      <w:kern w:val="0"/>
                      <w:sz w:val="18"/>
                      <w:szCs w:val="18"/>
                    </w:rPr>
                    <w:t>声功率级</w:t>
                  </w:r>
                </w:p>
                <w:p w14:paraId="2965B93C">
                  <w:pPr>
                    <w:widowControl/>
                    <w:ind w:left="-105" w:leftChars="-50" w:right="-105" w:rightChars="-50"/>
                    <w:jc w:val="center"/>
                    <w:rPr>
                      <w:color w:val="auto"/>
                      <w:kern w:val="0"/>
                      <w:sz w:val="18"/>
                      <w:szCs w:val="18"/>
                    </w:rPr>
                  </w:pPr>
                  <w:r>
                    <w:rPr>
                      <w:color w:val="auto"/>
                      <w:kern w:val="0"/>
                      <w:sz w:val="18"/>
                      <w:szCs w:val="18"/>
                    </w:rPr>
                    <w:t>/dB(A)</w:t>
                  </w:r>
                </w:p>
              </w:tc>
              <w:tc>
                <w:tcPr>
                  <w:tcW w:w="385" w:type="pct"/>
                  <w:vMerge w:val="restart"/>
                  <w:noWrap/>
                  <w:vAlign w:val="center"/>
                </w:tcPr>
                <w:p w14:paraId="3E7FFE1A">
                  <w:pPr>
                    <w:widowControl/>
                    <w:ind w:left="-105" w:leftChars="-50" w:right="-105" w:rightChars="-50"/>
                    <w:jc w:val="center"/>
                    <w:rPr>
                      <w:color w:val="auto"/>
                      <w:kern w:val="0"/>
                      <w:sz w:val="18"/>
                      <w:szCs w:val="18"/>
                    </w:rPr>
                  </w:pPr>
                  <w:r>
                    <w:rPr>
                      <w:color w:val="auto"/>
                      <w:kern w:val="0"/>
                      <w:sz w:val="18"/>
                      <w:szCs w:val="18"/>
                    </w:rPr>
                    <w:t>声源控</w:t>
                  </w:r>
                </w:p>
                <w:p w14:paraId="4F43F3FA">
                  <w:pPr>
                    <w:widowControl/>
                    <w:ind w:left="-105" w:leftChars="-50" w:right="-105" w:rightChars="-50"/>
                    <w:jc w:val="center"/>
                    <w:rPr>
                      <w:color w:val="auto"/>
                      <w:kern w:val="0"/>
                      <w:sz w:val="18"/>
                      <w:szCs w:val="18"/>
                    </w:rPr>
                  </w:pPr>
                  <w:r>
                    <w:rPr>
                      <w:color w:val="auto"/>
                      <w:kern w:val="0"/>
                      <w:sz w:val="18"/>
                      <w:szCs w:val="18"/>
                    </w:rPr>
                    <w:t>制措施</w:t>
                  </w:r>
                </w:p>
              </w:tc>
              <w:tc>
                <w:tcPr>
                  <w:tcW w:w="995" w:type="pct"/>
                  <w:gridSpan w:val="3"/>
                  <w:noWrap/>
                  <w:vAlign w:val="center"/>
                </w:tcPr>
                <w:p w14:paraId="7CF39110">
                  <w:pPr>
                    <w:widowControl/>
                    <w:ind w:left="-105" w:leftChars="-50" w:right="-105" w:rightChars="-50"/>
                    <w:jc w:val="center"/>
                    <w:rPr>
                      <w:color w:val="auto"/>
                      <w:kern w:val="0"/>
                      <w:sz w:val="18"/>
                      <w:szCs w:val="18"/>
                    </w:rPr>
                  </w:pPr>
                  <w:r>
                    <w:rPr>
                      <w:color w:val="auto"/>
                      <w:kern w:val="0"/>
                      <w:sz w:val="18"/>
                      <w:szCs w:val="18"/>
                    </w:rPr>
                    <w:t>空间相对位置/m</w:t>
                  </w:r>
                </w:p>
              </w:tc>
              <w:tc>
                <w:tcPr>
                  <w:tcW w:w="352" w:type="pct"/>
                  <w:vMerge w:val="restart"/>
                  <w:noWrap/>
                  <w:vAlign w:val="center"/>
                </w:tcPr>
                <w:p w14:paraId="27110B73">
                  <w:pPr>
                    <w:widowControl/>
                    <w:ind w:left="-105" w:leftChars="-50" w:right="-105" w:rightChars="-50"/>
                    <w:jc w:val="center"/>
                    <w:rPr>
                      <w:color w:val="auto"/>
                      <w:kern w:val="0"/>
                      <w:sz w:val="18"/>
                      <w:szCs w:val="18"/>
                    </w:rPr>
                  </w:pPr>
                  <w:r>
                    <w:rPr>
                      <w:color w:val="auto"/>
                      <w:kern w:val="0"/>
                      <w:sz w:val="18"/>
                      <w:szCs w:val="18"/>
                    </w:rPr>
                    <w:t>距室内边界距离</w:t>
                  </w:r>
                </w:p>
                <w:p w14:paraId="53F0FF56">
                  <w:pPr>
                    <w:widowControl/>
                    <w:ind w:left="-105" w:leftChars="-50" w:right="-105" w:rightChars="-50"/>
                    <w:jc w:val="center"/>
                    <w:rPr>
                      <w:color w:val="auto"/>
                      <w:kern w:val="0"/>
                      <w:sz w:val="18"/>
                      <w:szCs w:val="18"/>
                    </w:rPr>
                  </w:pPr>
                  <w:r>
                    <w:rPr>
                      <w:color w:val="auto"/>
                      <w:kern w:val="0"/>
                      <w:sz w:val="18"/>
                      <w:szCs w:val="18"/>
                    </w:rPr>
                    <w:t>/m</w:t>
                  </w:r>
                </w:p>
              </w:tc>
              <w:tc>
                <w:tcPr>
                  <w:tcW w:w="365" w:type="pct"/>
                  <w:vMerge w:val="restart"/>
                  <w:noWrap/>
                  <w:vAlign w:val="center"/>
                </w:tcPr>
                <w:p w14:paraId="5F8067CC">
                  <w:pPr>
                    <w:widowControl/>
                    <w:ind w:left="-105" w:leftChars="-50" w:right="-105" w:rightChars="-50"/>
                    <w:jc w:val="center"/>
                    <w:rPr>
                      <w:color w:val="auto"/>
                      <w:kern w:val="0"/>
                      <w:sz w:val="18"/>
                      <w:szCs w:val="18"/>
                    </w:rPr>
                  </w:pPr>
                  <w:r>
                    <w:rPr>
                      <w:color w:val="auto"/>
                      <w:kern w:val="0"/>
                      <w:sz w:val="18"/>
                      <w:szCs w:val="18"/>
                    </w:rPr>
                    <w:t>室内边</w:t>
                  </w:r>
                </w:p>
                <w:p w14:paraId="5C1AE9FB">
                  <w:pPr>
                    <w:widowControl/>
                    <w:ind w:left="-105" w:leftChars="-50" w:right="-105" w:rightChars="-50"/>
                    <w:jc w:val="center"/>
                    <w:rPr>
                      <w:color w:val="auto"/>
                      <w:kern w:val="0"/>
                      <w:sz w:val="18"/>
                      <w:szCs w:val="18"/>
                    </w:rPr>
                  </w:pPr>
                  <w:r>
                    <w:rPr>
                      <w:color w:val="auto"/>
                      <w:kern w:val="0"/>
                      <w:sz w:val="18"/>
                      <w:szCs w:val="18"/>
                    </w:rPr>
                    <w:t>界声级</w:t>
                  </w:r>
                </w:p>
                <w:p w14:paraId="0F8F191B">
                  <w:pPr>
                    <w:widowControl/>
                    <w:ind w:left="-105" w:leftChars="-50" w:right="-105" w:rightChars="-50"/>
                    <w:jc w:val="center"/>
                    <w:rPr>
                      <w:color w:val="auto"/>
                      <w:kern w:val="0"/>
                      <w:sz w:val="18"/>
                      <w:szCs w:val="18"/>
                    </w:rPr>
                  </w:pPr>
                  <w:r>
                    <w:rPr>
                      <w:color w:val="auto"/>
                      <w:kern w:val="0"/>
                      <w:sz w:val="18"/>
                      <w:szCs w:val="18"/>
                    </w:rPr>
                    <w:t>/dB(A)</w:t>
                  </w:r>
                </w:p>
              </w:tc>
              <w:tc>
                <w:tcPr>
                  <w:tcW w:w="292" w:type="pct"/>
                  <w:vMerge w:val="restart"/>
                  <w:noWrap/>
                  <w:vAlign w:val="center"/>
                </w:tcPr>
                <w:p w14:paraId="7FC2C8E4">
                  <w:pPr>
                    <w:widowControl/>
                    <w:ind w:left="-105" w:leftChars="-50" w:right="-105" w:rightChars="-50"/>
                    <w:jc w:val="center"/>
                    <w:rPr>
                      <w:color w:val="auto"/>
                      <w:kern w:val="0"/>
                      <w:sz w:val="18"/>
                      <w:szCs w:val="18"/>
                    </w:rPr>
                  </w:pPr>
                  <w:r>
                    <w:rPr>
                      <w:color w:val="auto"/>
                      <w:kern w:val="0"/>
                      <w:sz w:val="18"/>
                      <w:szCs w:val="18"/>
                    </w:rPr>
                    <w:t>运行</w:t>
                  </w:r>
                </w:p>
                <w:p w14:paraId="6EA1D9D9">
                  <w:pPr>
                    <w:widowControl/>
                    <w:ind w:left="-105" w:leftChars="-50" w:right="-105" w:rightChars="-50"/>
                    <w:jc w:val="center"/>
                    <w:rPr>
                      <w:color w:val="auto"/>
                      <w:sz w:val="18"/>
                      <w:szCs w:val="18"/>
                    </w:rPr>
                  </w:pPr>
                  <w:r>
                    <w:rPr>
                      <w:color w:val="auto"/>
                      <w:kern w:val="0"/>
                      <w:sz w:val="18"/>
                      <w:szCs w:val="18"/>
                    </w:rPr>
                    <w:t>时段</w:t>
                  </w:r>
                </w:p>
              </w:tc>
              <w:tc>
                <w:tcPr>
                  <w:tcW w:w="314" w:type="pct"/>
                  <w:vMerge w:val="restart"/>
                  <w:noWrap/>
                  <w:vAlign w:val="center"/>
                </w:tcPr>
                <w:p w14:paraId="522F3FF5">
                  <w:pPr>
                    <w:widowControl/>
                    <w:ind w:left="-105" w:leftChars="-50" w:right="-105" w:rightChars="-50"/>
                    <w:jc w:val="center"/>
                    <w:rPr>
                      <w:color w:val="auto"/>
                      <w:kern w:val="0"/>
                      <w:sz w:val="18"/>
                      <w:szCs w:val="18"/>
                    </w:rPr>
                  </w:pPr>
                  <w:r>
                    <w:rPr>
                      <w:color w:val="auto"/>
                      <w:kern w:val="0"/>
                      <w:sz w:val="18"/>
                      <w:szCs w:val="18"/>
                    </w:rPr>
                    <w:t>建筑物插</w:t>
                  </w:r>
                </w:p>
                <w:p w14:paraId="79B58A05">
                  <w:pPr>
                    <w:widowControl/>
                    <w:ind w:left="-105" w:leftChars="-50" w:right="-105" w:rightChars="-50"/>
                    <w:jc w:val="center"/>
                    <w:rPr>
                      <w:color w:val="auto"/>
                      <w:kern w:val="0"/>
                      <w:sz w:val="18"/>
                      <w:szCs w:val="18"/>
                    </w:rPr>
                  </w:pPr>
                  <w:r>
                    <w:rPr>
                      <w:color w:val="auto"/>
                      <w:kern w:val="0"/>
                      <w:sz w:val="18"/>
                      <w:szCs w:val="18"/>
                    </w:rPr>
                    <w:t>入损失</w:t>
                  </w:r>
                </w:p>
                <w:p w14:paraId="447CD0DC">
                  <w:pPr>
                    <w:widowControl/>
                    <w:ind w:left="-105" w:leftChars="-50" w:right="-105" w:rightChars="-50"/>
                    <w:jc w:val="center"/>
                    <w:rPr>
                      <w:color w:val="auto"/>
                      <w:kern w:val="0"/>
                      <w:sz w:val="18"/>
                      <w:szCs w:val="18"/>
                    </w:rPr>
                  </w:pPr>
                  <w:r>
                    <w:rPr>
                      <w:color w:val="auto"/>
                      <w:kern w:val="0"/>
                      <w:sz w:val="18"/>
                      <w:szCs w:val="18"/>
                    </w:rPr>
                    <w:t>/dB(A)</w:t>
                  </w:r>
                </w:p>
              </w:tc>
              <w:tc>
                <w:tcPr>
                  <w:tcW w:w="605" w:type="pct"/>
                  <w:gridSpan w:val="2"/>
                  <w:noWrap/>
                  <w:vAlign w:val="center"/>
                </w:tcPr>
                <w:p w14:paraId="03656942">
                  <w:pPr>
                    <w:widowControl/>
                    <w:ind w:left="-105" w:leftChars="-50" w:right="-105" w:rightChars="-50"/>
                    <w:jc w:val="center"/>
                    <w:rPr>
                      <w:color w:val="auto"/>
                      <w:kern w:val="0"/>
                      <w:sz w:val="18"/>
                      <w:szCs w:val="18"/>
                    </w:rPr>
                  </w:pPr>
                  <w:r>
                    <w:rPr>
                      <w:color w:val="auto"/>
                      <w:kern w:val="0"/>
                      <w:sz w:val="18"/>
                      <w:szCs w:val="18"/>
                    </w:rPr>
                    <w:t>建筑物外噪声</w:t>
                  </w:r>
                </w:p>
              </w:tc>
            </w:tr>
            <w:tr w14:paraId="57C2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2C99A30C">
                  <w:pPr>
                    <w:widowControl/>
                    <w:ind w:left="-105" w:leftChars="-50" w:right="-105" w:rightChars="-50"/>
                    <w:jc w:val="center"/>
                    <w:rPr>
                      <w:color w:val="auto"/>
                      <w:kern w:val="0"/>
                      <w:sz w:val="18"/>
                      <w:szCs w:val="18"/>
                    </w:rPr>
                  </w:pPr>
                </w:p>
              </w:tc>
              <w:tc>
                <w:tcPr>
                  <w:tcW w:w="349" w:type="pct"/>
                  <w:vMerge w:val="continue"/>
                  <w:vAlign w:val="center"/>
                </w:tcPr>
                <w:p w14:paraId="1D10D0B0">
                  <w:pPr>
                    <w:widowControl/>
                    <w:ind w:left="-105" w:leftChars="-50" w:right="-105" w:rightChars="-50"/>
                    <w:jc w:val="center"/>
                    <w:rPr>
                      <w:color w:val="auto"/>
                      <w:kern w:val="0"/>
                      <w:sz w:val="18"/>
                      <w:szCs w:val="18"/>
                    </w:rPr>
                  </w:pPr>
                </w:p>
              </w:tc>
              <w:tc>
                <w:tcPr>
                  <w:tcW w:w="442" w:type="pct"/>
                  <w:vMerge w:val="continue"/>
                  <w:vAlign w:val="center"/>
                </w:tcPr>
                <w:p w14:paraId="2922B4CC">
                  <w:pPr>
                    <w:widowControl/>
                    <w:ind w:left="-105" w:leftChars="-50" w:right="-105" w:rightChars="-50"/>
                    <w:jc w:val="center"/>
                    <w:rPr>
                      <w:color w:val="auto"/>
                      <w:kern w:val="0"/>
                      <w:sz w:val="18"/>
                      <w:szCs w:val="18"/>
                    </w:rPr>
                  </w:pPr>
                </w:p>
              </w:tc>
              <w:tc>
                <w:tcPr>
                  <w:tcW w:w="243" w:type="pct"/>
                  <w:vMerge w:val="continue"/>
                  <w:vAlign w:val="center"/>
                </w:tcPr>
                <w:p w14:paraId="337ECD2D">
                  <w:pPr>
                    <w:widowControl/>
                    <w:ind w:left="-105" w:leftChars="-50" w:right="-105" w:rightChars="-50"/>
                    <w:jc w:val="center"/>
                    <w:rPr>
                      <w:color w:val="auto"/>
                      <w:kern w:val="0"/>
                      <w:sz w:val="18"/>
                      <w:szCs w:val="18"/>
                    </w:rPr>
                  </w:pPr>
                </w:p>
              </w:tc>
              <w:tc>
                <w:tcPr>
                  <w:tcW w:w="426" w:type="pct"/>
                  <w:vMerge w:val="continue"/>
                  <w:noWrap/>
                  <w:vAlign w:val="center"/>
                </w:tcPr>
                <w:p w14:paraId="229213BD">
                  <w:pPr>
                    <w:widowControl/>
                    <w:ind w:left="-105" w:leftChars="-50" w:right="-105" w:rightChars="-50"/>
                    <w:jc w:val="center"/>
                    <w:rPr>
                      <w:color w:val="auto"/>
                      <w:kern w:val="0"/>
                      <w:sz w:val="18"/>
                      <w:szCs w:val="18"/>
                    </w:rPr>
                  </w:pPr>
                </w:p>
              </w:tc>
              <w:tc>
                <w:tcPr>
                  <w:tcW w:w="385" w:type="pct"/>
                  <w:vMerge w:val="continue"/>
                  <w:vAlign w:val="center"/>
                </w:tcPr>
                <w:p w14:paraId="590BEBB6">
                  <w:pPr>
                    <w:widowControl/>
                    <w:ind w:left="-105" w:leftChars="-50" w:right="-105" w:rightChars="-50"/>
                    <w:jc w:val="center"/>
                    <w:rPr>
                      <w:color w:val="auto"/>
                      <w:kern w:val="0"/>
                      <w:sz w:val="18"/>
                      <w:szCs w:val="18"/>
                    </w:rPr>
                  </w:pPr>
                </w:p>
              </w:tc>
              <w:tc>
                <w:tcPr>
                  <w:tcW w:w="392" w:type="pct"/>
                  <w:noWrap/>
                  <w:vAlign w:val="center"/>
                </w:tcPr>
                <w:p w14:paraId="395E8BD8">
                  <w:pPr>
                    <w:widowControl/>
                    <w:ind w:left="-105" w:leftChars="-50" w:right="-105" w:rightChars="-50"/>
                    <w:jc w:val="center"/>
                    <w:rPr>
                      <w:color w:val="auto"/>
                      <w:kern w:val="0"/>
                      <w:sz w:val="18"/>
                      <w:szCs w:val="18"/>
                    </w:rPr>
                  </w:pPr>
                  <w:r>
                    <w:rPr>
                      <w:color w:val="auto"/>
                      <w:kern w:val="0"/>
                      <w:sz w:val="18"/>
                      <w:szCs w:val="18"/>
                    </w:rPr>
                    <w:t>X</w:t>
                  </w:r>
                </w:p>
              </w:tc>
              <w:tc>
                <w:tcPr>
                  <w:tcW w:w="345" w:type="pct"/>
                  <w:noWrap/>
                  <w:vAlign w:val="center"/>
                </w:tcPr>
                <w:p w14:paraId="7B27B86E">
                  <w:pPr>
                    <w:widowControl/>
                    <w:ind w:left="-105" w:leftChars="-50" w:right="-105" w:rightChars="-50"/>
                    <w:jc w:val="center"/>
                    <w:rPr>
                      <w:color w:val="auto"/>
                      <w:kern w:val="0"/>
                      <w:sz w:val="18"/>
                      <w:szCs w:val="18"/>
                    </w:rPr>
                  </w:pPr>
                  <w:r>
                    <w:rPr>
                      <w:color w:val="auto"/>
                      <w:kern w:val="0"/>
                      <w:sz w:val="18"/>
                      <w:szCs w:val="18"/>
                    </w:rPr>
                    <w:t>Y</w:t>
                  </w:r>
                </w:p>
              </w:tc>
              <w:tc>
                <w:tcPr>
                  <w:tcW w:w="257" w:type="pct"/>
                  <w:noWrap/>
                  <w:vAlign w:val="center"/>
                </w:tcPr>
                <w:p w14:paraId="3DDB416E">
                  <w:pPr>
                    <w:widowControl/>
                    <w:ind w:left="-105" w:leftChars="-50" w:right="-105" w:rightChars="-50"/>
                    <w:jc w:val="center"/>
                    <w:rPr>
                      <w:color w:val="auto"/>
                      <w:kern w:val="0"/>
                      <w:sz w:val="18"/>
                      <w:szCs w:val="18"/>
                    </w:rPr>
                  </w:pPr>
                  <w:r>
                    <w:rPr>
                      <w:color w:val="auto"/>
                      <w:kern w:val="0"/>
                      <w:sz w:val="18"/>
                      <w:szCs w:val="18"/>
                    </w:rPr>
                    <w:t>Z</w:t>
                  </w:r>
                </w:p>
              </w:tc>
              <w:tc>
                <w:tcPr>
                  <w:tcW w:w="352" w:type="pct"/>
                  <w:vMerge w:val="continue"/>
                  <w:vAlign w:val="center"/>
                </w:tcPr>
                <w:p w14:paraId="1F6A0157">
                  <w:pPr>
                    <w:widowControl/>
                    <w:ind w:left="-105" w:leftChars="-50" w:right="-105" w:rightChars="-50"/>
                    <w:jc w:val="center"/>
                    <w:rPr>
                      <w:color w:val="auto"/>
                      <w:kern w:val="0"/>
                      <w:sz w:val="18"/>
                      <w:szCs w:val="18"/>
                    </w:rPr>
                  </w:pPr>
                </w:p>
              </w:tc>
              <w:tc>
                <w:tcPr>
                  <w:tcW w:w="365" w:type="pct"/>
                  <w:vMerge w:val="continue"/>
                  <w:vAlign w:val="center"/>
                </w:tcPr>
                <w:p w14:paraId="40C21B0E">
                  <w:pPr>
                    <w:widowControl/>
                    <w:ind w:left="-105" w:leftChars="-50" w:right="-105" w:rightChars="-50"/>
                    <w:jc w:val="center"/>
                    <w:rPr>
                      <w:color w:val="auto"/>
                      <w:kern w:val="0"/>
                      <w:sz w:val="18"/>
                      <w:szCs w:val="18"/>
                    </w:rPr>
                  </w:pPr>
                </w:p>
              </w:tc>
              <w:tc>
                <w:tcPr>
                  <w:tcW w:w="292" w:type="pct"/>
                  <w:vMerge w:val="continue"/>
                  <w:vAlign w:val="center"/>
                </w:tcPr>
                <w:p w14:paraId="7194C79E">
                  <w:pPr>
                    <w:widowControl/>
                    <w:ind w:left="-105" w:leftChars="-50" w:right="-105" w:rightChars="-50"/>
                    <w:jc w:val="center"/>
                    <w:rPr>
                      <w:color w:val="auto"/>
                      <w:kern w:val="0"/>
                      <w:sz w:val="18"/>
                      <w:szCs w:val="18"/>
                    </w:rPr>
                  </w:pPr>
                </w:p>
              </w:tc>
              <w:tc>
                <w:tcPr>
                  <w:tcW w:w="314" w:type="pct"/>
                  <w:vMerge w:val="continue"/>
                  <w:vAlign w:val="center"/>
                </w:tcPr>
                <w:p w14:paraId="73BAE8F0">
                  <w:pPr>
                    <w:widowControl/>
                    <w:ind w:left="-105" w:leftChars="-50" w:right="-105" w:rightChars="-50"/>
                    <w:jc w:val="center"/>
                    <w:rPr>
                      <w:color w:val="auto"/>
                      <w:kern w:val="0"/>
                      <w:sz w:val="18"/>
                      <w:szCs w:val="18"/>
                    </w:rPr>
                  </w:pPr>
                </w:p>
              </w:tc>
              <w:tc>
                <w:tcPr>
                  <w:tcW w:w="301" w:type="pct"/>
                  <w:noWrap/>
                  <w:vAlign w:val="center"/>
                </w:tcPr>
                <w:p w14:paraId="648738CB">
                  <w:pPr>
                    <w:widowControl/>
                    <w:ind w:left="-105" w:leftChars="-50" w:right="-105" w:rightChars="-50"/>
                    <w:jc w:val="center"/>
                    <w:rPr>
                      <w:color w:val="auto"/>
                      <w:kern w:val="0"/>
                      <w:sz w:val="18"/>
                      <w:szCs w:val="18"/>
                    </w:rPr>
                  </w:pPr>
                  <w:r>
                    <w:rPr>
                      <w:color w:val="auto"/>
                      <w:kern w:val="0"/>
                      <w:sz w:val="18"/>
                      <w:szCs w:val="18"/>
                    </w:rPr>
                    <w:t>声压级</w:t>
                  </w:r>
                </w:p>
                <w:p w14:paraId="329ABC75">
                  <w:pPr>
                    <w:widowControl/>
                    <w:ind w:left="-105" w:leftChars="-50" w:right="-105" w:rightChars="-50"/>
                    <w:jc w:val="center"/>
                    <w:rPr>
                      <w:color w:val="auto"/>
                      <w:kern w:val="0"/>
                      <w:sz w:val="18"/>
                      <w:szCs w:val="18"/>
                    </w:rPr>
                  </w:pPr>
                  <w:r>
                    <w:rPr>
                      <w:color w:val="auto"/>
                      <w:kern w:val="0"/>
                      <w:sz w:val="18"/>
                      <w:szCs w:val="18"/>
                    </w:rPr>
                    <w:t>/dB(A)</w:t>
                  </w:r>
                </w:p>
              </w:tc>
              <w:tc>
                <w:tcPr>
                  <w:tcW w:w="304" w:type="pct"/>
                  <w:noWrap/>
                  <w:vAlign w:val="center"/>
                </w:tcPr>
                <w:p w14:paraId="753C9FE1">
                  <w:pPr>
                    <w:widowControl/>
                    <w:ind w:left="-105" w:leftChars="-50" w:right="-105" w:rightChars="-50"/>
                    <w:jc w:val="center"/>
                    <w:rPr>
                      <w:color w:val="auto"/>
                      <w:kern w:val="0"/>
                      <w:sz w:val="18"/>
                      <w:szCs w:val="18"/>
                    </w:rPr>
                  </w:pPr>
                  <w:r>
                    <w:rPr>
                      <w:color w:val="auto"/>
                      <w:kern w:val="0"/>
                      <w:sz w:val="18"/>
                      <w:szCs w:val="18"/>
                    </w:rPr>
                    <w:t>建筑物</w:t>
                  </w:r>
                </w:p>
                <w:p w14:paraId="31CE709A">
                  <w:pPr>
                    <w:widowControl/>
                    <w:ind w:left="-105" w:leftChars="-50" w:right="-105" w:rightChars="-50"/>
                    <w:jc w:val="center"/>
                    <w:rPr>
                      <w:color w:val="auto"/>
                      <w:kern w:val="0"/>
                      <w:sz w:val="18"/>
                      <w:szCs w:val="18"/>
                    </w:rPr>
                  </w:pPr>
                  <w:r>
                    <w:rPr>
                      <w:color w:val="auto"/>
                      <w:kern w:val="0"/>
                      <w:sz w:val="18"/>
                      <w:szCs w:val="18"/>
                    </w:rPr>
                    <w:t>外距离</w:t>
                  </w:r>
                </w:p>
              </w:tc>
            </w:tr>
            <w:tr w14:paraId="2A5A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5E93CC0E">
                  <w:pPr>
                    <w:jc w:val="center"/>
                    <w:rPr>
                      <w:color w:val="auto"/>
                      <w:sz w:val="18"/>
                      <w:szCs w:val="18"/>
                    </w:rPr>
                  </w:pPr>
                  <w:r>
                    <w:rPr>
                      <w:color w:val="auto"/>
                      <w:sz w:val="18"/>
                      <w:szCs w:val="18"/>
                    </w:rPr>
                    <w:t>1</w:t>
                  </w:r>
                </w:p>
              </w:tc>
              <w:tc>
                <w:tcPr>
                  <w:tcW w:w="349" w:type="pct"/>
                  <w:noWrap/>
                  <w:vAlign w:val="center"/>
                </w:tcPr>
                <w:p w14:paraId="67081837">
                  <w:pPr>
                    <w:jc w:val="center"/>
                    <w:rPr>
                      <w:color w:val="auto"/>
                      <w:sz w:val="18"/>
                      <w:szCs w:val="18"/>
                    </w:rPr>
                  </w:pPr>
                  <w:r>
                    <w:rPr>
                      <w:rFonts w:hint="eastAsia"/>
                      <w:color w:val="auto"/>
                      <w:sz w:val="18"/>
                      <w:szCs w:val="18"/>
                    </w:rPr>
                    <w:t>生产车间</w:t>
                  </w:r>
                </w:p>
              </w:tc>
              <w:tc>
                <w:tcPr>
                  <w:tcW w:w="442" w:type="pct"/>
                  <w:noWrap/>
                  <w:vAlign w:val="center"/>
                </w:tcPr>
                <w:p w14:paraId="3C95DBBC">
                  <w:pPr>
                    <w:jc w:val="center"/>
                    <w:rPr>
                      <w:rFonts w:hint="eastAsia"/>
                      <w:color w:val="auto"/>
                      <w:sz w:val="18"/>
                      <w:szCs w:val="18"/>
                    </w:rPr>
                  </w:pPr>
                  <w:r>
                    <w:rPr>
                      <w:rFonts w:hint="eastAsia"/>
                      <w:color w:val="auto"/>
                      <w:sz w:val="18"/>
                      <w:szCs w:val="18"/>
                    </w:rPr>
                    <w:t>混料机1</w:t>
                  </w:r>
                </w:p>
              </w:tc>
              <w:tc>
                <w:tcPr>
                  <w:tcW w:w="243" w:type="pct"/>
                  <w:noWrap/>
                  <w:vAlign w:val="center"/>
                </w:tcPr>
                <w:p w14:paraId="5C1B8866">
                  <w:pPr>
                    <w:jc w:val="center"/>
                    <w:rPr>
                      <w:rFonts w:hint="eastAsia"/>
                      <w:color w:val="auto"/>
                      <w:sz w:val="18"/>
                      <w:szCs w:val="18"/>
                    </w:rPr>
                  </w:pPr>
                  <w:r>
                    <w:rPr>
                      <w:rFonts w:hint="eastAsia"/>
                      <w:color w:val="auto"/>
                      <w:sz w:val="18"/>
                      <w:szCs w:val="18"/>
                    </w:rPr>
                    <w:t>/</w:t>
                  </w:r>
                </w:p>
              </w:tc>
              <w:tc>
                <w:tcPr>
                  <w:tcW w:w="426" w:type="pct"/>
                  <w:noWrap/>
                  <w:vAlign w:val="center"/>
                </w:tcPr>
                <w:p w14:paraId="274C8760">
                  <w:pPr>
                    <w:jc w:val="center"/>
                    <w:rPr>
                      <w:rFonts w:hint="eastAsia"/>
                      <w:color w:val="auto"/>
                      <w:sz w:val="18"/>
                      <w:szCs w:val="18"/>
                    </w:rPr>
                  </w:pPr>
                  <w:r>
                    <w:rPr>
                      <w:rFonts w:hint="eastAsia"/>
                      <w:color w:val="auto"/>
                      <w:sz w:val="18"/>
                      <w:szCs w:val="18"/>
                    </w:rPr>
                    <w:t>80</w:t>
                  </w:r>
                </w:p>
              </w:tc>
              <w:tc>
                <w:tcPr>
                  <w:tcW w:w="385" w:type="pct"/>
                  <w:noWrap/>
                  <w:vAlign w:val="center"/>
                </w:tcPr>
                <w:p w14:paraId="3DF22AF1">
                  <w:pPr>
                    <w:jc w:val="center"/>
                    <w:rPr>
                      <w:rFonts w:hint="eastAsia"/>
                      <w:color w:val="auto"/>
                      <w:sz w:val="18"/>
                      <w:szCs w:val="18"/>
                    </w:rPr>
                  </w:pPr>
                  <w:r>
                    <w:rPr>
                      <w:rFonts w:hint="eastAsia"/>
                      <w:color w:val="auto"/>
                      <w:sz w:val="18"/>
                      <w:szCs w:val="18"/>
                    </w:rPr>
                    <w:t>隔声减振</w:t>
                  </w:r>
                </w:p>
              </w:tc>
              <w:tc>
                <w:tcPr>
                  <w:tcW w:w="392" w:type="pct"/>
                  <w:noWrap/>
                  <w:vAlign w:val="center"/>
                </w:tcPr>
                <w:p w14:paraId="0E663AD1">
                  <w:pPr>
                    <w:jc w:val="center"/>
                    <w:rPr>
                      <w:rFonts w:hint="eastAsia"/>
                      <w:color w:val="auto"/>
                      <w:sz w:val="18"/>
                      <w:szCs w:val="18"/>
                    </w:rPr>
                  </w:pPr>
                  <w:r>
                    <w:rPr>
                      <w:rFonts w:hint="eastAsia"/>
                      <w:color w:val="auto"/>
                      <w:sz w:val="18"/>
                      <w:szCs w:val="18"/>
                    </w:rPr>
                    <w:t>-115.7</w:t>
                  </w:r>
                </w:p>
              </w:tc>
              <w:tc>
                <w:tcPr>
                  <w:tcW w:w="345" w:type="pct"/>
                  <w:noWrap/>
                  <w:vAlign w:val="center"/>
                </w:tcPr>
                <w:p w14:paraId="02EB208C">
                  <w:pPr>
                    <w:jc w:val="center"/>
                    <w:rPr>
                      <w:rFonts w:hint="eastAsia"/>
                      <w:color w:val="auto"/>
                      <w:sz w:val="18"/>
                      <w:szCs w:val="18"/>
                    </w:rPr>
                  </w:pPr>
                  <w:r>
                    <w:rPr>
                      <w:rFonts w:hint="eastAsia"/>
                      <w:color w:val="auto"/>
                      <w:sz w:val="18"/>
                      <w:szCs w:val="18"/>
                    </w:rPr>
                    <w:t>-35.5</w:t>
                  </w:r>
                </w:p>
              </w:tc>
              <w:tc>
                <w:tcPr>
                  <w:tcW w:w="257" w:type="pct"/>
                  <w:noWrap/>
                  <w:vAlign w:val="center"/>
                </w:tcPr>
                <w:p w14:paraId="114C4C51">
                  <w:pPr>
                    <w:jc w:val="center"/>
                    <w:rPr>
                      <w:rFonts w:hint="eastAsia"/>
                      <w:color w:val="auto"/>
                      <w:sz w:val="18"/>
                      <w:szCs w:val="18"/>
                    </w:rPr>
                  </w:pPr>
                  <w:r>
                    <w:rPr>
                      <w:rFonts w:hint="eastAsia"/>
                      <w:color w:val="auto"/>
                      <w:sz w:val="18"/>
                      <w:szCs w:val="18"/>
                    </w:rPr>
                    <w:t>1.2</w:t>
                  </w:r>
                </w:p>
              </w:tc>
              <w:tc>
                <w:tcPr>
                  <w:tcW w:w="352" w:type="pct"/>
                  <w:noWrap/>
                  <w:vAlign w:val="center"/>
                </w:tcPr>
                <w:p w14:paraId="37186E69">
                  <w:pPr>
                    <w:jc w:val="center"/>
                    <w:rPr>
                      <w:rFonts w:hint="eastAsia"/>
                      <w:color w:val="auto"/>
                      <w:sz w:val="18"/>
                      <w:szCs w:val="18"/>
                    </w:rPr>
                  </w:pPr>
                  <w:r>
                    <w:rPr>
                      <w:rFonts w:hint="eastAsia"/>
                      <w:color w:val="auto"/>
                      <w:sz w:val="18"/>
                      <w:szCs w:val="18"/>
                    </w:rPr>
                    <w:t>32.2</w:t>
                  </w:r>
                </w:p>
              </w:tc>
              <w:tc>
                <w:tcPr>
                  <w:tcW w:w="365" w:type="pct"/>
                  <w:noWrap/>
                  <w:vAlign w:val="center"/>
                </w:tcPr>
                <w:p w14:paraId="3F50785A">
                  <w:pPr>
                    <w:jc w:val="center"/>
                    <w:rPr>
                      <w:rFonts w:hint="eastAsia"/>
                      <w:color w:val="auto"/>
                      <w:sz w:val="18"/>
                      <w:szCs w:val="18"/>
                    </w:rPr>
                  </w:pPr>
                  <w:r>
                    <w:rPr>
                      <w:rFonts w:hint="eastAsia"/>
                      <w:color w:val="auto"/>
                      <w:sz w:val="18"/>
                      <w:szCs w:val="18"/>
                    </w:rPr>
                    <w:t>64.6</w:t>
                  </w:r>
                </w:p>
              </w:tc>
              <w:tc>
                <w:tcPr>
                  <w:tcW w:w="292" w:type="pct"/>
                  <w:noWrap/>
                  <w:vAlign w:val="center"/>
                </w:tcPr>
                <w:p w14:paraId="0D25F61B">
                  <w:pPr>
                    <w:jc w:val="center"/>
                    <w:rPr>
                      <w:rFonts w:hint="eastAsia"/>
                      <w:color w:val="auto"/>
                      <w:sz w:val="18"/>
                      <w:szCs w:val="18"/>
                    </w:rPr>
                  </w:pPr>
                  <w:r>
                    <w:rPr>
                      <w:rFonts w:hint="eastAsia"/>
                      <w:color w:val="auto"/>
                      <w:sz w:val="18"/>
                      <w:szCs w:val="18"/>
                      <w:lang w:val="en-US" w:eastAsia="zh-CN"/>
                    </w:rPr>
                    <w:t>10</w:t>
                  </w:r>
                  <w:r>
                    <w:rPr>
                      <w:rFonts w:hint="eastAsia"/>
                      <w:color w:val="auto"/>
                      <w:sz w:val="18"/>
                      <w:szCs w:val="18"/>
                    </w:rPr>
                    <w:t>h</w:t>
                  </w:r>
                </w:p>
              </w:tc>
              <w:tc>
                <w:tcPr>
                  <w:tcW w:w="314" w:type="pct"/>
                  <w:noWrap/>
                  <w:vAlign w:val="center"/>
                </w:tcPr>
                <w:p w14:paraId="045F2262">
                  <w:pPr>
                    <w:jc w:val="center"/>
                    <w:rPr>
                      <w:rFonts w:hint="eastAsia"/>
                      <w:color w:val="auto"/>
                      <w:sz w:val="18"/>
                      <w:szCs w:val="18"/>
                    </w:rPr>
                  </w:pPr>
                  <w:r>
                    <w:rPr>
                      <w:rFonts w:hint="eastAsia"/>
                      <w:color w:val="auto"/>
                      <w:sz w:val="18"/>
                      <w:szCs w:val="18"/>
                    </w:rPr>
                    <w:t>15</w:t>
                  </w:r>
                </w:p>
              </w:tc>
              <w:tc>
                <w:tcPr>
                  <w:tcW w:w="301" w:type="pct"/>
                  <w:noWrap/>
                  <w:vAlign w:val="center"/>
                </w:tcPr>
                <w:p w14:paraId="50B6C266">
                  <w:pPr>
                    <w:jc w:val="center"/>
                    <w:rPr>
                      <w:rFonts w:hint="eastAsia"/>
                      <w:color w:val="auto"/>
                      <w:sz w:val="18"/>
                      <w:szCs w:val="18"/>
                    </w:rPr>
                  </w:pPr>
                  <w:r>
                    <w:rPr>
                      <w:rFonts w:hint="eastAsia"/>
                      <w:color w:val="auto"/>
                      <w:sz w:val="18"/>
                      <w:szCs w:val="18"/>
                    </w:rPr>
                    <w:t>43.6</w:t>
                  </w:r>
                </w:p>
              </w:tc>
              <w:tc>
                <w:tcPr>
                  <w:tcW w:w="304" w:type="pct"/>
                  <w:noWrap/>
                  <w:vAlign w:val="center"/>
                </w:tcPr>
                <w:p w14:paraId="0E4C90C2">
                  <w:pPr>
                    <w:jc w:val="center"/>
                    <w:rPr>
                      <w:color w:val="auto"/>
                      <w:sz w:val="18"/>
                      <w:szCs w:val="18"/>
                    </w:rPr>
                  </w:pPr>
                  <w:r>
                    <w:rPr>
                      <w:color w:val="auto"/>
                      <w:sz w:val="18"/>
                      <w:szCs w:val="18"/>
                    </w:rPr>
                    <w:t>1m</w:t>
                  </w:r>
                </w:p>
              </w:tc>
            </w:tr>
            <w:tr w14:paraId="3D62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5" w:type="pct"/>
                  <w:noWrap/>
                  <w:vAlign w:val="center"/>
                </w:tcPr>
                <w:p w14:paraId="5F1CCB63">
                  <w:pPr>
                    <w:jc w:val="center"/>
                    <w:rPr>
                      <w:color w:val="auto"/>
                      <w:sz w:val="18"/>
                      <w:szCs w:val="18"/>
                    </w:rPr>
                  </w:pPr>
                  <w:r>
                    <w:rPr>
                      <w:rFonts w:hint="eastAsia"/>
                      <w:color w:val="auto"/>
                      <w:sz w:val="18"/>
                      <w:szCs w:val="18"/>
                    </w:rPr>
                    <w:t>2</w:t>
                  </w:r>
                </w:p>
              </w:tc>
              <w:tc>
                <w:tcPr>
                  <w:tcW w:w="349" w:type="pct"/>
                  <w:noWrap/>
                  <w:vAlign w:val="center"/>
                </w:tcPr>
                <w:p w14:paraId="6EB37339">
                  <w:pPr>
                    <w:jc w:val="center"/>
                    <w:rPr>
                      <w:color w:val="auto"/>
                      <w:sz w:val="18"/>
                      <w:szCs w:val="18"/>
                    </w:rPr>
                  </w:pPr>
                  <w:r>
                    <w:rPr>
                      <w:rFonts w:hint="eastAsia"/>
                      <w:color w:val="auto"/>
                      <w:sz w:val="18"/>
                      <w:szCs w:val="18"/>
                    </w:rPr>
                    <w:t>生产车间</w:t>
                  </w:r>
                </w:p>
              </w:tc>
              <w:tc>
                <w:tcPr>
                  <w:tcW w:w="442" w:type="pct"/>
                  <w:noWrap/>
                  <w:vAlign w:val="center"/>
                </w:tcPr>
                <w:p w14:paraId="75583EE0">
                  <w:pPr>
                    <w:jc w:val="center"/>
                    <w:rPr>
                      <w:rFonts w:hint="eastAsia"/>
                      <w:color w:val="auto"/>
                      <w:sz w:val="18"/>
                      <w:szCs w:val="18"/>
                    </w:rPr>
                  </w:pPr>
                  <w:r>
                    <w:rPr>
                      <w:rFonts w:hint="eastAsia"/>
                      <w:color w:val="auto"/>
                      <w:sz w:val="18"/>
                      <w:szCs w:val="18"/>
                    </w:rPr>
                    <w:t>混料机2</w:t>
                  </w:r>
                </w:p>
              </w:tc>
              <w:tc>
                <w:tcPr>
                  <w:tcW w:w="243" w:type="pct"/>
                  <w:noWrap/>
                  <w:vAlign w:val="center"/>
                </w:tcPr>
                <w:p w14:paraId="55710A3D">
                  <w:pPr>
                    <w:jc w:val="center"/>
                    <w:rPr>
                      <w:rFonts w:hint="eastAsia"/>
                      <w:color w:val="auto"/>
                      <w:sz w:val="18"/>
                      <w:szCs w:val="18"/>
                    </w:rPr>
                  </w:pPr>
                  <w:r>
                    <w:rPr>
                      <w:rFonts w:hint="eastAsia"/>
                      <w:color w:val="auto"/>
                      <w:sz w:val="18"/>
                      <w:szCs w:val="18"/>
                    </w:rPr>
                    <w:t>/</w:t>
                  </w:r>
                </w:p>
              </w:tc>
              <w:tc>
                <w:tcPr>
                  <w:tcW w:w="426" w:type="pct"/>
                  <w:noWrap/>
                  <w:vAlign w:val="center"/>
                </w:tcPr>
                <w:p w14:paraId="6CA2B188">
                  <w:pPr>
                    <w:jc w:val="center"/>
                    <w:rPr>
                      <w:rFonts w:hint="eastAsia"/>
                      <w:color w:val="auto"/>
                      <w:sz w:val="18"/>
                      <w:szCs w:val="18"/>
                    </w:rPr>
                  </w:pPr>
                  <w:r>
                    <w:rPr>
                      <w:rFonts w:hint="eastAsia"/>
                      <w:color w:val="auto"/>
                      <w:sz w:val="18"/>
                      <w:szCs w:val="18"/>
                    </w:rPr>
                    <w:t>80</w:t>
                  </w:r>
                </w:p>
              </w:tc>
              <w:tc>
                <w:tcPr>
                  <w:tcW w:w="385" w:type="pct"/>
                  <w:noWrap/>
                  <w:vAlign w:val="center"/>
                </w:tcPr>
                <w:p w14:paraId="38819369">
                  <w:pPr>
                    <w:jc w:val="center"/>
                    <w:rPr>
                      <w:rFonts w:hint="eastAsia"/>
                      <w:color w:val="auto"/>
                      <w:sz w:val="18"/>
                      <w:szCs w:val="18"/>
                    </w:rPr>
                  </w:pPr>
                  <w:r>
                    <w:rPr>
                      <w:rFonts w:hint="eastAsia"/>
                      <w:color w:val="auto"/>
                      <w:sz w:val="18"/>
                      <w:szCs w:val="18"/>
                    </w:rPr>
                    <w:t>隔声减振</w:t>
                  </w:r>
                </w:p>
              </w:tc>
              <w:tc>
                <w:tcPr>
                  <w:tcW w:w="392" w:type="pct"/>
                  <w:noWrap/>
                  <w:vAlign w:val="center"/>
                </w:tcPr>
                <w:p w14:paraId="5E00F74A">
                  <w:pPr>
                    <w:jc w:val="center"/>
                    <w:rPr>
                      <w:rFonts w:hint="eastAsia"/>
                      <w:color w:val="auto"/>
                      <w:sz w:val="18"/>
                      <w:szCs w:val="18"/>
                    </w:rPr>
                  </w:pPr>
                  <w:r>
                    <w:rPr>
                      <w:rFonts w:hint="eastAsia"/>
                      <w:color w:val="auto"/>
                      <w:sz w:val="18"/>
                      <w:szCs w:val="18"/>
                    </w:rPr>
                    <w:t>-115.8</w:t>
                  </w:r>
                </w:p>
              </w:tc>
              <w:tc>
                <w:tcPr>
                  <w:tcW w:w="345" w:type="pct"/>
                  <w:noWrap/>
                  <w:vAlign w:val="center"/>
                </w:tcPr>
                <w:p w14:paraId="661BAB0C">
                  <w:pPr>
                    <w:jc w:val="center"/>
                    <w:rPr>
                      <w:rFonts w:hint="eastAsia"/>
                      <w:color w:val="auto"/>
                      <w:sz w:val="18"/>
                      <w:szCs w:val="18"/>
                    </w:rPr>
                  </w:pPr>
                  <w:r>
                    <w:rPr>
                      <w:rFonts w:hint="eastAsia"/>
                      <w:color w:val="auto"/>
                      <w:sz w:val="18"/>
                      <w:szCs w:val="18"/>
                    </w:rPr>
                    <w:t>-40.5</w:t>
                  </w:r>
                </w:p>
              </w:tc>
              <w:tc>
                <w:tcPr>
                  <w:tcW w:w="257" w:type="pct"/>
                  <w:noWrap/>
                  <w:vAlign w:val="center"/>
                </w:tcPr>
                <w:p w14:paraId="4E7DCB0B">
                  <w:pPr>
                    <w:jc w:val="center"/>
                    <w:rPr>
                      <w:rFonts w:hint="eastAsia"/>
                      <w:color w:val="auto"/>
                      <w:sz w:val="18"/>
                      <w:szCs w:val="18"/>
                    </w:rPr>
                  </w:pPr>
                  <w:r>
                    <w:rPr>
                      <w:rFonts w:hint="eastAsia"/>
                      <w:color w:val="auto"/>
                      <w:sz w:val="18"/>
                      <w:szCs w:val="18"/>
                    </w:rPr>
                    <w:t>1.2</w:t>
                  </w:r>
                </w:p>
              </w:tc>
              <w:tc>
                <w:tcPr>
                  <w:tcW w:w="352" w:type="pct"/>
                  <w:noWrap/>
                  <w:vAlign w:val="center"/>
                </w:tcPr>
                <w:p w14:paraId="4AE33D1D">
                  <w:pPr>
                    <w:jc w:val="center"/>
                    <w:rPr>
                      <w:rFonts w:hint="eastAsia"/>
                      <w:color w:val="auto"/>
                      <w:sz w:val="18"/>
                      <w:szCs w:val="18"/>
                    </w:rPr>
                  </w:pPr>
                  <w:r>
                    <w:rPr>
                      <w:rFonts w:hint="eastAsia"/>
                      <w:color w:val="auto"/>
                      <w:sz w:val="18"/>
                      <w:szCs w:val="18"/>
                    </w:rPr>
                    <w:t>27.2</w:t>
                  </w:r>
                </w:p>
              </w:tc>
              <w:tc>
                <w:tcPr>
                  <w:tcW w:w="365" w:type="pct"/>
                  <w:noWrap/>
                  <w:vAlign w:val="center"/>
                </w:tcPr>
                <w:p w14:paraId="0AAC4C64">
                  <w:pPr>
                    <w:jc w:val="center"/>
                    <w:rPr>
                      <w:rFonts w:hint="eastAsia"/>
                      <w:color w:val="auto"/>
                      <w:sz w:val="18"/>
                      <w:szCs w:val="18"/>
                    </w:rPr>
                  </w:pPr>
                  <w:r>
                    <w:rPr>
                      <w:rFonts w:hint="eastAsia"/>
                      <w:color w:val="auto"/>
                      <w:sz w:val="18"/>
                      <w:szCs w:val="18"/>
                    </w:rPr>
                    <w:t>64.6</w:t>
                  </w:r>
                </w:p>
              </w:tc>
              <w:tc>
                <w:tcPr>
                  <w:tcW w:w="292" w:type="pct"/>
                  <w:noWrap/>
                  <w:vAlign w:val="center"/>
                </w:tcPr>
                <w:p w14:paraId="0EFB5D6A">
                  <w:pPr>
                    <w:jc w:val="center"/>
                    <w:rPr>
                      <w:rFonts w:hint="eastAsia"/>
                      <w:color w:val="auto"/>
                      <w:sz w:val="18"/>
                      <w:szCs w:val="18"/>
                    </w:rPr>
                  </w:pPr>
                  <w:r>
                    <w:rPr>
                      <w:rFonts w:hint="eastAsia"/>
                      <w:color w:val="auto"/>
                      <w:sz w:val="18"/>
                      <w:szCs w:val="18"/>
                    </w:rPr>
                    <w:t>24h</w:t>
                  </w:r>
                </w:p>
              </w:tc>
              <w:tc>
                <w:tcPr>
                  <w:tcW w:w="314" w:type="pct"/>
                  <w:noWrap/>
                  <w:vAlign w:val="center"/>
                </w:tcPr>
                <w:p w14:paraId="5C3B711D">
                  <w:pPr>
                    <w:jc w:val="center"/>
                    <w:rPr>
                      <w:rFonts w:hint="eastAsia"/>
                      <w:color w:val="auto"/>
                      <w:sz w:val="18"/>
                      <w:szCs w:val="18"/>
                    </w:rPr>
                  </w:pPr>
                  <w:r>
                    <w:rPr>
                      <w:rFonts w:hint="eastAsia"/>
                      <w:color w:val="auto"/>
                      <w:sz w:val="18"/>
                      <w:szCs w:val="18"/>
                    </w:rPr>
                    <w:t>15</w:t>
                  </w:r>
                </w:p>
              </w:tc>
              <w:tc>
                <w:tcPr>
                  <w:tcW w:w="301" w:type="pct"/>
                  <w:noWrap/>
                  <w:vAlign w:val="center"/>
                </w:tcPr>
                <w:p w14:paraId="6F6F5BEB">
                  <w:pPr>
                    <w:jc w:val="center"/>
                    <w:rPr>
                      <w:rFonts w:hint="eastAsia"/>
                      <w:color w:val="auto"/>
                      <w:sz w:val="18"/>
                      <w:szCs w:val="18"/>
                    </w:rPr>
                  </w:pPr>
                  <w:r>
                    <w:rPr>
                      <w:rFonts w:hint="eastAsia"/>
                      <w:color w:val="auto"/>
                      <w:sz w:val="18"/>
                      <w:szCs w:val="18"/>
                    </w:rPr>
                    <w:t>43.6</w:t>
                  </w:r>
                </w:p>
              </w:tc>
              <w:tc>
                <w:tcPr>
                  <w:tcW w:w="304" w:type="pct"/>
                  <w:noWrap/>
                  <w:vAlign w:val="center"/>
                </w:tcPr>
                <w:p w14:paraId="1E264647">
                  <w:pPr>
                    <w:jc w:val="center"/>
                    <w:rPr>
                      <w:color w:val="auto"/>
                      <w:sz w:val="18"/>
                      <w:szCs w:val="18"/>
                    </w:rPr>
                  </w:pPr>
                  <w:r>
                    <w:rPr>
                      <w:color w:val="auto"/>
                      <w:sz w:val="18"/>
                      <w:szCs w:val="18"/>
                    </w:rPr>
                    <w:t>1m</w:t>
                  </w:r>
                </w:p>
              </w:tc>
            </w:tr>
            <w:tr w14:paraId="03A8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24B8D511">
                  <w:pPr>
                    <w:jc w:val="center"/>
                    <w:rPr>
                      <w:rFonts w:hint="eastAsia" w:eastAsia="宋体"/>
                      <w:color w:val="auto"/>
                      <w:sz w:val="18"/>
                      <w:szCs w:val="18"/>
                      <w:lang w:val="en-US" w:eastAsia="zh-CN"/>
                    </w:rPr>
                  </w:pPr>
                  <w:r>
                    <w:rPr>
                      <w:rFonts w:hint="eastAsia"/>
                      <w:color w:val="auto"/>
                      <w:sz w:val="18"/>
                      <w:szCs w:val="18"/>
                      <w:lang w:val="en-US" w:eastAsia="zh-CN"/>
                    </w:rPr>
                    <w:t>3</w:t>
                  </w:r>
                </w:p>
              </w:tc>
              <w:tc>
                <w:tcPr>
                  <w:tcW w:w="349" w:type="pct"/>
                  <w:noWrap/>
                  <w:vAlign w:val="center"/>
                </w:tcPr>
                <w:p w14:paraId="01B64037">
                  <w:pPr>
                    <w:jc w:val="center"/>
                    <w:rPr>
                      <w:rFonts w:hint="eastAsia"/>
                      <w:color w:val="auto"/>
                      <w:sz w:val="18"/>
                      <w:szCs w:val="18"/>
                    </w:rPr>
                  </w:pPr>
                  <w:r>
                    <w:rPr>
                      <w:rFonts w:hint="eastAsia"/>
                      <w:color w:val="auto"/>
                      <w:sz w:val="18"/>
                      <w:szCs w:val="18"/>
                    </w:rPr>
                    <w:t>生产车间</w:t>
                  </w:r>
                </w:p>
              </w:tc>
              <w:tc>
                <w:tcPr>
                  <w:tcW w:w="442" w:type="pct"/>
                  <w:noWrap/>
                  <w:vAlign w:val="center"/>
                </w:tcPr>
                <w:p w14:paraId="4729A3D8">
                  <w:pPr>
                    <w:jc w:val="center"/>
                    <w:rPr>
                      <w:rFonts w:hint="default"/>
                      <w:color w:val="auto"/>
                      <w:sz w:val="18"/>
                      <w:szCs w:val="18"/>
                      <w:lang w:val="en-US" w:eastAsia="zh-CN"/>
                    </w:rPr>
                  </w:pPr>
                  <w:r>
                    <w:rPr>
                      <w:rFonts w:hint="eastAsia"/>
                      <w:color w:val="auto"/>
                      <w:sz w:val="18"/>
                      <w:szCs w:val="18"/>
                    </w:rPr>
                    <w:t>92型挤塑机1</w:t>
                  </w:r>
                </w:p>
              </w:tc>
              <w:tc>
                <w:tcPr>
                  <w:tcW w:w="243" w:type="pct"/>
                  <w:noWrap/>
                  <w:vAlign w:val="center"/>
                </w:tcPr>
                <w:p w14:paraId="0EBCF7ED">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117B1128">
                  <w:pPr>
                    <w:jc w:val="center"/>
                    <w:rPr>
                      <w:rFonts w:hint="eastAsia"/>
                      <w:color w:val="auto"/>
                      <w:sz w:val="18"/>
                      <w:szCs w:val="18"/>
                    </w:rPr>
                  </w:pPr>
                  <w:r>
                    <w:rPr>
                      <w:rFonts w:hint="eastAsia"/>
                      <w:color w:val="auto"/>
                      <w:sz w:val="18"/>
                      <w:szCs w:val="18"/>
                    </w:rPr>
                    <w:t>75</w:t>
                  </w:r>
                </w:p>
              </w:tc>
              <w:tc>
                <w:tcPr>
                  <w:tcW w:w="385" w:type="pct"/>
                  <w:noWrap/>
                  <w:vAlign w:val="center"/>
                </w:tcPr>
                <w:p w14:paraId="712B6054">
                  <w:pPr>
                    <w:jc w:val="center"/>
                    <w:rPr>
                      <w:rFonts w:hint="eastAsia"/>
                      <w:color w:val="auto"/>
                      <w:sz w:val="18"/>
                      <w:szCs w:val="18"/>
                    </w:rPr>
                  </w:pPr>
                  <w:r>
                    <w:rPr>
                      <w:rFonts w:hint="eastAsia"/>
                      <w:color w:val="auto"/>
                      <w:sz w:val="18"/>
                      <w:szCs w:val="18"/>
                    </w:rPr>
                    <w:t>隔声减振</w:t>
                  </w:r>
                </w:p>
              </w:tc>
              <w:tc>
                <w:tcPr>
                  <w:tcW w:w="392" w:type="pct"/>
                  <w:noWrap/>
                  <w:vAlign w:val="center"/>
                </w:tcPr>
                <w:p w14:paraId="49FD1BEF">
                  <w:pPr>
                    <w:jc w:val="center"/>
                    <w:rPr>
                      <w:rFonts w:hint="eastAsia"/>
                      <w:color w:val="auto"/>
                      <w:sz w:val="18"/>
                      <w:szCs w:val="18"/>
                    </w:rPr>
                  </w:pPr>
                  <w:r>
                    <w:rPr>
                      <w:rFonts w:hint="eastAsia"/>
                      <w:color w:val="auto"/>
                      <w:sz w:val="18"/>
                      <w:szCs w:val="18"/>
                    </w:rPr>
                    <w:t>-105.9</w:t>
                  </w:r>
                </w:p>
              </w:tc>
              <w:tc>
                <w:tcPr>
                  <w:tcW w:w="345" w:type="pct"/>
                  <w:noWrap/>
                  <w:vAlign w:val="center"/>
                </w:tcPr>
                <w:p w14:paraId="4A119BBE">
                  <w:pPr>
                    <w:jc w:val="center"/>
                    <w:rPr>
                      <w:rFonts w:hint="eastAsia"/>
                      <w:color w:val="auto"/>
                      <w:sz w:val="18"/>
                      <w:szCs w:val="18"/>
                    </w:rPr>
                  </w:pPr>
                  <w:r>
                    <w:rPr>
                      <w:rFonts w:hint="eastAsia"/>
                      <w:color w:val="auto"/>
                      <w:sz w:val="18"/>
                      <w:szCs w:val="18"/>
                    </w:rPr>
                    <w:t>-43.9</w:t>
                  </w:r>
                </w:p>
              </w:tc>
              <w:tc>
                <w:tcPr>
                  <w:tcW w:w="257" w:type="pct"/>
                  <w:noWrap/>
                  <w:vAlign w:val="center"/>
                </w:tcPr>
                <w:p w14:paraId="199A634C">
                  <w:pPr>
                    <w:jc w:val="center"/>
                    <w:rPr>
                      <w:rFonts w:hint="eastAsia"/>
                      <w:color w:val="auto"/>
                      <w:sz w:val="18"/>
                      <w:szCs w:val="18"/>
                    </w:rPr>
                  </w:pPr>
                  <w:r>
                    <w:rPr>
                      <w:rFonts w:hint="eastAsia"/>
                      <w:color w:val="auto"/>
                      <w:sz w:val="18"/>
                      <w:szCs w:val="18"/>
                    </w:rPr>
                    <w:t>1.2</w:t>
                  </w:r>
                </w:p>
              </w:tc>
              <w:tc>
                <w:tcPr>
                  <w:tcW w:w="352" w:type="pct"/>
                  <w:noWrap/>
                  <w:vAlign w:val="center"/>
                </w:tcPr>
                <w:p w14:paraId="6A6D7B24">
                  <w:pPr>
                    <w:jc w:val="center"/>
                    <w:rPr>
                      <w:rFonts w:hint="eastAsia"/>
                      <w:color w:val="auto"/>
                      <w:sz w:val="18"/>
                      <w:szCs w:val="18"/>
                    </w:rPr>
                  </w:pPr>
                  <w:r>
                    <w:rPr>
                      <w:rFonts w:hint="eastAsia"/>
                      <w:color w:val="auto"/>
                      <w:sz w:val="18"/>
                      <w:szCs w:val="18"/>
                    </w:rPr>
                    <w:t>23.8</w:t>
                  </w:r>
                </w:p>
              </w:tc>
              <w:tc>
                <w:tcPr>
                  <w:tcW w:w="365" w:type="pct"/>
                  <w:noWrap/>
                  <w:vAlign w:val="center"/>
                </w:tcPr>
                <w:p w14:paraId="1E677D06">
                  <w:pPr>
                    <w:jc w:val="center"/>
                    <w:rPr>
                      <w:rFonts w:hint="eastAsia"/>
                      <w:color w:val="auto"/>
                      <w:sz w:val="18"/>
                      <w:szCs w:val="18"/>
                    </w:rPr>
                  </w:pPr>
                  <w:r>
                    <w:rPr>
                      <w:rFonts w:hint="eastAsia"/>
                      <w:color w:val="auto"/>
                      <w:sz w:val="18"/>
                      <w:szCs w:val="18"/>
                    </w:rPr>
                    <w:t>59.6</w:t>
                  </w:r>
                </w:p>
              </w:tc>
              <w:tc>
                <w:tcPr>
                  <w:tcW w:w="292" w:type="pct"/>
                  <w:noWrap/>
                  <w:vAlign w:val="center"/>
                </w:tcPr>
                <w:p w14:paraId="36569511">
                  <w:pPr>
                    <w:jc w:val="center"/>
                    <w:rPr>
                      <w:rFonts w:hint="eastAsia"/>
                      <w:color w:val="auto"/>
                      <w:sz w:val="18"/>
                      <w:szCs w:val="18"/>
                    </w:rPr>
                  </w:pPr>
                  <w:r>
                    <w:rPr>
                      <w:rFonts w:hint="eastAsia"/>
                      <w:color w:val="auto"/>
                      <w:sz w:val="18"/>
                      <w:szCs w:val="18"/>
                    </w:rPr>
                    <w:t>24h</w:t>
                  </w:r>
                </w:p>
              </w:tc>
              <w:tc>
                <w:tcPr>
                  <w:tcW w:w="314" w:type="pct"/>
                  <w:noWrap/>
                  <w:vAlign w:val="center"/>
                </w:tcPr>
                <w:p w14:paraId="01EFFBDD">
                  <w:pPr>
                    <w:jc w:val="center"/>
                    <w:rPr>
                      <w:rFonts w:hint="eastAsia"/>
                      <w:color w:val="auto"/>
                      <w:sz w:val="18"/>
                      <w:szCs w:val="18"/>
                    </w:rPr>
                  </w:pPr>
                  <w:r>
                    <w:rPr>
                      <w:rFonts w:hint="eastAsia"/>
                      <w:color w:val="auto"/>
                      <w:sz w:val="18"/>
                      <w:szCs w:val="18"/>
                    </w:rPr>
                    <w:t>15</w:t>
                  </w:r>
                </w:p>
              </w:tc>
              <w:tc>
                <w:tcPr>
                  <w:tcW w:w="301" w:type="pct"/>
                  <w:noWrap/>
                  <w:vAlign w:val="center"/>
                </w:tcPr>
                <w:p w14:paraId="6E3DE44B">
                  <w:pPr>
                    <w:jc w:val="center"/>
                    <w:rPr>
                      <w:rFonts w:hint="eastAsia"/>
                      <w:color w:val="auto"/>
                      <w:sz w:val="18"/>
                      <w:szCs w:val="18"/>
                    </w:rPr>
                  </w:pPr>
                  <w:r>
                    <w:rPr>
                      <w:rFonts w:hint="eastAsia"/>
                      <w:color w:val="auto"/>
                      <w:sz w:val="18"/>
                      <w:szCs w:val="18"/>
                    </w:rPr>
                    <w:t>38.6</w:t>
                  </w:r>
                </w:p>
              </w:tc>
              <w:tc>
                <w:tcPr>
                  <w:tcW w:w="304" w:type="pct"/>
                  <w:noWrap/>
                  <w:vAlign w:val="center"/>
                </w:tcPr>
                <w:p w14:paraId="499B5244">
                  <w:pPr>
                    <w:jc w:val="center"/>
                    <w:rPr>
                      <w:color w:val="auto"/>
                      <w:sz w:val="18"/>
                      <w:szCs w:val="18"/>
                    </w:rPr>
                  </w:pPr>
                  <w:r>
                    <w:rPr>
                      <w:color w:val="auto"/>
                      <w:sz w:val="18"/>
                      <w:szCs w:val="18"/>
                    </w:rPr>
                    <w:t>1m</w:t>
                  </w:r>
                </w:p>
              </w:tc>
            </w:tr>
            <w:tr w14:paraId="4C2A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10D4F326">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349" w:type="pct"/>
                  <w:noWrap/>
                  <w:vAlign w:val="center"/>
                </w:tcPr>
                <w:p w14:paraId="7986D1FA">
                  <w:pPr>
                    <w:jc w:val="center"/>
                    <w:rPr>
                      <w:rFonts w:hint="eastAsia"/>
                      <w:color w:val="auto"/>
                      <w:sz w:val="18"/>
                      <w:szCs w:val="18"/>
                    </w:rPr>
                  </w:pPr>
                  <w:r>
                    <w:rPr>
                      <w:rFonts w:hint="eastAsia"/>
                      <w:color w:val="auto"/>
                      <w:sz w:val="18"/>
                      <w:szCs w:val="18"/>
                    </w:rPr>
                    <w:t>生产车间</w:t>
                  </w:r>
                </w:p>
              </w:tc>
              <w:tc>
                <w:tcPr>
                  <w:tcW w:w="442" w:type="pct"/>
                  <w:noWrap/>
                  <w:vAlign w:val="center"/>
                </w:tcPr>
                <w:p w14:paraId="650CB35C">
                  <w:pPr>
                    <w:jc w:val="center"/>
                    <w:rPr>
                      <w:rFonts w:hint="eastAsia"/>
                      <w:color w:val="auto"/>
                      <w:sz w:val="18"/>
                      <w:szCs w:val="18"/>
                    </w:rPr>
                  </w:pPr>
                  <w:r>
                    <w:rPr>
                      <w:rFonts w:hint="eastAsia"/>
                      <w:color w:val="auto"/>
                      <w:sz w:val="18"/>
                      <w:szCs w:val="18"/>
                    </w:rPr>
                    <w:t>92型挤塑机2</w:t>
                  </w:r>
                </w:p>
              </w:tc>
              <w:tc>
                <w:tcPr>
                  <w:tcW w:w="243" w:type="pct"/>
                  <w:noWrap/>
                  <w:vAlign w:val="center"/>
                </w:tcPr>
                <w:p w14:paraId="38FBB622">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12974206">
                  <w:pPr>
                    <w:jc w:val="center"/>
                    <w:rPr>
                      <w:rFonts w:hint="eastAsia"/>
                      <w:color w:val="auto"/>
                      <w:sz w:val="18"/>
                      <w:szCs w:val="18"/>
                    </w:rPr>
                  </w:pPr>
                  <w:r>
                    <w:rPr>
                      <w:rFonts w:hint="eastAsia"/>
                      <w:color w:val="auto"/>
                      <w:sz w:val="18"/>
                      <w:szCs w:val="18"/>
                    </w:rPr>
                    <w:t>75</w:t>
                  </w:r>
                </w:p>
              </w:tc>
              <w:tc>
                <w:tcPr>
                  <w:tcW w:w="385" w:type="pct"/>
                  <w:noWrap/>
                  <w:vAlign w:val="center"/>
                </w:tcPr>
                <w:p w14:paraId="4FD1BEEA">
                  <w:pPr>
                    <w:jc w:val="center"/>
                    <w:rPr>
                      <w:rFonts w:hint="eastAsia"/>
                      <w:color w:val="auto"/>
                      <w:sz w:val="18"/>
                      <w:szCs w:val="18"/>
                    </w:rPr>
                  </w:pPr>
                  <w:r>
                    <w:rPr>
                      <w:rFonts w:hint="eastAsia"/>
                      <w:color w:val="auto"/>
                      <w:sz w:val="18"/>
                      <w:szCs w:val="18"/>
                    </w:rPr>
                    <w:t>隔声减振</w:t>
                  </w:r>
                </w:p>
              </w:tc>
              <w:tc>
                <w:tcPr>
                  <w:tcW w:w="392" w:type="pct"/>
                  <w:noWrap/>
                  <w:vAlign w:val="center"/>
                </w:tcPr>
                <w:p w14:paraId="7081B601">
                  <w:pPr>
                    <w:jc w:val="center"/>
                    <w:rPr>
                      <w:rFonts w:hint="eastAsia"/>
                      <w:color w:val="auto"/>
                      <w:sz w:val="18"/>
                      <w:szCs w:val="18"/>
                    </w:rPr>
                  </w:pPr>
                  <w:r>
                    <w:rPr>
                      <w:rFonts w:hint="eastAsia"/>
                      <w:color w:val="auto"/>
                      <w:sz w:val="18"/>
                      <w:szCs w:val="18"/>
                    </w:rPr>
                    <w:t>-100.5</w:t>
                  </w:r>
                </w:p>
              </w:tc>
              <w:tc>
                <w:tcPr>
                  <w:tcW w:w="345" w:type="pct"/>
                  <w:noWrap/>
                  <w:vAlign w:val="center"/>
                </w:tcPr>
                <w:p w14:paraId="1BAD303F">
                  <w:pPr>
                    <w:jc w:val="center"/>
                    <w:rPr>
                      <w:rFonts w:hint="eastAsia"/>
                      <w:color w:val="auto"/>
                      <w:sz w:val="18"/>
                      <w:szCs w:val="18"/>
                    </w:rPr>
                  </w:pPr>
                  <w:r>
                    <w:rPr>
                      <w:rFonts w:hint="eastAsia"/>
                      <w:color w:val="auto"/>
                      <w:sz w:val="18"/>
                      <w:szCs w:val="18"/>
                    </w:rPr>
                    <w:t>-44</w:t>
                  </w:r>
                </w:p>
              </w:tc>
              <w:tc>
                <w:tcPr>
                  <w:tcW w:w="257" w:type="pct"/>
                  <w:noWrap/>
                  <w:vAlign w:val="center"/>
                </w:tcPr>
                <w:p w14:paraId="0C416829">
                  <w:pPr>
                    <w:jc w:val="center"/>
                    <w:rPr>
                      <w:rFonts w:hint="eastAsia"/>
                      <w:color w:val="auto"/>
                      <w:sz w:val="18"/>
                      <w:szCs w:val="18"/>
                    </w:rPr>
                  </w:pPr>
                  <w:r>
                    <w:rPr>
                      <w:rFonts w:hint="eastAsia"/>
                      <w:color w:val="auto"/>
                      <w:sz w:val="18"/>
                      <w:szCs w:val="18"/>
                    </w:rPr>
                    <w:t>1.2</w:t>
                  </w:r>
                </w:p>
              </w:tc>
              <w:tc>
                <w:tcPr>
                  <w:tcW w:w="352" w:type="pct"/>
                  <w:noWrap/>
                  <w:vAlign w:val="center"/>
                </w:tcPr>
                <w:p w14:paraId="0DD1DC73">
                  <w:pPr>
                    <w:jc w:val="center"/>
                    <w:rPr>
                      <w:rFonts w:hint="eastAsia"/>
                      <w:color w:val="auto"/>
                      <w:sz w:val="18"/>
                      <w:szCs w:val="18"/>
                    </w:rPr>
                  </w:pPr>
                  <w:r>
                    <w:rPr>
                      <w:rFonts w:hint="eastAsia"/>
                      <w:color w:val="auto"/>
                      <w:sz w:val="18"/>
                      <w:szCs w:val="18"/>
                    </w:rPr>
                    <w:t>23.6</w:t>
                  </w:r>
                </w:p>
              </w:tc>
              <w:tc>
                <w:tcPr>
                  <w:tcW w:w="365" w:type="pct"/>
                  <w:noWrap/>
                  <w:vAlign w:val="center"/>
                </w:tcPr>
                <w:p w14:paraId="0967EF51">
                  <w:pPr>
                    <w:jc w:val="center"/>
                    <w:rPr>
                      <w:rFonts w:hint="default"/>
                      <w:color w:val="auto"/>
                      <w:sz w:val="18"/>
                      <w:szCs w:val="18"/>
                      <w:lang w:val="en-US" w:eastAsia="zh-CN"/>
                    </w:rPr>
                  </w:pPr>
                  <w:r>
                    <w:rPr>
                      <w:rFonts w:hint="eastAsia"/>
                      <w:color w:val="auto"/>
                      <w:sz w:val="18"/>
                      <w:szCs w:val="18"/>
                    </w:rPr>
                    <w:t>59.6</w:t>
                  </w:r>
                </w:p>
              </w:tc>
              <w:tc>
                <w:tcPr>
                  <w:tcW w:w="292" w:type="pct"/>
                  <w:noWrap/>
                  <w:vAlign w:val="center"/>
                </w:tcPr>
                <w:p w14:paraId="50648D2C">
                  <w:pPr>
                    <w:jc w:val="center"/>
                    <w:rPr>
                      <w:rFonts w:hint="eastAsia"/>
                      <w:color w:val="auto"/>
                      <w:sz w:val="18"/>
                      <w:szCs w:val="18"/>
                    </w:rPr>
                  </w:pPr>
                  <w:r>
                    <w:rPr>
                      <w:rFonts w:hint="eastAsia"/>
                      <w:color w:val="auto"/>
                      <w:sz w:val="18"/>
                      <w:szCs w:val="18"/>
                    </w:rPr>
                    <w:t>24h</w:t>
                  </w:r>
                </w:p>
              </w:tc>
              <w:tc>
                <w:tcPr>
                  <w:tcW w:w="314" w:type="pct"/>
                  <w:noWrap/>
                  <w:vAlign w:val="center"/>
                </w:tcPr>
                <w:p w14:paraId="5DE18BCA">
                  <w:pPr>
                    <w:jc w:val="center"/>
                    <w:rPr>
                      <w:rFonts w:hint="eastAsia"/>
                      <w:color w:val="auto"/>
                      <w:sz w:val="18"/>
                      <w:szCs w:val="18"/>
                    </w:rPr>
                  </w:pPr>
                  <w:r>
                    <w:rPr>
                      <w:rFonts w:hint="eastAsia"/>
                      <w:color w:val="auto"/>
                      <w:sz w:val="18"/>
                      <w:szCs w:val="18"/>
                    </w:rPr>
                    <w:t>15</w:t>
                  </w:r>
                </w:p>
              </w:tc>
              <w:tc>
                <w:tcPr>
                  <w:tcW w:w="301" w:type="pct"/>
                  <w:noWrap/>
                  <w:vAlign w:val="center"/>
                </w:tcPr>
                <w:p w14:paraId="0CAADE91">
                  <w:pPr>
                    <w:jc w:val="center"/>
                    <w:rPr>
                      <w:rFonts w:hint="eastAsia"/>
                      <w:color w:val="auto"/>
                      <w:sz w:val="18"/>
                      <w:szCs w:val="18"/>
                    </w:rPr>
                  </w:pPr>
                  <w:r>
                    <w:rPr>
                      <w:rFonts w:hint="eastAsia"/>
                      <w:color w:val="auto"/>
                      <w:sz w:val="18"/>
                      <w:szCs w:val="18"/>
                    </w:rPr>
                    <w:t>38.6</w:t>
                  </w:r>
                </w:p>
              </w:tc>
              <w:tc>
                <w:tcPr>
                  <w:tcW w:w="304" w:type="pct"/>
                  <w:noWrap/>
                  <w:vAlign w:val="center"/>
                </w:tcPr>
                <w:p w14:paraId="3D259D50">
                  <w:pPr>
                    <w:jc w:val="center"/>
                    <w:rPr>
                      <w:color w:val="auto"/>
                      <w:sz w:val="18"/>
                      <w:szCs w:val="18"/>
                    </w:rPr>
                  </w:pPr>
                  <w:r>
                    <w:rPr>
                      <w:color w:val="auto"/>
                      <w:sz w:val="18"/>
                      <w:szCs w:val="18"/>
                    </w:rPr>
                    <w:t>1m</w:t>
                  </w:r>
                </w:p>
              </w:tc>
            </w:tr>
            <w:tr w14:paraId="2BF9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0BFC6CA2">
                  <w:pPr>
                    <w:jc w:val="center"/>
                    <w:rPr>
                      <w:rFonts w:hint="default"/>
                      <w:color w:val="auto"/>
                      <w:sz w:val="18"/>
                      <w:szCs w:val="18"/>
                      <w:lang w:val="en-US" w:eastAsia="zh-CN"/>
                    </w:rPr>
                  </w:pPr>
                  <w:r>
                    <w:rPr>
                      <w:rFonts w:hint="eastAsia"/>
                      <w:color w:val="auto"/>
                      <w:sz w:val="18"/>
                      <w:szCs w:val="18"/>
                      <w:lang w:val="en-US" w:eastAsia="zh-CN"/>
                    </w:rPr>
                    <w:t>5</w:t>
                  </w:r>
                </w:p>
              </w:tc>
              <w:tc>
                <w:tcPr>
                  <w:tcW w:w="349" w:type="pct"/>
                  <w:noWrap/>
                  <w:vAlign w:val="center"/>
                </w:tcPr>
                <w:p w14:paraId="0EE9878A">
                  <w:pPr>
                    <w:jc w:val="center"/>
                    <w:rPr>
                      <w:rFonts w:hint="eastAsia"/>
                      <w:color w:val="auto"/>
                      <w:sz w:val="18"/>
                      <w:szCs w:val="18"/>
                    </w:rPr>
                  </w:pPr>
                  <w:r>
                    <w:rPr>
                      <w:rFonts w:hint="eastAsia"/>
                      <w:color w:val="auto"/>
                      <w:sz w:val="18"/>
                      <w:szCs w:val="18"/>
                    </w:rPr>
                    <w:t>生产车间</w:t>
                  </w:r>
                </w:p>
              </w:tc>
              <w:tc>
                <w:tcPr>
                  <w:tcW w:w="442" w:type="pct"/>
                  <w:noWrap/>
                  <w:vAlign w:val="center"/>
                </w:tcPr>
                <w:p w14:paraId="2C55477B">
                  <w:pPr>
                    <w:jc w:val="center"/>
                    <w:rPr>
                      <w:rFonts w:hint="eastAsia"/>
                      <w:color w:val="auto"/>
                      <w:sz w:val="18"/>
                      <w:szCs w:val="18"/>
                      <w:lang w:val="en-US" w:eastAsia="zh-CN"/>
                    </w:rPr>
                  </w:pPr>
                  <w:r>
                    <w:rPr>
                      <w:rFonts w:hint="eastAsia"/>
                      <w:color w:val="auto"/>
                      <w:sz w:val="18"/>
                      <w:szCs w:val="18"/>
                    </w:rPr>
                    <w:t>65型挤塑机1</w:t>
                  </w:r>
                </w:p>
              </w:tc>
              <w:tc>
                <w:tcPr>
                  <w:tcW w:w="243" w:type="pct"/>
                  <w:noWrap/>
                  <w:vAlign w:val="center"/>
                </w:tcPr>
                <w:p w14:paraId="58455BCD">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7E12586A">
                  <w:pPr>
                    <w:jc w:val="center"/>
                    <w:rPr>
                      <w:rFonts w:hint="eastAsia"/>
                      <w:color w:val="auto"/>
                      <w:sz w:val="18"/>
                      <w:szCs w:val="18"/>
                    </w:rPr>
                  </w:pPr>
                  <w:r>
                    <w:rPr>
                      <w:rFonts w:hint="eastAsia"/>
                      <w:color w:val="auto"/>
                      <w:sz w:val="18"/>
                      <w:szCs w:val="18"/>
                    </w:rPr>
                    <w:t>75</w:t>
                  </w:r>
                </w:p>
              </w:tc>
              <w:tc>
                <w:tcPr>
                  <w:tcW w:w="385" w:type="pct"/>
                  <w:noWrap/>
                  <w:vAlign w:val="center"/>
                </w:tcPr>
                <w:p w14:paraId="7F19457E">
                  <w:pPr>
                    <w:jc w:val="center"/>
                    <w:rPr>
                      <w:rFonts w:hint="eastAsia"/>
                      <w:color w:val="auto"/>
                      <w:sz w:val="18"/>
                      <w:szCs w:val="18"/>
                    </w:rPr>
                  </w:pPr>
                  <w:r>
                    <w:rPr>
                      <w:rFonts w:hint="eastAsia"/>
                      <w:color w:val="auto"/>
                      <w:sz w:val="18"/>
                      <w:szCs w:val="18"/>
                    </w:rPr>
                    <w:t>隔声减振</w:t>
                  </w:r>
                </w:p>
              </w:tc>
              <w:tc>
                <w:tcPr>
                  <w:tcW w:w="392" w:type="pct"/>
                  <w:noWrap/>
                  <w:vAlign w:val="center"/>
                </w:tcPr>
                <w:p w14:paraId="3215E386">
                  <w:pPr>
                    <w:jc w:val="center"/>
                    <w:rPr>
                      <w:rFonts w:hint="eastAsia"/>
                      <w:color w:val="auto"/>
                      <w:sz w:val="18"/>
                      <w:szCs w:val="18"/>
                    </w:rPr>
                  </w:pPr>
                  <w:r>
                    <w:rPr>
                      <w:rFonts w:hint="eastAsia"/>
                      <w:color w:val="auto"/>
                      <w:sz w:val="18"/>
                      <w:szCs w:val="18"/>
                    </w:rPr>
                    <w:t>-95.9</w:t>
                  </w:r>
                </w:p>
              </w:tc>
              <w:tc>
                <w:tcPr>
                  <w:tcW w:w="345" w:type="pct"/>
                  <w:noWrap/>
                  <w:vAlign w:val="center"/>
                </w:tcPr>
                <w:p w14:paraId="3951553A">
                  <w:pPr>
                    <w:jc w:val="center"/>
                    <w:rPr>
                      <w:rFonts w:hint="eastAsia"/>
                      <w:color w:val="auto"/>
                      <w:sz w:val="18"/>
                      <w:szCs w:val="18"/>
                    </w:rPr>
                  </w:pPr>
                  <w:r>
                    <w:rPr>
                      <w:rFonts w:hint="eastAsia"/>
                      <w:color w:val="auto"/>
                      <w:sz w:val="18"/>
                      <w:szCs w:val="18"/>
                    </w:rPr>
                    <w:t>-44</w:t>
                  </w:r>
                </w:p>
              </w:tc>
              <w:tc>
                <w:tcPr>
                  <w:tcW w:w="257" w:type="pct"/>
                  <w:noWrap/>
                  <w:vAlign w:val="center"/>
                </w:tcPr>
                <w:p w14:paraId="78F550EF">
                  <w:pPr>
                    <w:jc w:val="center"/>
                    <w:rPr>
                      <w:rFonts w:hint="eastAsia"/>
                      <w:color w:val="auto"/>
                      <w:sz w:val="18"/>
                      <w:szCs w:val="18"/>
                    </w:rPr>
                  </w:pPr>
                  <w:r>
                    <w:rPr>
                      <w:rFonts w:hint="eastAsia"/>
                      <w:color w:val="auto"/>
                      <w:sz w:val="18"/>
                      <w:szCs w:val="18"/>
                    </w:rPr>
                    <w:t>1.2</w:t>
                  </w:r>
                </w:p>
              </w:tc>
              <w:tc>
                <w:tcPr>
                  <w:tcW w:w="352" w:type="pct"/>
                  <w:noWrap/>
                  <w:vAlign w:val="center"/>
                </w:tcPr>
                <w:p w14:paraId="6D0D015F">
                  <w:pPr>
                    <w:jc w:val="center"/>
                    <w:rPr>
                      <w:rFonts w:hint="eastAsia"/>
                      <w:color w:val="auto"/>
                      <w:sz w:val="18"/>
                      <w:szCs w:val="18"/>
                    </w:rPr>
                  </w:pPr>
                  <w:r>
                    <w:rPr>
                      <w:rFonts w:hint="eastAsia"/>
                      <w:color w:val="auto"/>
                      <w:sz w:val="18"/>
                      <w:szCs w:val="18"/>
                    </w:rPr>
                    <w:t>23.6</w:t>
                  </w:r>
                </w:p>
              </w:tc>
              <w:tc>
                <w:tcPr>
                  <w:tcW w:w="365" w:type="pct"/>
                  <w:noWrap/>
                  <w:vAlign w:val="center"/>
                </w:tcPr>
                <w:p w14:paraId="60A52CDE">
                  <w:pPr>
                    <w:jc w:val="center"/>
                    <w:rPr>
                      <w:rFonts w:hint="eastAsia"/>
                      <w:color w:val="auto"/>
                      <w:sz w:val="18"/>
                      <w:szCs w:val="18"/>
                    </w:rPr>
                  </w:pPr>
                  <w:r>
                    <w:rPr>
                      <w:rFonts w:hint="eastAsia"/>
                      <w:color w:val="auto"/>
                      <w:sz w:val="18"/>
                      <w:szCs w:val="18"/>
                    </w:rPr>
                    <w:t>59.6</w:t>
                  </w:r>
                </w:p>
              </w:tc>
              <w:tc>
                <w:tcPr>
                  <w:tcW w:w="292" w:type="pct"/>
                  <w:noWrap/>
                  <w:vAlign w:val="center"/>
                </w:tcPr>
                <w:p w14:paraId="3ED3AF8A">
                  <w:pPr>
                    <w:jc w:val="center"/>
                    <w:rPr>
                      <w:rFonts w:hint="eastAsia"/>
                      <w:color w:val="auto"/>
                      <w:sz w:val="18"/>
                      <w:szCs w:val="18"/>
                    </w:rPr>
                  </w:pPr>
                  <w:r>
                    <w:rPr>
                      <w:rFonts w:hint="eastAsia"/>
                      <w:color w:val="auto"/>
                      <w:sz w:val="18"/>
                      <w:szCs w:val="18"/>
                    </w:rPr>
                    <w:t>24h</w:t>
                  </w:r>
                </w:p>
              </w:tc>
              <w:tc>
                <w:tcPr>
                  <w:tcW w:w="314" w:type="pct"/>
                  <w:noWrap/>
                  <w:vAlign w:val="center"/>
                </w:tcPr>
                <w:p w14:paraId="2B25AD1C">
                  <w:pPr>
                    <w:jc w:val="center"/>
                    <w:rPr>
                      <w:rFonts w:hint="eastAsia"/>
                      <w:color w:val="auto"/>
                      <w:sz w:val="18"/>
                      <w:szCs w:val="18"/>
                    </w:rPr>
                  </w:pPr>
                  <w:r>
                    <w:rPr>
                      <w:rFonts w:hint="eastAsia"/>
                      <w:color w:val="auto"/>
                      <w:sz w:val="18"/>
                      <w:szCs w:val="18"/>
                    </w:rPr>
                    <w:t>15</w:t>
                  </w:r>
                </w:p>
              </w:tc>
              <w:tc>
                <w:tcPr>
                  <w:tcW w:w="301" w:type="pct"/>
                  <w:noWrap/>
                  <w:vAlign w:val="center"/>
                </w:tcPr>
                <w:p w14:paraId="3297A521">
                  <w:pPr>
                    <w:jc w:val="center"/>
                    <w:rPr>
                      <w:rFonts w:hint="eastAsia"/>
                      <w:color w:val="auto"/>
                      <w:sz w:val="18"/>
                      <w:szCs w:val="18"/>
                    </w:rPr>
                  </w:pPr>
                  <w:r>
                    <w:rPr>
                      <w:rFonts w:hint="eastAsia"/>
                      <w:color w:val="auto"/>
                      <w:sz w:val="18"/>
                      <w:szCs w:val="18"/>
                    </w:rPr>
                    <w:t>38.6</w:t>
                  </w:r>
                </w:p>
              </w:tc>
              <w:tc>
                <w:tcPr>
                  <w:tcW w:w="304" w:type="pct"/>
                  <w:noWrap/>
                  <w:vAlign w:val="center"/>
                </w:tcPr>
                <w:p w14:paraId="79FBA76D">
                  <w:pPr>
                    <w:jc w:val="center"/>
                    <w:rPr>
                      <w:color w:val="auto"/>
                      <w:sz w:val="18"/>
                      <w:szCs w:val="18"/>
                    </w:rPr>
                  </w:pPr>
                  <w:r>
                    <w:rPr>
                      <w:color w:val="auto"/>
                      <w:sz w:val="18"/>
                      <w:szCs w:val="18"/>
                    </w:rPr>
                    <w:t>1m</w:t>
                  </w:r>
                </w:p>
              </w:tc>
            </w:tr>
            <w:tr w14:paraId="67EA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7BBB357E">
                  <w:pPr>
                    <w:jc w:val="center"/>
                    <w:rPr>
                      <w:rFonts w:hint="default"/>
                      <w:color w:val="auto"/>
                      <w:sz w:val="18"/>
                      <w:szCs w:val="18"/>
                      <w:lang w:val="en-US" w:eastAsia="zh-CN"/>
                    </w:rPr>
                  </w:pPr>
                  <w:r>
                    <w:rPr>
                      <w:rFonts w:hint="eastAsia"/>
                      <w:color w:val="auto"/>
                      <w:sz w:val="18"/>
                      <w:szCs w:val="18"/>
                      <w:lang w:val="en-US" w:eastAsia="zh-CN"/>
                    </w:rPr>
                    <w:t>6</w:t>
                  </w:r>
                </w:p>
              </w:tc>
              <w:tc>
                <w:tcPr>
                  <w:tcW w:w="349" w:type="pct"/>
                  <w:noWrap/>
                  <w:vAlign w:val="center"/>
                </w:tcPr>
                <w:p w14:paraId="14244AFE">
                  <w:pPr>
                    <w:jc w:val="center"/>
                    <w:rPr>
                      <w:rFonts w:hint="eastAsia"/>
                      <w:color w:val="auto"/>
                      <w:sz w:val="18"/>
                      <w:szCs w:val="18"/>
                    </w:rPr>
                  </w:pPr>
                  <w:r>
                    <w:rPr>
                      <w:rFonts w:hint="eastAsia"/>
                      <w:color w:val="auto"/>
                      <w:sz w:val="18"/>
                      <w:szCs w:val="18"/>
                    </w:rPr>
                    <w:t>生产车间</w:t>
                  </w:r>
                </w:p>
              </w:tc>
              <w:tc>
                <w:tcPr>
                  <w:tcW w:w="442" w:type="pct"/>
                  <w:noWrap/>
                  <w:vAlign w:val="center"/>
                </w:tcPr>
                <w:p w14:paraId="657C162C">
                  <w:pPr>
                    <w:jc w:val="center"/>
                    <w:rPr>
                      <w:rFonts w:hint="eastAsia"/>
                      <w:color w:val="auto"/>
                      <w:sz w:val="18"/>
                      <w:szCs w:val="18"/>
                      <w:lang w:val="en-US" w:eastAsia="zh-CN"/>
                    </w:rPr>
                  </w:pPr>
                  <w:r>
                    <w:rPr>
                      <w:rFonts w:hint="eastAsia"/>
                      <w:color w:val="auto"/>
                      <w:sz w:val="18"/>
                      <w:szCs w:val="18"/>
                    </w:rPr>
                    <w:t>65型挤塑机2</w:t>
                  </w:r>
                </w:p>
              </w:tc>
              <w:tc>
                <w:tcPr>
                  <w:tcW w:w="243" w:type="pct"/>
                  <w:noWrap/>
                  <w:vAlign w:val="center"/>
                </w:tcPr>
                <w:p w14:paraId="511C8168">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5CF015A1">
                  <w:pPr>
                    <w:jc w:val="center"/>
                    <w:rPr>
                      <w:rFonts w:hint="eastAsia"/>
                      <w:color w:val="auto"/>
                      <w:sz w:val="18"/>
                      <w:szCs w:val="18"/>
                    </w:rPr>
                  </w:pPr>
                  <w:r>
                    <w:rPr>
                      <w:rFonts w:hint="eastAsia"/>
                      <w:color w:val="auto"/>
                      <w:sz w:val="18"/>
                      <w:szCs w:val="18"/>
                    </w:rPr>
                    <w:t>75</w:t>
                  </w:r>
                </w:p>
              </w:tc>
              <w:tc>
                <w:tcPr>
                  <w:tcW w:w="385" w:type="pct"/>
                  <w:noWrap/>
                  <w:vAlign w:val="center"/>
                </w:tcPr>
                <w:p w14:paraId="17FFA253">
                  <w:pPr>
                    <w:jc w:val="center"/>
                    <w:rPr>
                      <w:rFonts w:hint="eastAsia"/>
                      <w:color w:val="auto"/>
                      <w:sz w:val="18"/>
                      <w:szCs w:val="18"/>
                    </w:rPr>
                  </w:pPr>
                  <w:r>
                    <w:rPr>
                      <w:rFonts w:hint="eastAsia"/>
                      <w:color w:val="auto"/>
                      <w:sz w:val="18"/>
                      <w:szCs w:val="18"/>
                    </w:rPr>
                    <w:t>隔声减振</w:t>
                  </w:r>
                </w:p>
              </w:tc>
              <w:tc>
                <w:tcPr>
                  <w:tcW w:w="392" w:type="pct"/>
                  <w:noWrap/>
                  <w:vAlign w:val="center"/>
                </w:tcPr>
                <w:p w14:paraId="524592E8">
                  <w:pPr>
                    <w:jc w:val="center"/>
                    <w:rPr>
                      <w:rFonts w:hint="eastAsia"/>
                      <w:color w:val="auto"/>
                      <w:sz w:val="18"/>
                      <w:szCs w:val="18"/>
                    </w:rPr>
                  </w:pPr>
                  <w:r>
                    <w:rPr>
                      <w:rFonts w:hint="eastAsia"/>
                      <w:color w:val="auto"/>
                      <w:sz w:val="18"/>
                      <w:szCs w:val="18"/>
                    </w:rPr>
                    <w:t>-91.3</w:t>
                  </w:r>
                </w:p>
              </w:tc>
              <w:tc>
                <w:tcPr>
                  <w:tcW w:w="345" w:type="pct"/>
                  <w:noWrap/>
                  <w:vAlign w:val="center"/>
                </w:tcPr>
                <w:p w14:paraId="1121C2A4">
                  <w:pPr>
                    <w:jc w:val="center"/>
                    <w:rPr>
                      <w:rFonts w:hint="eastAsia"/>
                      <w:color w:val="auto"/>
                      <w:sz w:val="18"/>
                      <w:szCs w:val="18"/>
                    </w:rPr>
                  </w:pPr>
                  <w:r>
                    <w:rPr>
                      <w:rFonts w:hint="eastAsia"/>
                      <w:color w:val="auto"/>
                      <w:sz w:val="18"/>
                      <w:szCs w:val="18"/>
                    </w:rPr>
                    <w:t>-43.9</w:t>
                  </w:r>
                </w:p>
              </w:tc>
              <w:tc>
                <w:tcPr>
                  <w:tcW w:w="257" w:type="pct"/>
                  <w:noWrap/>
                  <w:vAlign w:val="center"/>
                </w:tcPr>
                <w:p w14:paraId="05B8014A">
                  <w:pPr>
                    <w:jc w:val="center"/>
                    <w:rPr>
                      <w:rFonts w:hint="eastAsia"/>
                      <w:color w:val="auto"/>
                      <w:sz w:val="18"/>
                      <w:szCs w:val="18"/>
                    </w:rPr>
                  </w:pPr>
                  <w:r>
                    <w:rPr>
                      <w:rFonts w:hint="eastAsia"/>
                      <w:color w:val="auto"/>
                      <w:sz w:val="18"/>
                      <w:szCs w:val="18"/>
                    </w:rPr>
                    <w:t>1.2</w:t>
                  </w:r>
                </w:p>
              </w:tc>
              <w:tc>
                <w:tcPr>
                  <w:tcW w:w="352" w:type="pct"/>
                  <w:noWrap/>
                  <w:vAlign w:val="center"/>
                </w:tcPr>
                <w:p w14:paraId="337A0C6F">
                  <w:pPr>
                    <w:jc w:val="center"/>
                    <w:rPr>
                      <w:rFonts w:hint="eastAsia"/>
                      <w:color w:val="auto"/>
                      <w:sz w:val="18"/>
                      <w:szCs w:val="18"/>
                    </w:rPr>
                  </w:pPr>
                  <w:r>
                    <w:rPr>
                      <w:rFonts w:hint="eastAsia"/>
                      <w:color w:val="auto"/>
                      <w:sz w:val="18"/>
                      <w:szCs w:val="18"/>
                    </w:rPr>
                    <w:t>23.7</w:t>
                  </w:r>
                </w:p>
              </w:tc>
              <w:tc>
                <w:tcPr>
                  <w:tcW w:w="365" w:type="pct"/>
                  <w:noWrap/>
                  <w:vAlign w:val="center"/>
                </w:tcPr>
                <w:p w14:paraId="78D35F75">
                  <w:pPr>
                    <w:jc w:val="center"/>
                    <w:rPr>
                      <w:rFonts w:hint="eastAsia"/>
                      <w:color w:val="auto"/>
                      <w:sz w:val="18"/>
                      <w:szCs w:val="18"/>
                    </w:rPr>
                  </w:pPr>
                  <w:r>
                    <w:rPr>
                      <w:rFonts w:hint="eastAsia"/>
                      <w:color w:val="auto"/>
                      <w:sz w:val="18"/>
                      <w:szCs w:val="18"/>
                    </w:rPr>
                    <w:t>59.6</w:t>
                  </w:r>
                </w:p>
              </w:tc>
              <w:tc>
                <w:tcPr>
                  <w:tcW w:w="292" w:type="pct"/>
                  <w:noWrap/>
                  <w:vAlign w:val="center"/>
                </w:tcPr>
                <w:p w14:paraId="1C17BEE2">
                  <w:pPr>
                    <w:jc w:val="center"/>
                    <w:rPr>
                      <w:rFonts w:hint="eastAsia"/>
                      <w:color w:val="auto"/>
                      <w:sz w:val="18"/>
                      <w:szCs w:val="18"/>
                    </w:rPr>
                  </w:pPr>
                  <w:r>
                    <w:rPr>
                      <w:rFonts w:hint="eastAsia"/>
                      <w:color w:val="auto"/>
                      <w:sz w:val="18"/>
                      <w:szCs w:val="18"/>
                    </w:rPr>
                    <w:t>24h</w:t>
                  </w:r>
                </w:p>
              </w:tc>
              <w:tc>
                <w:tcPr>
                  <w:tcW w:w="314" w:type="pct"/>
                  <w:noWrap/>
                  <w:vAlign w:val="center"/>
                </w:tcPr>
                <w:p w14:paraId="78BCD9A5">
                  <w:pPr>
                    <w:jc w:val="center"/>
                    <w:rPr>
                      <w:rFonts w:hint="eastAsia"/>
                      <w:color w:val="auto"/>
                      <w:sz w:val="18"/>
                      <w:szCs w:val="18"/>
                    </w:rPr>
                  </w:pPr>
                  <w:r>
                    <w:rPr>
                      <w:rFonts w:hint="eastAsia"/>
                      <w:color w:val="auto"/>
                      <w:sz w:val="18"/>
                      <w:szCs w:val="18"/>
                    </w:rPr>
                    <w:t>15</w:t>
                  </w:r>
                </w:p>
              </w:tc>
              <w:tc>
                <w:tcPr>
                  <w:tcW w:w="301" w:type="pct"/>
                  <w:noWrap/>
                  <w:vAlign w:val="center"/>
                </w:tcPr>
                <w:p w14:paraId="7059141F">
                  <w:pPr>
                    <w:jc w:val="center"/>
                    <w:rPr>
                      <w:rFonts w:hint="eastAsia"/>
                      <w:color w:val="auto"/>
                      <w:sz w:val="18"/>
                      <w:szCs w:val="18"/>
                    </w:rPr>
                  </w:pPr>
                  <w:r>
                    <w:rPr>
                      <w:rFonts w:hint="eastAsia"/>
                      <w:color w:val="auto"/>
                      <w:sz w:val="18"/>
                      <w:szCs w:val="18"/>
                    </w:rPr>
                    <w:t>38.6</w:t>
                  </w:r>
                </w:p>
              </w:tc>
              <w:tc>
                <w:tcPr>
                  <w:tcW w:w="304" w:type="pct"/>
                  <w:noWrap/>
                  <w:vAlign w:val="center"/>
                </w:tcPr>
                <w:p w14:paraId="46D96A39">
                  <w:pPr>
                    <w:jc w:val="center"/>
                    <w:rPr>
                      <w:color w:val="auto"/>
                      <w:sz w:val="18"/>
                      <w:szCs w:val="18"/>
                    </w:rPr>
                  </w:pPr>
                  <w:r>
                    <w:rPr>
                      <w:color w:val="auto"/>
                      <w:sz w:val="18"/>
                      <w:szCs w:val="18"/>
                    </w:rPr>
                    <w:t>1m</w:t>
                  </w:r>
                </w:p>
              </w:tc>
            </w:tr>
            <w:tr w14:paraId="0139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7E8FAE7B">
                  <w:pPr>
                    <w:jc w:val="center"/>
                    <w:rPr>
                      <w:rFonts w:hint="default"/>
                      <w:color w:val="auto"/>
                      <w:sz w:val="18"/>
                      <w:szCs w:val="18"/>
                      <w:lang w:val="en-US" w:eastAsia="zh-CN"/>
                    </w:rPr>
                  </w:pPr>
                  <w:r>
                    <w:rPr>
                      <w:rFonts w:hint="eastAsia"/>
                      <w:color w:val="auto"/>
                      <w:sz w:val="18"/>
                      <w:szCs w:val="18"/>
                      <w:lang w:val="en-US" w:eastAsia="zh-CN"/>
                    </w:rPr>
                    <w:t>7</w:t>
                  </w:r>
                </w:p>
              </w:tc>
              <w:tc>
                <w:tcPr>
                  <w:tcW w:w="349" w:type="pct"/>
                  <w:noWrap/>
                  <w:vAlign w:val="center"/>
                </w:tcPr>
                <w:p w14:paraId="03F9E93F">
                  <w:pPr>
                    <w:jc w:val="center"/>
                    <w:rPr>
                      <w:rFonts w:hint="eastAsia"/>
                      <w:color w:val="auto"/>
                      <w:sz w:val="18"/>
                      <w:szCs w:val="18"/>
                    </w:rPr>
                  </w:pPr>
                  <w:r>
                    <w:rPr>
                      <w:rFonts w:hint="eastAsia"/>
                      <w:color w:val="auto"/>
                      <w:sz w:val="18"/>
                      <w:szCs w:val="18"/>
                    </w:rPr>
                    <w:t>生产车间</w:t>
                  </w:r>
                </w:p>
              </w:tc>
              <w:tc>
                <w:tcPr>
                  <w:tcW w:w="442" w:type="pct"/>
                  <w:noWrap/>
                  <w:vAlign w:val="center"/>
                </w:tcPr>
                <w:p w14:paraId="21466891">
                  <w:pPr>
                    <w:jc w:val="center"/>
                    <w:rPr>
                      <w:rFonts w:hint="eastAsia"/>
                      <w:color w:val="auto"/>
                      <w:sz w:val="18"/>
                      <w:szCs w:val="18"/>
                      <w:lang w:val="en-US" w:eastAsia="zh-CN"/>
                    </w:rPr>
                  </w:pPr>
                  <w:r>
                    <w:rPr>
                      <w:rFonts w:hint="eastAsia"/>
                      <w:color w:val="auto"/>
                      <w:sz w:val="18"/>
                      <w:szCs w:val="18"/>
                    </w:rPr>
                    <w:t>65型挤塑机3</w:t>
                  </w:r>
                </w:p>
              </w:tc>
              <w:tc>
                <w:tcPr>
                  <w:tcW w:w="243" w:type="pct"/>
                  <w:noWrap/>
                  <w:vAlign w:val="center"/>
                </w:tcPr>
                <w:p w14:paraId="25ED3621">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615274E1">
                  <w:pPr>
                    <w:jc w:val="center"/>
                    <w:rPr>
                      <w:rFonts w:hint="eastAsia"/>
                      <w:color w:val="auto"/>
                      <w:sz w:val="18"/>
                      <w:szCs w:val="18"/>
                    </w:rPr>
                  </w:pPr>
                  <w:r>
                    <w:rPr>
                      <w:rFonts w:hint="eastAsia"/>
                      <w:color w:val="auto"/>
                      <w:sz w:val="18"/>
                      <w:szCs w:val="18"/>
                    </w:rPr>
                    <w:t>75</w:t>
                  </w:r>
                </w:p>
              </w:tc>
              <w:tc>
                <w:tcPr>
                  <w:tcW w:w="385" w:type="pct"/>
                  <w:noWrap/>
                  <w:vAlign w:val="center"/>
                </w:tcPr>
                <w:p w14:paraId="27960477">
                  <w:pPr>
                    <w:jc w:val="center"/>
                    <w:rPr>
                      <w:rFonts w:hint="eastAsia"/>
                      <w:color w:val="auto"/>
                      <w:sz w:val="18"/>
                      <w:szCs w:val="18"/>
                    </w:rPr>
                  </w:pPr>
                  <w:r>
                    <w:rPr>
                      <w:rFonts w:hint="eastAsia"/>
                      <w:color w:val="auto"/>
                      <w:sz w:val="18"/>
                      <w:szCs w:val="18"/>
                    </w:rPr>
                    <w:t>隔声减振</w:t>
                  </w:r>
                </w:p>
              </w:tc>
              <w:tc>
                <w:tcPr>
                  <w:tcW w:w="392" w:type="pct"/>
                  <w:noWrap/>
                  <w:vAlign w:val="center"/>
                </w:tcPr>
                <w:p w14:paraId="383FE1CE">
                  <w:pPr>
                    <w:jc w:val="center"/>
                    <w:rPr>
                      <w:rFonts w:hint="eastAsia"/>
                      <w:color w:val="auto"/>
                      <w:sz w:val="18"/>
                      <w:szCs w:val="18"/>
                    </w:rPr>
                  </w:pPr>
                  <w:r>
                    <w:rPr>
                      <w:rFonts w:hint="eastAsia"/>
                      <w:color w:val="auto"/>
                      <w:sz w:val="18"/>
                      <w:szCs w:val="18"/>
                    </w:rPr>
                    <w:t>-85.7</w:t>
                  </w:r>
                </w:p>
              </w:tc>
              <w:tc>
                <w:tcPr>
                  <w:tcW w:w="345" w:type="pct"/>
                  <w:noWrap/>
                  <w:vAlign w:val="center"/>
                </w:tcPr>
                <w:p w14:paraId="449B959A">
                  <w:pPr>
                    <w:jc w:val="center"/>
                    <w:rPr>
                      <w:rFonts w:hint="eastAsia"/>
                      <w:color w:val="auto"/>
                      <w:sz w:val="18"/>
                      <w:szCs w:val="18"/>
                    </w:rPr>
                  </w:pPr>
                  <w:r>
                    <w:rPr>
                      <w:rFonts w:hint="eastAsia"/>
                      <w:color w:val="auto"/>
                      <w:sz w:val="18"/>
                      <w:szCs w:val="18"/>
                    </w:rPr>
                    <w:t>-43.8</w:t>
                  </w:r>
                </w:p>
              </w:tc>
              <w:tc>
                <w:tcPr>
                  <w:tcW w:w="257" w:type="pct"/>
                  <w:noWrap/>
                  <w:vAlign w:val="center"/>
                </w:tcPr>
                <w:p w14:paraId="40AA671E">
                  <w:pPr>
                    <w:jc w:val="center"/>
                    <w:rPr>
                      <w:rFonts w:hint="eastAsia"/>
                      <w:color w:val="auto"/>
                      <w:sz w:val="18"/>
                      <w:szCs w:val="18"/>
                    </w:rPr>
                  </w:pPr>
                  <w:r>
                    <w:rPr>
                      <w:rFonts w:hint="eastAsia"/>
                      <w:color w:val="auto"/>
                      <w:sz w:val="18"/>
                      <w:szCs w:val="18"/>
                    </w:rPr>
                    <w:t>1.2</w:t>
                  </w:r>
                </w:p>
              </w:tc>
              <w:tc>
                <w:tcPr>
                  <w:tcW w:w="352" w:type="pct"/>
                  <w:noWrap/>
                  <w:vAlign w:val="center"/>
                </w:tcPr>
                <w:p w14:paraId="3404B7DD">
                  <w:pPr>
                    <w:jc w:val="center"/>
                    <w:rPr>
                      <w:rFonts w:hint="eastAsia"/>
                      <w:color w:val="auto"/>
                      <w:sz w:val="18"/>
                      <w:szCs w:val="18"/>
                    </w:rPr>
                  </w:pPr>
                  <w:r>
                    <w:rPr>
                      <w:rFonts w:hint="eastAsia"/>
                      <w:color w:val="auto"/>
                      <w:sz w:val="18"/>
                      <w:szCs w:val="18"/>
                    </w:rPr>
                    <w:t>23.8</w:t>
                  </w:r>
                </w:p>
              </w:tc>
              <w:tc>
                <w:tcPr>
                  <w:tcW w:w="365" w:type="pct"/>
                  <w:noWrap/>
                  <w:vAlign w:val="center"/>
                </w:tcPr>
                <w:p w14:paraId="6AE088A4">
                  <w:pPr>
                    <w:jc w:val="center"/>
                    <w:rPr>
                      <w:rFonts w:hint="eastAsia"/>
                      <w:color w:val="auto"/>
                      <w:sz w:val="18"/>
                      <w:szCs w:val="18"/>
                    </w:rPr>
                  </w:pPr>
                  <w:r>
                    <w:rPr>
                      <w:rFonts w:hint="eastAsia"/>
                      <w:color w:val="auto"/>
                      <w:sz w:val="18"/>
                      <w:szCs w:val="18"/>
                    </w:rPr>
                    <w:t>59.6</w:t>
                  </w:r>
                </w:p>
              </w:tc>
              <w:tc>
                <w:tcPr>
                  <w:tcW w:w="292" w:type="pct"/>
                  <w:noWrap/>
                  <w:vAlign w:val="center"/>
                </w:tcPr>
                <w:p w14:paraId="560E55D9">
                  <w:pPr>
                    <w:jc w:val="center"/>
                    <w:rPr>
                      <w:rFonts w:hint="eastAsia"/>
                      <w:color w:val="auto"/>
                      <w:sz w:val="18"/>
                      <w:szCs w:val="18"/>
                    </w:rPr>
                  </w:pPr>
                  <w:r>
                    <w:rPr>
                      <w:rFonts w:hint="eastAsia"/>
                      <w:color w:val="auto"/>
                      <w:sz w:val="18"/>
                      <w:szCs w:val="18"/>
                    </w:rPr>
                    <w:t>24h</w:t>
                  </w:r>
                </w:p>
              </w:tc>
              <w:tc>
                <w:tcPr>
                  <w:tcW w:w="314" w:type="pct"/>
                  <w:noWrap/>
                  <w:vAlign w:val="center"/>
                </w:tcPr>
                <w:p w14:paraId="3FB3D33F">
                  <w:pPr>
                    <w:jc w:val="center"/>
                    <w:rPr>
                      <w:rFonts w:hint="eastAsia"/>
                      <w:color w:val="auto"/>
                      <w:sz w:val="18"/>
                      <w:szCs w:val="18"/>
                    </w:rPr>
                  </w:pPr>
                  <w:r>
                    <w:rPr>
                      <w:rFonts w:hint="eastAsia"/>
                      <w:color w:val="auto"/>
                      <w:sz w:val="18"/>
                      <w:szCs w:val="18"/>
                    </w:rPr>
                    <w:t>15</w:t>
                  </w:r>
                </w:p>
              </w:tc>
              <w:tc>
                <w:tcPr>
                  <w:tcW w:w="301" w:type="pct"/>
                  <w:noWrap/>
                  <w:vAlign w:val="center"/>
                </w:tcPr>
                <w:p w14:paraId="4456250A">
                  <w:pPr>
                    <w:jc w:val="center"/>
                    <w:rPr>
                      <w:rFonts w:hint="eastAsia"/>
                      <w:color w:val="auto"/>
                      <w:sz w:val="18"/>
                      <w:szCs w:val="18"/>
                    </w:rPr>
                  </w:pPr>
                  <w:r>
                    <w:rPr>
                      <w:rFonts w:hint="eastAsia"/>
                      <w:color w:val="auto"/>
                      <w:sz w:val="18"/>
                      <w:szCs w:val="18"/>
                    </w:rPr>
                    <w:t>38.6</w:t>
                  </w:r>
                </w:p>
              </w:tc>
              <w:tc>
                <w:tcPr>
                  <w:tcW w:w="304" w:type="pct"/>
                  <w:noWrap/>
                  <w:vAlign w:val="center"/>
                </w:tcPr>
                <w:p w14:paraId="66F326EA">
                  <w:pPr>
                    <w:jc w:val="center"/>
                    <w:rPr>
                      <w:color w:val="auto"/>
                      <w:sz w:val="18"/>
                      <w:szCs w:val="18"/>
                    </w:rPr>
                  </w:pPr>
                  <w:r>
                    <w:rPr>
                      <w:color w:val="auto"/>
                      <w:sz w:val="18"/>
                      <w:szCs w:val="18"/>
                    </w:rPr>
                    <w:t>1m</w:t>
                  </w:r>
                </w:p>
              </w:tc>
            </w:tr>
            <w:tr w14:paraId="4022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5B9FF474">
                  <w:pPr>
                    <w:jc w:val="center"/>
                    <w:rPr>
                      <w:rFonts w:hint="default"/>
                      <w:color w:val="auto"/>
                      <w:sz w:val="18"/>
                      <w:szCs w:val="18"/>
                      <w:lang w:val="en-US" w:eastAsia="zh-CN"/>
                    </w:rPr>
                  </w:pPr>
                  <w:r>
                    <w:rPr>
                      <w:rFonts w:hint="eastAsia"/>
                      <w:color w:val="auto"/>
                      <w:sz w:val="18"/>
                      <w:szCs w:val="18"/>
                      <w:lang w:val="en-US" w:eastAsia="zh-CN"/>
                    </w:rPr>
                    <w:t>8</w:t>
                  </w:r>
                </w:p>
              </w:tc>
              <w:tc>
                <w:tcPr>
                  <w:tcW w:w="349" w:type="pct"/>
                  <w:noWrap/>
                  <w:vAlign w:val="center"/>
                </w:tcPr>
                <w:p w14:paraId="678FC926">
                  <w:pPr>
                    <w:jc w:val="center"/>
                    <w:rPr>
                      <w:rFonts w:hint="eastAsia"/>
                      <w:color w:val="auto"/>
                      <w:sz w:val="18"/>
                      <w:szCs w:val="18"/>
                    </w:rPr>
                  </w:pPr>
                  <w:r>
                    <w:rPr>
                      <w:rFonts w:hint="eastAsia"/>
                      <w:color w:val="auto"/>
                      <w:sz w:val="18"/>
                      <w:szCs w:val="18"/>
                    </w:rPr>
                    <w:t>生产车间</w:t>
                  </w:r>
                </w:p>
              </w:tc>
              <w:tc>
                <w:tcPr>
                  <w:tcW w:w="442" w:type="pct"/>
                  <w:noWrap/>
                  <w:vAlign w:val="center"/>
                </w:tcPr>
                <w:p w14:paraId="03E049D6">
                  <w:pPr>
                    <w:jc w:val="center"/>
                    <w:rPr>
                      <w:rFonts w:hint="eastAsia"/>
                      <w:color w:val="auto"/>
                      <w:sz w:val="18"/>
                      <w:szCs w:val="18"/>
                      <w:lang w:val="en-US" w:eastAsia="zh-CN"/>
                    </w:rPr>
                  </w:pPr>
                  <w:r>
                    <w:rPr>
                      <w:rFonts w:hint="eastAsia"/>
                      <w:color w:val="auto"/>
                      <w:sz w:val="18"/>
                      <w:szCs w:val="18"/>
                    </w:rPr>
                    <w:t>51型挤塑机1</w:t>
                  </w:r>
                </w:p>
              </w:tc>
              <w:tc>
                <w:tcPr>
                  <w:tcW w:w="243" w:type="pct"/>
                  <w:noWrap/>
                  <w:vAlign w:val="center"/>
                </w:tcPr>
                <w:p w14:paraId="53BFD19E">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4537D9E1">
                  <w:pPr>
                    <w:jc w:val="center"/>
                    <w:rPr>
                      <w:rFonts w:hint="eastAsia"/>
                      <w:color w:val="auto"/>
                      <w:sz w:val="18"/>
                      <w:szCs w:val="18"/>
                    </w:rPr>
                  </w:pPr>
                  <w:r>
                    <w:rPr>
                      <w:rFonts w:hint="eastAsia"/>
                      <w:color w:val="auto"/>
                      <w:sz w:val="18"/>
                      <w:szCs w:val="18"/>
                    </w:rPr>
                    <w:t>75</w:t>
                  </w:r>
                </w:p>
              </w:tc>
              <w:tc>
                <w:tcPr>
                  <w:tcW w:w="385" w:type="pct"/>
                  <w:noWrap/>
                  <w:vAlign w:val="center"/>
                </w:tcPr>
                <w:p w14:paraId="1EAB048A">
                  <w:pPr>
                    <w:jc w:val="center"/>
                    <w:rPr>
                      <w:rFonts w:hint="eastAsia"/>
                      <w:color w:val="auto"/>
                      <w:sz w:val="18"/>
                      <w:szCs w:val="18"/>
                    </w:rPr>
                  </w:pPr>
                  <w:r>
                    <w:rPr>
                      <w:rFonts w:hint="eastAsia"/>
                      <w:color w:val="auto"/>
                      <w:sz w:val="18"/>
                      <w:szCs w:val="18"/>
                    </w:rPr>
                    <w:t>隔声减振</w:t>
                  </w:r>
                </w:p>
              </w:tc>
              <w:tc>
                <w:tcPr>
                  <w:tcW w:w="392" w:type="pct"/>
                  <w:noWrap/>
                  <w:vAlign w:val="center"/>
                </w:tcPr>
                <w:p w14:paraId="4F122750">
                  <w:pPr>
                    <w:jc w:val="center"/>
                    <w:rPr>
                      <w:rFonts w:hint="eastAsia"/>
                      <w:color w:val="auto"/>
                      <w:sz w:val="18"/>
                      <w:szCs w:val="18"/>
                    </w:rPr>
                  </w:pPr>
                  <w:r>
                    <w:rPr>
                      <w:rFonts w:hint="eastAsia"/>
                      <w:color w:val="auto"/>
                      <w:sz w:val="18"/>
                      <w:szCs w:val="18"/>
                    </w:rPr>
                    <w:t>-79.9</w:t>
                  </w:r>
                </w:p>
              </w:tc>
              <w:tc>
                <w:tcPr>
                  <w:tcW w:w="345" w:type="pct"/>
                  <w:noWrap/>
                  <w:vAlign w:val="center"/>
                </w:tcPr>
                <w:p w14:paraId="7F9D29B8">
                  <w:pPr>
                    <w:jc w:val="center"/>
                    <w:rPr>
                      <w:rFonts w:hint="eastAsia"/>
                      <w:color w:val="auto"/>
                      <w:sz w:val="18"/>
                      <w:szCs w:val="18"/>
                    </w:rPr>
                  </w:pPr>
                  <w:r>
                    <w:rPr>
                      <w:rFonts w:hint="eastAsia"/>
                      <w:color w:val="auto"/>
                      <w:sz w:val="18"/>
                      <w:szCs w:val="18"/>
                    </w:rPr>
                    <w:t>-43.7</w:t>
                  </w:r>
                </w:p>
              </w:tc>
              <w:tc>
                <w:tcPr>
                  <w:tcW w:w="257" w:type="pct"/>
                  <w:noWrap/>
                  <w:vAlign w:val="center"/>
                </w:tcPr>
                <w:p w14:paraId="37884E4D">
                  <w:pPr>
                    <w:jc w:val="center"/>
                    <w:rPr>
                      <w:rFonts w:hint="eastAsia"/>
                      <w:color w:val="auto"/>
                      <w:sz w:val="18"/>
                      <w:szCs w:val="18"/>
                    </w:rPr>
                  </w:pPr>
                  <w:r>
                    <w:rPr>
                      <w:rFonts w:hint="eastAsia"/>
                      <w:color w:val="auto"/>
                      <w:sz w:val="18"/>
                      <w:szCs w:val="18"/>
                    </w:rPr>
                    <w:t>1.2</w:t>
                  </w:r>
                </w:p>
              </w:tc>
              <w:tc>
                <w:tcPr>
                  <w:tcW w:w="352" w:type="pct"/>
                  <w:noWrap/>
                  <w:vAlign w:val="center"/>
                </w:tcPr>
                <w:p w14:paraId="4A119FFF">
                  <w:pPr>
                    <w:jc w:val="center"/>
                    <w:rPr>
                      <w:rFonts w:hint="eastAsia"/>
                      <w:color w:val="auto"/>
                      <w:sz w:val="18"/>
                      <w:szCs w:val="18"/>
                    </w:rPr>
                  </w:pPr>
                  <w:r>
                    <w:rPr>
                      <w:rFonts w:hint="eastAsia"/>
                      <w:color w:val="auto"/>
                      <w:sz w:val="18"/>
                      <w:szCs w:val="18"/>
                    </w:rPr>
                    <w:t>23.9</w:t>
                  </w:r>
                </w:p>
              </w:tc>
              <w:tc>
                <w:tcPr>
                  <w:tcW w:w="365" w:type="pct"/>
                  <w:noWrap/>
                  <w:vAlign w:val="center"/>
                </w:tcPr>
                <w:p w14:paraId="56E816A6">
                  <w:pPr>
                    <w:jc w:val="center"/>
                    <w:rPr>
                      <w:rFonts w:hint="eastAsia"/>
                      <w:color w:val="auto"/>
                      <w:sz w:val="18"/>
                      <w:szCs w:val="18"/>
                    </w:rPr>
                  </w:pPr>
                  <w:r>
                    <w:rPr>
                      <w:rFonts w:hint="eastAsia"/>
                      <w:color w:val="auto"/>
                      <w:sz w:val="18"/>
                      <w:szCs w:val="18"/>
                    </w:rPr>
                    <w:t>59.6</w:t>
                  </w:r>
                </w:p>
              </w:tc>
              <w:tc>
                <w:tcPr>
                  <w:tcW w:w="292" w:type="pct"/>
                  <w:noWrap/>
                  <w:vAlign w:val="center"/>
                </w:tcPr>
                <w:p w14:paraId="55150BD4">
                  <w:pPr>
                    <w:jc w:val="center"/>
                    <w:rPr>
                      <w:rFonts w:hint="eastAsia"/>
                      <w:color w:val="auto"/>
                      <w:sz w:val="18"/>
                      <w:szCs w:val="18"/>
                    </w:rPr>
                  </w:pPr>
                  <w:r>
                    <w:rPr>
                      <w:rFonts w:hint="eastAsia"/>
                      <w:color w:val="auto"/>
                      <w:sz w:val="18"/>
                      <w:szCs w:val="18"/>
                    </w:rPr>
                    <w:t>24h</w:t>
                  </w:r>
                </w:p>
              </w:tc>
              <w:tc>
                <w:tcPr>
                  <w:tcW w:w="314" w:type="pct"/>
                  <w:noWrap/>
                  <w:vAlign w:val="center"/>
                </w:tcPr>
                <w:p w14:paraId="01184FD0">
                  <w:pPr>
                    <w:jc w:val="center"/>
                    <w:rPr>
                      <w:rFonts w:hint="eastAsia"/>
                      <w:color w:val="auto"/>
                      <w:sz w:val="18"/>
                      <w:szCs w:val="18"/>
                    </w:rPr>
                  </w:pPr>
                  <w:r>
                    <w:rPr>
                      <w:rFonts w:hint="eastAsia"/>
                      <w:color w:val="auto"/>
                      <w:sz w:val="18"/>
                      <w:szCs w:val="18"/>
                    </w:rPr>
                    <w:t>15</w:t>
                  </w:r>
                </w:p>
              </w:tc>
              <w:tc>
                <w:tcPr>
                  <w:tcW w:w="301" w:type="pct"/>
                  <w:noWrap/>
                  <w:vAlign w:val="center"/>
                </w:tcPr>
                <w:p w14:paraId="05740111">
                  <w:pPr>
                    <w:jc w:val="center"/>
                    <w:rPr>
                      <w:rFonts w:hint="eastAsia"/>
                      <w:color w:val="auto"/>
                      <w:sz w:val="18"/>
                      <w:szCs w:val="18"/>
                    </w:rPr>
                  </w:pPr>
                  <w:r>
                    <w:rPr>
                      <w:rFonts w:hint="eastAsia"/>
                      <w:color w:val="auto"/>
                      <w:sz w:val="18"/>
                      <w:szCs w:val="18"/>
                    </w:rPr>
                    <w:t>38.6</w:t>
                  </w:r>
                </w:p>
              </w:tc>
              <w:tc>
                <w:tcPr>
                  <w:tcW w:w="304" w:type="pct"/>
                  <w:noWrap/>
                  <w:vAlign w:val="center"/>
                </w:tcPr>
                <w:p w14:paraId="64D7463C">
                  <w:pPr>
                    <w:jc w:val="center"/>
                    <w:rPr>
                      <w:color w:val="auto"/>
                      <w:sz w:val="18"/>
                      <w:szCs w:val="18"/>
                    </w:rPr>
                  </w:pPr>
                  <w:r>
                    <w:rPr>
                      <w:color w:val="auto"/>
                      <w:sz w:val="18"/>
                      <w:szCs w:val="18"/>
                    </w:rPr>
                    <w:t>1m</w:t>
                  </w:r>
                </w:p>
              </w:tc>
            </w:tr>
            <w:tr w14:paraId="7612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4A2253D3">
                  <w:pPr>
                    <w:jc w:val="center"/>
                    <w:rPr>
                      <w:rFonts w:hint="default"/>
                      <w:color w:val="auto"/>
                      <w:sz w:val="18"/>
                      <w:szCs w:val="18"/>
                      <w:lang w:val="en-US" w:eastAsia="zh-CN"/>
                    </w:rPr>
                  </w:pPr>
                  <w:r>
                    <w:rPr>
                      <w:rFonts w:hint="eastAsia"/>
                      <w:color w:val="auto"/>
                      <w:sz w:val="18"/>
                      <w:szCs w:val="18"/>
                      <w:lang w:val="en-US" w:eastAsia="zh-CN"/>
                    </w:rPr>
                    <w:t>9</w:t>
                  </w:r>
                </w:p>
              </w:tc>
              <w:tc>
                <w:tcPr>
                  <w:tcW w:w="349" w:type="pct"/>
                  <w:noWrap/>
                  <w:vAlign w:val="center"/>
                </w:tcPr>
                <w:p w14:paraId="350CE5C2">
                  <w:pPr>
                    <w:jc w:val="center"/>
                    <w:rPr>
                      <w:rFonts w:hint="eastAsia"/>
                      <w:color w:val="auto"/>
                      <w:sz w:val="18"/>
                      <w:szCs w:val="18"/>
                    </w:rPr>
                  </w:pPr>
                  <w:r>
                    <w:rPr>
                      <w:rFonts w:hint="eastAsia"/>
                      <w:color w:val="auto"/>
                      <w:sz w:val="18"/>
                      <w:szCs w:val="18"/>
                    </w:rPr>
                    <w:t>生产车间</w:t>
                  </w:r>
                </w:p>
              </w:tc>
              <w:tc>
                <w:tcPr>
                  <w:tcW w:w="442" w:type="pct"/>
                  <w:noWrap/>
                  <w:vAlign w:val="center"/>
                </w:tcPr>
                <w:p w14:paraId="653E946A">
                  <w:pPr>
                    <w:jc w:val="center"/>
                    <w:rPr>
                      <w:rFonts w:hint="eastAsia"/>
                      <w:color w:val="auto"/>
                      <w:sz w:val="18"/>
                      <w:szCs w:val="18"/>
                      <w:lang w:val="en-US" w:eastAsia="zh-CN"/>
                    </w:rPr>
                  </w:pPr>
                  <w:r>
                    <w:rPr>
                      <w:rFonts w:hint="eastAsia"/>
                      <w:color w:val="auto"/>
                      <w:sz w:val="18"/>
                      <w:szCs w:val="18"/>
                    </w:rPr>
                    <w:t>51型挤塑机2</w:t>
                  </w:r>
                </w:p>
              </w:tc>
              <w:tc>
                <w:tcPr>
                  <w:tcW w:w="243" w:type="pct"/>
                  <w:noWrap/>
                  <w:vAlign w:val="center"/>
                </w:tcPr>
                <w:p w14:paraId="24C95335">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7EA0CD4C">
                  <w:pPr>
                    <w:jc w:val="center"/>
                    <w:rPr>
                      <w:rFonts w:hint="eastAsia"/>
                      <w:color w:val="auto"/>
                      <w:sz w:val="18"/>
                      <w:szCs w:val="18"/>
                    </w:rPr>
                  </w:pPr>
                  <w:r>
                    <w:rPr>
                      <w:rFonts w:hint="eastAsia"/>
                      <w:color w:val="auto"/>
                      <w:sz w:val="18"/>
                      <w:szCs w:val="18"/>
                    </w:rPr>
                    <w:t>75</w:t>
                  </w:r>
                </w:p>
              </w:tc>
              <w:tc>
                <w:tcPr>
                  <w:tcW w:w="385" w:type="pct"/>
                  <w:noWrap/>
                  <w:vAlign w:val="center"/>
                </w:tcPr>
                <w:p w14:paraId="6A25600C">
                  <w:pPr>
                    <w:jc w:val="center"/>
                    <w:rPr>
                      <w:rFonts w:hint="eastAsia"/>
                      <w:color w:val="auto"/>
                      <w:sz w:val="18"/>
                      <w:szCs w:val="18"/>
                    </w:rPr>
                  </w:pPr>
                  <w:r>
                    <w:rPr>
                      <w:rFonts w:hint="eastAsia"/>
                      <w:color w:val="auto"/>
                      <w:sz w:val="18"/>
                      <w:szCs w:val="18"/>
                    </w:rPr>
                    <w:t>隔声减振</w:t>
                  </w:r>
                </w:p>
              </w:tc>
              <w:tc>
                <w:tcPr>
                  <w:tcW w:w="392" w:type="pct"/>
                  <w:noWrap/>
                  <w:vAlign w:val="center"/>
                </w:tcPr>
                <w:p w14:paraId="61DDEF50">
                  <w:pPr>
                    <w:jc w:val="center"/>
                    <w:rPr>
                      <w:rFonts w:hint="eastAsia"/>
                      <w:color w:val="auto"/>
                      <w:sz w:val="18"/>
                      <w:szCs w:val="18"/>
                    </w:rPr>
                  </w:pPr>
                  <w:r>
                    <w:rPr>
                      <w:rFonts w:hint="eastAsia"/>
                      <w:color w:val="auto"/>
                      <w:sz w:val="18"/>
                      <w:szCs w:val="18"/>
                    </w:rPr>
                    <w:t>-73.7</w:t>
                  </w:r>
                </w:p>
              </w:tc>
              <w:tc>
                <w:tcPr>
                  <w:tcW w:w="345" w:type="pct"/>
                  <w:noWrap/>
                  <w:vAlign w:val="center"/>
                </w:tcPr>
                <w:p w14:paraId="3BD7CFF9">
                  <w:pPr>
                    <w:jc w:val="center"/>
                    <w:rPr>
                      <w:rFonts w:hint="eastAsia"/>
                      <w:color w:val="auto"/>
                      <w:sz w:val="18"/>
                      <w:szCs w:val="18"/>
                    </w:rPr>
                  </w:pPr>
                  <w:r>
                    <w:rPr>
                      <w:rFonts w:hint="eastAsia"/>
                      <w:color w:val="auto"/>
                      <w:sz w:val="18"/>
                      <w:szCs w:val="18"/>
                    </w:rPr>
                    <w:t>-43.9</w:t>
                  </w:r>
                </w:p>
              </w:tc>
              <w:tc>
                <w:tcPr>
                  <w:tcW w:w="257" w:type="pct"/>
                  <w:noWrap/>
                  <w:vAlign w:val="center"/>
                </w:tcPr>
                <w:p w14:paraId="17A9A6DD">
                  <w:pPr>
                    <w:jc w:val="center"/>
                    <w:rPr>
                      <w:rFonts w:hint="eastAsia"/>
                      <w:color w:val="auto"/>
                      <w:sz w:val="18"/>
                      <w:szCs w:val="18"/>
                    </w:rPr>
                  </w:pPr>
                  <w:r>
                    <w:rPr>
                      <w:rFonts w:hint="eastAsia"/>
                      <w:color w:val="auto"/>
                      <w:sz w:val="18"/>
                      <w:szCs w:val="18"/>
                    </w:rPr>
                    <w:t>1.2</w:t>
                  </w:r>
                </w:p>
              </w:tc>
              <w:tc>
                <w:tcPr>
                  <w:tcW w:w="352" w:type="pct"/>
                  <w:noWrap/>
                  <w:vAlign w:val="center"/>
                </w:tcPr>
                <w:p w14:paraId="243B2782">
                  <w:pPr>
                    <w:jc w:val="center"/>
                    <w:rPr>
                      <w:rFonts w:hint="eastAsia"/>
                      <w:color w:val="auto"/>
                      <w:sz w:val="18"/>
                      <w:szCs w:val="18"/>
                    </w:rPr>
                  </w:pPr>
                  <w:r>
                    <w:rPr>
                      <w:rFonts w:hint="eastAsia"/>
                      <w:color w:val="auto"/>
                      <w:sz w:val="18"/>
                      <w:szCs w:val="18"/>
                    </w:rPr>
                    <w:t>23.7</w:t>
                  </w:r>
                </w:p>
              </w:tc>
              <w:tc>
                <w:tcPr>
                  <w:tcW w:w="365" w:type="pct"/>
                  <w:noWrap/>
                  <w:vAlign w:val="center"/>
                </w:tcPr>
                <w:p w14:paraId="0E7EBF2C">
                  <w:pPr>
                    <w:jc w:val="center"/>
                    <w:rPr>
                      <w:rFonts w:hint="eastAsia"/>
                      <w:color w:val="auto"/>
                      <w:sz w:val="18"/>
                      <w:szCs w:val="18"/>
                    </w:rPr>
                  </w:pPr>
                  <w:r>
                    <w:rPr>
                      <w:rFonts w:hint="eastAsia"/>
                      <w:color w:val="auto"/>
                      <w:sz w:val="18"/>
                      <w:szCs w:val="18"/>
                    </w:rPr>
                    <w:t>59.6</w:t>
                  </w:r>
                </w:p>
              </w:tc>
              <w:tc>
                <w:tcPr>
                  <w:tcW w:w="292" w:type="pct"/>
                  <w:noWrap/>
                  <w:vAlign w:val="center"/>
                </w:tcPr>
                <w:p w14:paraId="78CCCFA9">
                  <w:pPr>
                    <w:jc w:val="center"/>
                    <w:rPr>
                      <w:rFonts w:hint="eastAsia"/>
                      <w:color w:val="auto"/>
                      <w:sz w:val="18"/>
                      <w:szCs w:val="18"/>
                    </w:rPr>
                  </w:pPr>
                  <w:r>
                    <w:rPr>
                      <w:rFonts w:hint="eastAsia"/>
                      <w:color w:val="auto"/>
                      <w:sz w:val="18"/>
                      <w:szCs w:val="18"/>
                    </w:rPr>
                    <w:t>24h</w:t>
                  </w:r>
                </w:p>
              </w:tc>
              <w:tc>
                <w:tcPr>
                  <w:tcW w:w="314" w:type="pct"/>
                  <w:noWrap/>
                  <w:vAlign w:val="center"/>
                </w:tcPr>
                <w:p w14:paraId="3168330A">
                  <w:pPr>
                    <w:jc w:val="center"/>
                    <w:rPr>
                      <w:rFonts w:hint="eastAsia"/>
                      <w:color w:val="auto"/>
                      <w:sz w:val="18"/>
                      <w:szCs w:val="18"/>
                    </w:rPr>
                  </w:pPr>
                  <w:r>
                    <w:rPr>
                      <w:rFonts w:hint="eastAsia"/>
                      <w:color w:val="auto"/>
                      <w:sz w:val="18"/>
                      <w:szCs w:val="18"/>
                    </w:rPr>
                    <w:t>15</w:t>
                  </w:r>
                </w:p>
              </w:tc>
              <w:tc>
                <w:tcPr>
                  <w:tcW w:w="301" w:type="pct"/>
                  <w:noWrap/>
                  <w:vAlign w:val="center"/>
                </w:tcPr>
                <w:p w14:paraId="0E23128A">
                  <w:pPr>
                    <w:jc w:val="center"/>
                    <w:rPr>
                      <w:rFonts w:hint="eastAsia"/>
                      <w:color w:val="auto"/>
                      <w:sz w:val="18"/>
                      <w:szCs w:val="18"/>
                    </w:rPr>
                  </w:pPr>
                  <w:r>
                    <w:rPr>
                      <w:rFonts w:hint="eastAsia"/>
                      <w:color w:val="auto"/>
                      <w:sz w:val="18"/>
                      <w:szCs w:val="18"/>
                    </w:rPr>
                    <w:t>38.6</w:t>
                  </w:r>
                </w:p>
              </w:tc>
              <w:tc>
                <w:tcPr>
                  <w:tcW w:w="304" w:type="pct"/>
                  <w:noWrap/>
                  <w:vAlign w:val="center"/>
                </w:tcPr>
                <w:p w14:paraId="5E68A906">
                  <w:pPr>
                    <w:jc w:val="center"/>
                    <w:rPr>
                      <w:color w:val="auto"/>
                      <w:sz w:val="18"/>
                      <w:szCs w:val="18"/>
                    </w:rPr>
                  </w:pPr>
                  <w:r>
                    <w:rPr>
                      <w:color w:val="auto"/>
                      <w:sz w:val="18"/>
                      <w:szCs w:val="18"/>
                    </w:rPr>
                    <w:t>1m</w:t>
                  </w:r>
                </w:p>
              </w:tc>
            </w:tr>
            <w:tr w14:paraId="5C9C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noWrap/>
                  <w:vAlign w:val="center"/>
                </w:tcPr>
                <w:p w14:paraId="3F10C054">
                  <w:pPr>
                    <w:jc w:val="center"/>
                    <w:rPr>
                      <w:rFonts w:hint="default"/>
                      <w:color w:val="auto"/>
                      <w:sz w:val="18"/>
                      <w:szCs w:val="18"/>
                      <w:lang w:val="en-US" w:eastAsia="zh-CN"/>
                    </w:rPr>
                  </w:pPr>
                  <w:r>
                    <w:rPr>
                      <w:rFonts w:hint="eastAsia"/>
                      <w:color w:val="auto"/>
                      <w:sz w:val="18"/>
                      <w:szCs w:val="18"/>
                      <w:lang w:val="en-US" w:eastAsia="zh-CN"/>
                    </w:rPr>
                    <w:t>10</w:t>
                  </w:r>
                </w:p>
              </w:tc>
              <w:tc>
                <w:tcPr>
                  <w:tcW w:w="349" w:type="pct"/>
                  <w:noWrap/>
                  <w:vAlign w:val="center"/>
                </w:tcPr>
                <w:p w14:paraId="608653E3">
                  <w:pPr>
                    <w:jc w:val="center"/>
                    <w:rPr>
                      <w:rFonts w:hint="eastAsia"/>
                      <w:color w:val="auto"/>
                      <w:sz w:val="18"/>
                      <w:szCs w:val="18"/>
                    </w:rPr>
                  </w:pPr>
                  <w:r>
                    <w:rPr>
                      <w:rFonts w:hint="eastAsia"/>
                      <w:color w:val="auto"/>
                      <w:sz w:val="18"/>
                      <w:szCs w:val="18"/>
                    </w:rPr>
                    <w:t>生产车间</w:t>
                  </w:r>
                </w:p>
              </w:tc>
              <w:tc>
                <w:tcPr>
                  <w:tcW w:w="442" w:type="pct"/>
                  <w:noWrap/>
                  <w:vAlign w:val="center"/>
                </w:tcPr>
                <w:p w14:paraId="31744536">
                  <w:pPr>
                    <w:jc w:val="center"/>
                    <w:rPr>
                      <w:rFonts w:hint="eastAsia"/>
                      <w:color w:val="auto"/>
                      <w:sz w:val="18"/>
                      <w:szCs w:val="18"/>
                      <w:lang w:val="en-US" w:eastAsia="zh-CN"/>
                    </w:rPr>
                  </w:pPr>
                  <w:r>
                    <w:rPr>
                      <w:rFonts w:hint="eastAsia"/>
                      <w:color w:val="auto"/>
                      <w:sz w:val="18"/>
                      <w:szCs w:val="18"/>
                    </w:rPr>
                    <w:t>51型挤塑机3</w:t>
                  </w:r>
                </w:p>
              </w:tc>
              <w:tc>
                <w:tcPr>
                  <w:tcW w:w="243" w:type="pct"/>
                  <w:noWrap/>
                  <w:vAlign w:val="center"/>
                </w:tcPr>
                <w:p w14:paraId="516FC021">
                  <w:pPr>
                    <w:jc w:val="center"/>
                    <w:rPr>
                      <w:rFonts w:hint="eastAsia"/>
                      <w:color w:val="auto"/>
                      <w:sz w:val="18"/>
                      <w:szCs w:val="18"/>
                      <w:lang w:val="en-US" w:eastAsia="zh-CN"/>
                    </w:rPr>
                  </w:pPr>
                  <w:r>
                    <w:rPr>
                      <w:rFonts w:hint="eastAsia"/>
                      <w:color w:val="auto"/>
                      <w:sz w:val="18"/>
                      <w:szCs w:val="18"/>
                      <w:lang w:val="en-US" w:eastAsia="zh-CN"/>
                    </w:rPr>
                    <w:t>/</w:t>
                  </w:r>
                </w:p>
              </w:tc>
              <w:tc>
                <w:tcPr>
                  <w:tcW w:w="426" w:type="pct"/>
                  <w:noWrap/>
                  <w:vAlign w:val="center"/>
                </w:tcPr>
                <w:p w14:paraId="766EB279">
                  <w:pPr>
                    <w:jc w:val="center"/>
                    <w:rPr>
                      <w:rFonts w:hint="eastAsia"/>
                      <w:color w:val="auto"/>
                      <w:sz w:val="18"/>
                      <w:szCs w:val="18"/>
                    </w:rPr>
                  </w:pPr>
                  <w:r>
                    <w:rPr>
                      <w:rFonts w:hint="eastAsia"/>
                      <w:color w:val="auto"/>
                      <w:sz w:val="18"/>
                      <w:szCs w:val="18"/>
                    </w:rPr>
                    <w:t>75</w:t>
                  </w:r>
                </w:p>
              </w:tc>
              <w:tc>
                <w:tcPr>
                  <w:tcW w:w="385" w:type="pct"/>
                  <w:noWrap/>
                  <w:vAlign w:val="center"/>
                </w:tcPr>
                <w:p w14:paraId="5E546A84">
                  <w:pPr>
                    <w:jc w:val="center"/>
                    <w:rPr>
                      <w:rFonts w:hint="eastAsia"/>
                      <w:color w:val="auto"/>
                      <w:sz w:val="18"/>
                      <w:szCs w:val="18"/>
                    </w:rPr>
                  </w:pPr>
                  <w:r>
                    <w:rPr>
                      <w:rFonts w:hint="eastAsia"/>
                      <w:color w:val="auto"/>
                      <w:sz w:val="18"/>
                      <w:szCs w:val="18"/>
                    </w:rPr>
                    <w:t>隔声减振</w:t>
                  </w:r>
                </w:p>
              </w:tc>
              <w:tc>
                <w:tcPr>
                  <w:tcW w:w="392" w:type="pct"/>
                  <w:noWrap/>
                  <w:vAlign w:val="center"/>
                </w:tcPr>
                <w:p w14:paraId="38769DBB">
                  <w:pPr>
                    <w:jc w:val="center"/>
                    <w:rPr>
                      <w:rFonts w:hint="eastAsia"/>
                      <w:color w:val="auto"/>
                      <w:sz w:val="18"/>
                      <w:szCs w:val="18"/>
                    </w:rPr>
                  </w:pPr>
                  <w:r>
                    <w:rPr>
                      <w:rFonts w:hint="eastAsia"/>
                      <w:color w:val="auto"/>
                      <w:sz w:val="18"/>
                      <w:szCs w:val="18"/>
                    </w:rPr>
                    <w:t>-67.8</w:t>
                  </w:r>
                </w:p>
              </w:tc>
              <w:tc>
                <w:tcPr>
                  <w:tcW w:w="345" w:type="pct"/>
                  <w:noWrap/>
                  <w:vAlign w:val="center"/>
                </w:tcPr>
                <w:p w14:paraId="7A34E89B">
                  <w:pPr>
                    <w:jc w:val="center"/>
                    <w:rPr>
                      <w:rFonts w:hint="eastAsia"/>
                      <w:color w:val="auto"/>
                      <w:sz w:val="18"/>
                      <w:szCs w:val="18"/>
                    </w:rPr>
                  </w:pPr>
                  <w:r>
                    <w:rPr>
                      <w:rFonts w:hint="eastAsia"/>
                      <w:color w:val="auto"/>
                      <w:sz w:val="18"/>
                      <w:szCs w:val="18"/>
                    </w:rPr>
                    <w:t>-43.9</w:t>
                  </w:r>
                </w:p>
              </w:tc>
              <w:tc>
                <w:tcPr>
                  <w:tcW w:w="257" w:type="pct"/>
                  <w:noWrap/>
                  <w:vAlign w:val="center"/>
                </w:tcPr>
                <w:p w14:paraId="2D8BDDAA">
                  <w:pPr>
                    <w:jc w:val="center"/>
                    <w:rPr>
                      <w:rFonts w:hint="eastAsia"/>
                      <w:color w:val="auto"/>
                      <w:sz w:val="18"/>
                      <w:szCs w:val="18"/>
                    </w:rPr>
                  </w:pPr>
                  <w:r>
                    <w:rPr>
                      <w:rFonts w:hint="eastAsia"/>
                      <w:color w:val="auto"/>
                      <w:sz w:val="18"/>
                      <w:szCs w:val="18"/>
                    </w:rPr>
                    <w:t>1.2</w:t>
                  </w:r>
                </w:p>
              </w:tc>
              <w:tc>
                <w:tcPr>
                  <w:tcW w:w="352" w:type="pct"/>
                  <w:noWrap/>
                  <w:vAlign w:val="center"/>
                </w:tcPr>
                <w:p w14:paraId="0ADF95BD">
                  <w:pPr>
                    <w:jc w:val="center"/>
                    <w:rPr>
                      <w:rFonts w:hint="eastAsia"/>
                      <w:color w:val="auto"/>
                      <w:sz w:val="18"/>
                      <w:szCs w:val="18"/>
                    </w:rPr>
                  </w:pPr>
                  <w:r>
                    <w:rPr>
                      <w:rFonts w:hint="eastAsia"/>
                      <w:color w:val="auto"/>
                      <w:sz w:val="18"/>
                      <w:szCs w:val="18"/>
                    </w:rPr>
                    <w:t>23.7</w:t>
                  </w:r>
                </w:p>
              </w:tc>
              <w:tc>
                <w:tcPr>
                  <w:tcW w:w="365" w:type="pct"/>
                  <w:noWrap/>
                  <w:vAlign w:val="center"/>
                </w:tcPr>
                <w:p w14:paraId="46AA9FE9">
                  <w:pPr>
                    <w:jc w:val="center"/>
                    <w:rPr>
                      <w:rFonts w:hint="eastAsia"/>
                      <w:color w:val="auto"/>
                      <w:sz w:val="18"/>
                      <w:szCs w:val="18"/>
                    </w:rPr>
                  </w:pPr>
                  <w:r>
                    <w:rPr>
                      <w:rFonts w:hint="eastAsia"/>
                      <w:color w:val="auto"/>
                      <w:sz w:val="18"/>
                      <w:szCs w:val="18"/>
                    </w:rPr>
                    <w:t>59.6</w:t>
                  </w:r>
                </w:p>
              </w:tc>
              <w:tc>
                <w:tcPr>
                  <w:tcW w:w="292" w:type="pct"/>
                  <w:noWrap/>
                  <w:vAlign w:val="center"/>
                </w:tcPr>
                <w:p w14:paraId="253C7906">
                  <w:pPr>
                    <w:jc w:val="center"/>
                    <w:rPr>
                      <w:rFonts w:hint="eastAsia"/>
                      <w:color w:val="auto"/>
                      <w:sz w:val="18"/>
                      <w:szCs w:val="18"/>
                    </w:rPr>
                  </w:pPr>
                  <w:r>
                    <w:rPr>
                      <w:rFonts w:hint="eastAsia"/>
                      <w:color w:val="auto"/>
                      <w:sz w:val="18"/>
                      <w:szCs w:val="18"/>
                    </w:rPr>
                    <w:t>24h</w:t>
                  </w:r>
                </w:p>
              </w:tc>
              <w:tc>
                <w:tcPr>
                  <w:tcW w:w="314" w:type="pct"/>
                  <w:noWrap/>
                  <w:vAlign w:val="center"/>
                </w:tcPr>
                <w:p w14:paraId="42FA7318">
                  <w:pPr>
                    <w:jc w:val="center"/>
                    <w:rPr>
                      <w:rFonts w:hint="eastAsia"/>
                      <w:color w:val="auto"/>
                      <w:sz w:val="18"/>
                      <w:szCs w:val="18"/>
                    </w:rPr>
                  </w:pPr>
                  <w:r>
                    <w:rPr>
                      <w:rFonts w:hint="eastAsia"/>
                      <w:color w:val="auto"/>
                      <w:sz w:val="18"/>
                      <w:szCs w:val="18"/>
                    </w:rPr>
                    <w:t>15</w:t>
                  </w:r>
                </w:p>
              </w:tc>
              <w:tc>
                <w:tcPr>
                  <w:tcW w:w="301" w:type="pct"/>
                  <w:noWrap/>
                  <w:vAlign w:val="center"/>
                </w:tcPr>
                <w:p w14:paraId="7EC5408B">
                  <w:pPr>
                    <w:jc w:val="center"/>
                    <w:rPr>
                      <w:rFonts w:hint="eastAsia"/>
                      <w:color w:val="auto"/>
                      <w:sz w:val="18"/>
                      <w:szCs w:val="18"/>
                    </w:rPr>
                  </w:pPr>
                  <w:r>
                    <w:rPr>
                      <w:rFonts w:hint="eastAsia"/>
                      <w:color w:val="auto"/>
                      <w:sz w:val="18"/>
                      <w:szCs w:val="18"/>
                    </w:rPr>
                    <w:t>38.6</w:t>
                  </w:r>
                </w:p>
              </w:tc>
              <w:tc>
                <w:tcPr>
                  <w:tcW w:w="304" w:type="pct"/>
                  <w:noWrap/>
                  <w:vAlign w:val="center"/>
                </w:tcPr>
                <w:p w14:paraId="4DFA8272">
                  <w:pPr>
                    <w:jc w:val="center"/>
                    <w:rPr>
                      <w:color w:val="auto"/>
                      <w:sz w:val="18"/>
                      <w:szCs w:val="18"/>
                    </w:rPr>
                  </w:pPr>
                  <w:r>
                    <w:rPr>
                      <w:color w:val="auto"/>
                      <w:sz w:val="18"/>
                      <w:szCs w:val="18"/>
                    </w:rPr>
                    <w:t>1m</w:t>
                  </w:r>
                </w:p>
              </w:tc>
            </w:tr>
            <w:tr w14:paraId="444D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5"/>
                  <w:noWrap/>
                  <w:vAlign w:val="center"/>
                </w:tcPr>
                <w:p w14:paraId="1192B59A">
                  <w:pPr>
                    <w:jc w:val="left"/>
                    <w:rPr>
                      <w:color w:val="auto"/>
                      <w:sz w:val="18"/>
                      <w:szCs w:val="18"/>
                    </w:rPr>
                  </w:pPr>
                  <w:r>
                    <w:rPr>
                      <w:rFonts w:hint="eastAsia"/>
                      <w:b/>
                      <w:bCs/>
                      <w:color w:val="auto"/>
                      <w:szCs w:val="21"/>
                    </w:rPr>
                    <w:t>注：</w:t>
                  </w:r>
                  <w:r>
                    <w:rPr>
                      <w:b/>
                      <w:bCs/>
                      <w:color w:val="auto"/>
                      <w:szCs w:val="21"/>
                    </w:rPr>
                    <w:t>表中坐标以厂界中心（</w:t>
                  </w:r>
                  <w:r>
                    <w:rPr>
                      <w:rFonts w:hint="eastAsia"/>
                      <w:b/>
                      <w:bCs/>
                      <w:color w:val="auto"/>
                      <w:szCs w:val="21"/>
                    </w:rPr>
                    <w:t>120.410827,30.768360</w:t>
                  </w:r>
                  <w:r>
                    <w:rPr>
                      <w:b/>
                      <w:bCs/>
                      <w:color w:val="auto"/>
                      <w:szCs w:val="21"/>
                    </w:rPr>
                    <w:t>）为坐标原点，正东向为X轴正方向，正北向为Y轴正方向</w:t>
                  </w:r>
                  <w:r>
                    <w:rPr>
                      <w:rFonts w:hint="eastAsia"/>
                      <w:b/>
                      <w:bCs/>
                      <w:color w:val="auto"/>
                      <w:szCs w:val="21"/>
                    </w:rPr>
                    <w:t>。</w:t>
                  </w:r>
                </w:p>
              </w:tc>
            </w:tr>
          </w:tbl>
          <w:p w14:paraId="70A2046F">
            <w:pPr>
              <w:spacing w:line="360" w:lineRule="auto"/>
              <w:ind w:firstLine="480" w:firstLineChars="200"/>
              <w:rPr>
                <w:color w:val="auto"/>
                <w:sz w:val="24"/>
              </w:rPr>
            </w:pPr>
            <w:r>
              <w:rPr>
                <w:color w:val="auto"/>
                <w:sz w:val="24"/>
              </w:rPr>
              <w:t>2、降噪措施及排放达标可行性分析</w:t>
            </w:r>
          </w:p>
          <w:p w14:paraId="12910AD7">
            <w:pPr>
              <w:adjustRightInd w:val="0"/>
              <w:spacing w:line="360" w:lineRule="auto"/>
              <w:ind w:firstLine="480" w:firstLineChars="200"/>
              <w:rPr>
                <w:color w:val="auto"/>
                <w:sz w:val="24"/>
              </w:rPr>
            </w:pPr>
            <w:r>
              <w:rPr>
                <w:color w:val="auto"/>
                <w:sz w:val="24"/>
              </w:rPr>
              <w:t>①降噪措施</w:t>
            </w:r>
          </w:p>
          <w:p w14:paraId="61599EF6">
            <w:pPr>
              <w:adjustRightInd w:val="0"/>
              <w:spacing w:line="360" w:lineRule="auto"/>
              <w:ind w:firstLine="480" w:firstLineChars="200"/>
              <w:rPr>
                <w:color w:val="auto"/>
                <w:sz w:val="24"/>
              </w:rPr>
            </w:pPr>
            <w:r>
              <w:rPr>
                <w:color w:val="auto"/>
                <w:sz w:val="24"/>
              </w:rPr>
              <w:t>采用建筑隔声结构、厂房内加装隔声、吸声效果好的建筑材料，安装隔音板等措施降低噪音污染，根据吸声材料的吸声系数，建议选择超细玻璃棉、矿渣棉、岩棉板等性能良好的隔声、吸声材料，在建筑中采用薄板共振吸声结构，使其具有低频的吸声特性。</w:t>
            </w:r>
          </w:p>
          <w:p w14:paraId="463440CC">
            <w:pPr>
              <w:adjustRightInd w:val="0"/>
              <w:spacing w:line="360" w:lineRule="auto"/>
              <w:ind w:firstLine="480" w:firstLineChars="200"/>
              <w:rPr>
                <w:color w:val="auto"/>
                <w:sz w:val="24"/>
              </w:rPr>
            </w:pPr>
            <w:r>
              <w:rPr>
                <w:color w:val="auto"/>
                <w:sz w:val="24"/>
              </w:rPr>
              <w:t>在设备安装过程中，提高噪声设备的安装精确度，做好平衡调试，安装时采用减震、隔振措施，在设备和基础之间加装隔振元件（如减震器、橡胶隔振垫等）；对设备基础安装减振垫减少噪声的传递。</w:t>
            </w:r>
          </w:p>
          <w:p w14:paraId="5DA6AE7F">
            <w:pPr>
              <w:spacing w:line="360" w:lineRule="auto"/>
              <w:ind w:firstLine="480" w:firstLineChars="200"/>
              <w:rPr>
                <w:color w:val="auto"/>
                <w:sz w:val="24"/>
              </w:rPr>
            </w:pPr>
            <w:r>
              <w:rPr>
                <w:color w:val="auto"/>
                <w:sz w:val="24"/>
              </w:rPr>
              <w:t>②达标可行性分析</w:t>
            </w:r>
          </w:p>
          <w:p w14:paraId="5E81168D">
            <w:pPr>
              <w:spacing w:line="360" w:lineRule="auto"/>
              <w:ind w:firstLine="480" w:firstLineChars="200"/>
              <w:rPr>
                <w:color w:val="auto"/>
                <w:sz w:val="24"/>
              </w:rPr>
            </w:pPr>
            <w:r>
              <w:rPr>
                <w:color w:val="auto"/>
                <w:sz w:val="24"/>
              </w:rPr>
              <w:t>为分析本项目噪声排放达标可行性，本评价采</w:t>
            </w:r>
            <w:r>
              <w:rPr>
                <w:color w:val="auto"/>
                <w:spacing w:val="-2"/>
                <w:sz w:val="24"/>
              </w:rPr>
              <w:t>用</w:t>
            </w:r>
            <w:r>
              <w:rPr>
                <w:color w:val="auto"/>
                <w:sz w:val="24"/>
              </w:rPr>
              <w:t>《</w:t>
            </w:r>
            <w:r>
              <w:rPr>
                <w:color w:val="auto"/>
                <w:spacing w:val="-2"/>
                <w:sz w:val="24"/>
              </w:rPr>
              <w:t>环</w:t>
            </w:r>
            <w:r>
              <w:rPr>
                <w:color w:val="auto"/>
                <w:sz w:val="24"/>
              </w:rPr>
              <w:t>境</w:t>
            </w:r>
            <w:r>
              <w:rPr>
                <w:color w:val="auto"/>
                <w:spacing w:val="-2"/>
                <w:sz w:val="24"/>
              </w:rPr>
              <w:t>影</w:t>
            </w:r>
            <w:r>
              <w:rPr>
                <w:color w:val="auto"/>
                <w:sz w:val="24"/>
              </w:rPr>
              <w:t>响</w:t>
            </w:r>
            <w:r>
              <w:rPr>
                <w:color w:val="auto"/>
                <w:spacing w:val="-2"/>
                <w:sz w:val="24"/>
              </w:rPr>
              <w:t>评</w:t>
            </w:r>
            <w:r>
              <w:rPr>
                <w:color w:val="auto"/>
                <w:sz w:val="24"/>
              </w:rPr>
              <w:t>价技</w:t>
            </w:r>
            <w:r>
              <w:rPr>
                <w:color w:val="auto"/>
                <w:spacing w:val="-2"/>
                <w:sz w:val="24"/>
              </w:rPr>
              <w:t>术</w:t>
            </w:r>
            <w:r>
              <w:rPr>
                <w:color w:val="auto"/>
                <w:sz w:val="24"/>
              </w:rPr>
              <w:t>导则</w:t>
            </w:r>
            <w:r>
              <w:rPr>
                <w:color w:val="auto"/>
                <w:spacing w:val="-2"/>
                <w:sz w:val="24"/>
              </w:rPr>
              <w:t>声</w:t>
            </w:r>
            <w:r>
              <w:rPr>
                <w:color w:val="auto"/>
                <w:sz w:val="24"/>
              </w:rPr>
              <w:t>环</w:t>
            </w:r>
            <w:r>
              <w:rPr>
                <w:color w:val="auto"/>
                <w:spacing w:val="-2"/>
                <w:sz w:val="24"/>
              </w:rPr>
              <w:t>境</w:t>
            </w:r>
            <w:r>
              <w:rPr>
                <w:color w:val="auto"/>
                <w:sz w:val="24"/>
              </w:rPr>
              <w:t>》</w:t>
            </w:r>
            <w:r>
              <w:rPr>
                <w:color w:val="auto"/>
                <w:spacing w:val="-2"/>
                <w:sz w:val="24"/>
              </w:rPr>
              <w:t>（</w:t>
            </w:r>
            <w:r>
              <w:rPr>
                <w:color w:val="auto"/>
                <w:spacing w:val="1"/>
                <w:sz w:val="24"/>
              </w:rPr>
              <w:t>H</w:t>
            </w:r>
            <w:r>
              <w:rPr>
                <w:color w:val="auto"/>
                <w:sz w:val="24"/>
              </w:rPr>
              <w:t>J2.4</w:t>
            </w:r>
            <w:r>
              <w:rPr>
                <w:color w:val="auto"/>
                <w:spacing w:val="-1"/>
                <w:sz w:val="24"/>
              </w:rPr>
              <w:t>-</w:t>
            </w:r>
            <w:r>
              <w:rPr>
                <w:color w:val="auto"/>
                <w:sz w:val="24"/>
              </w:rPr>
              <w:t>2021</w:t>
            </w:r>
            <w:r>
              <w:rPr>
                <w:color w:val="auto"/>
                <w:spacing w:val="-2"/>
                <w:sz w:val="24"/>
              </w:rPr>
              <w:t>）</w:t>
            </w:r>
            <w:r>
              <w:rPr>
                <w:color w:val="auto"/>
                <w:sz w:val="24"/>
              </w:rPr>
              <w:t>中</w:t>
            </w:r>
            <w:r>
              <w:rPr>
                <w:color w:val="auto"/>
                <w:spacing w:val="-2"/>
                <w:sz w:val="24"/>
              </w:rPr>
              <w:t>工</w:t>
            </w:r>
            <w:r>
              <w:rPr>
                <w:color w:val="auto"/>
                <w:sz w:val="24"/>
              </w:rPr>
              <w:t>业</w:t>
            </w:r>
            <w:r>
              <w:rPr>
                <w:color w:val="auto"/>
                <w:spacing w:val="-2"/>
                <w:sz w:val="24"/>
              </w:rPr>
              <w:t>噪</w:t>
            </w:r>
            <w:r>
              <w:rPr>
                <w:color w:val="auto"/>
                <w:sz w:val="24"/>
              </w:rPr>
              <w:t>声</w:t>
            </w:r>
            <w:r>
              <w:rPr>
                <w:color w:val="auto"/>
                <w:spacing w:val="-2"/>
                <w:sz w:val="24"/>
              </w:rPr>
              <w:t>预</w:t>
            </w:r>
            <w:r>
              <w:rPr>
                <w:color w:val="auto"/>
                <w:sz w:val="24"/>
              </w:rPr>
              <w:t>测模式进行</w:t>
            </w:r>
            <w:r>
              <w:rPr>
                <w:color w:val="auto"/>
                <w:spacing w:val="-2"/>
                <w:sz w:val="24"/>
              </w:rPr>
              <w:t>预</w:t>
            </w:r>
            <w:r>
              <w:rPr>
                <w:color w:val="auto"/>
                <w:sz w:val="24"/>
              </w:rPr>
              <w:t>测。</w:t>
            </w:r>
          </w:p>
          <w:p w14:paraId="194B05F4">
            <w:pPr>
              <w:numPr>
                <w:ilvl w:val="0"/>
                <w:numId w:val="27"/>
              </w:numPr>
              <w:adjustRightInd w:val="0"/>
              <w:snapToGrid w:val="0"/>
              <w:spacing w:before="48" w:beforeLines="20" w:after="48" w:afterLines="20" w:line="0" w:lineRule="atLeast"/>
              <w:jc w:val="center"/>
              <w:rPr>
                <w:b/>
                <w:bCs/>
                <w:color w:val="auto"/>
                <w:sz w:val="24"/>
              </w:rPr>
            </w:pPr>
            <w:r>
              <w:rPr>
                <w:b/>
                <w:bCs/>
                <w:color w:val="auto"/>
                <w:sz w:val="24"/>
              </w:rPr>
              <w:t>项目噪声预测结果一览表  单位：dB（A）</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940"/>
              <w:gridCol w:w="940"/>
              <w:gridCol w:w="940"/>
              <w:gridCol w:w="1440"/>
              <w:gridCol w:w="1368"/>
              <w:gridCol w:w="1332"/>
              <w:gridCol w:w="825"/>
            </w:tblGrid>
            <w:tr w14:paraId="1D1B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restart"/>
                  <w:vAlign w:val="center"/>
                </w:tcPr>
                <w:p w14:paraId="6E30163D">
                  <w:pPr>
                    <w:jc w:val="center"/>
                    <w:rPr>
                      <w:bCs/>
                      <w:color w:val="auto"/>
                      <w:szCs w:val="21"/>
                    </w:rPr>
                  </w:pPr>
                  <w:r>
                    <w:rPr>
                      <w:bCs/>
                      <w:color w:val="auto"/>
                      <w:szCs w:val="21"/>
                    </w:rPr>
                    <w:t>预测方位</w:t>
                  </w:r>
                </w:p>
              </w:tc>
              <w:tc>
                <w:tcPr>
                  <w:tcW w:w="2820" w:type="dxa"/>
                  <w:gridSpan w:val="3"/>
                  <w:vAlign w:val="center"/>
                </w:tcPr>
                <w:p w14:paraId="45D20FA1">
                  <w:pPr>
                    <w:jc w:val="center"/>
                    <w:rPr>
                      <w:bCs/>
                      <w:color w:val="auto"/>
                      <w:szCs w:val="21"/>
                    </w:rPr>
                  </w:pPr>
                  <w:r>
                    <w:rPr>
                      <w:bCs/>
                      <w:color w:val="auto"/>
                      <w:szCs w:val="21"/>
                    </w:rPr>
                    <w:t>最大值点空间相对位置/m</w:t>
                  </w:r>
                </w:p>
              </w:tc>
              <w:tc>
                <w:tcPr>
                  <w:tcW w:w="1440" w:type="dxa"/>
                  <w:vMerge w:val="restart"/>
                  <w:vAlign w:val="center"/>
                </w:tcPr>
                <w:p w14:paraId="26AE7BDE">
                  <w:pPr>
                    <w:jc w:val="center"/>
                    <w:rPr>
                      <w:bCs/>
                      <w:color w:val="auto"/>
                      <w:szCs w:val="21"/>
                    </w:rPr>
                  </w:pPr>
                  <w:r>
                    <w:rPr>
                      <w:bCs/>
                      <w:color w:val="auto"/>
                      <w:szCs w:val="21"/>
                    </w:rPr>
                    <w:t>时段</w:t>
                  </w:r>
                </w:p>
              </w:tc>
              <w:tc>
                <w:tcPr>
                  <w:tcW w:w="1368" w:type="dxa"/>
                  <w:vMerge w:val="restart"/>
                  <w:vAlign w:val="center"/>
                </w:tcPr>
                <w:p w14:paraId="0ED2A81A">
                  <w:pPr>
                    <w:jc w:val="center"/>
                    <w:rPr>
                      <w:bCs/>
                      <w:color w:val="auto"/>
                      <w:szCs w:val="21"/>
                    </w:rPr>
                  </w:pPr>
                  <w:r>
                    <w:rPr>
                      <w:rFonts w:hint="eastAsia"/>
                      <w:bCs/>
                      <w:color w:val="auto"/>
                      <w:szCs w:val="21"/>
                    </w:rPr>
                    <w:t>贡献</w:t>
                  </w:r>
                  <w:r>
                    <w:rPr>
                      <w:bCs/>
                      <w:color w:val="auto"/>
                      <w:szCs w:val="21"/>
                    </w:rPr>
                    <w:t>值dB(A)</w:t>
                  </w:r>
                </w:p>
              </w:tc>
              <w:tc>
                <w:tcPr>
                  <w:tcW w:w="1332" w:type="dxa"/>
                  <w:vMerge w:val="restart"/>
                  <w:vAlign w:val="center"/>
                </w:tcPr>
                <w:p w14:paraId="4287A69E">
                  <w:pPr>
                    <w:jc w:val="center"/>
                    <w:rPr>
                      <w:bCs/>
                      <w:color w:val="auto"/>
                      <w:szCs w:val="21"/>
                    </w:rPr>
                  </w:pPr>
                  <w:r>
                    <w:rPr>
                      <w:bCs/>
                      <w:color w:val="auto"/>
                      <w:szCs w:val="21"/>
                    </w:rPr>
                    <w:t>标准限值dB(A)</w:t>
                  </w:r>
                </w:p>
              </w:tc>
              <w:tc>
                <w:tcPr>
                  <w:tcW w:w="825" w:type="dxa"/>
                  <w:vMerge w:val="restart"/>
                  <w:vAlign w:val="center"/>
                </w:tcPr>
                <w:p w14:paraId="690FC593">
                  <w:pPr>
                    <w:jc w:val="center"/>
                    <w:rPr>
                      <w:bCs/>
                      <w:color w:val="auto"/>
                      <w:szCs w:val="21"/>
                    </w:rPr>
                  </w:pPr>
                  <w:r>
                    <w:rPr>
                      <w:bCs/>
                      <w:color w:val="auto"/>
                      <w:szCs w:val="21"/>
                    </w:rPr>
                    <w:t>达标情况</w:t>
                  </w:r>
                </w:p>
              </w:tc>
            </w:tr>
            <w:tr w14:paraId="31DC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continue"/>
                </w:tcPr>
                <w:p w14:paraId="45B78F9F">
                  <w:pPr>
                    <w:adjustRightInd w:val="0"/>
                    <w:spacing w:line="360" w:lineRule="auto"/>
                    <w:rPr>
                      <w:color w:val="auto"/>
                      <w:sz w:val="24"/>
                    </w:rPr>
                  </w:pPr>
                </w:p>
              </w:tc>
              <w:tc>
                <w:tcPr>
                  <w:tcW w:w="940" w:type="dxa"/>
                  <w:vAlign w:val="center"/>
                </w:tcPr>
                <w:p w14:paraId="2E0D936A">
                  <w:pPr>
                    <w:jc w:val="center"/>
                    <w:rPr>
                      <w:color w:val="auto"/>
                      <w:szCs w:val="21"/>
                    </w:rPr>
                  </w:pPr>
                  <w:r>
                    <w:rPr>
                      <w:color w:val="auto"/>
                      <w:szCs w:val="21"/>
                    </w:rPr>
                    <w:t>X</w:t>
                  </w:r>
                </w:p>
              </w:tc>
              <w:tc>
                <w:tcPr>
                  <w:tcW w:w="940" w:type="dxa"/>
                  <w:vAlign w:val="center"/>
                </w:tcPr>
                <w:p w14:paraId="59DD1C61">
                  <w:pPr>
                    <w:jc w:val="center"/>
                    <w:rPr>
                      <w:color w:val="auto"/>
                      <w:szCs w:val="21"/>
                    </w:rPr>
                  </w:pPr>
                  <w:r>
                    <w:rPr>
                      <w:color w:val="auto"/>
                      <w:szCs w:val="21"/>
                    </w:rPr>
                    <w:t>Y</w:t>
                  </w:r>
                </w:p>
              </w:tc>
              <w:tc>
                <w:tcPr>
                  <w:tcW w:w="940" w:type="dxa"/>
                  <w:vAlign w:val="center"/>
                </w:tcPr>
                <w:p w14:paraId="12968B09">
                  <w:pPr>
                    <w:jc w:val="center"/>
                    <w:rPr>
                      <w:color w:val="auto"/>
                      <w:szCs w:val="21"/>
                    </w:rPr>
                  </w:pPr>
                  <w:r>
                    <w:rPr>
                      <w:color w:val="auto"/>
                      <w:szCs w:val="21"/>
                    </w:rPr>
                    <w:t>Z</w:t>
                  </w:r>
                </w:p>
              </w:tc>
              <w:tc>
                <w:tcPr>
                  <w:tcW w:w="1440" w:type="dxa"/>
                  <w:vMerge w:val="continue"/>
                </w:tcPr>
                <w:p w14:paraId="34608AEC">
                  <w:pPr>
                    <w:adjustRightInd w:val="0"/>
                    <w:spacing w:line="360" w:lineRule="auto"/>
                    <w:rPr>
                      <w:color w:val="auto"/>
                      <w:sz w:val="24"/>
                    </w:rPr>
                  </w:pPr>
                </w:p>
              </w:tc>
              <w:tc>
                <w:tcPr>
                  <w:tcW w:w="1368" w:type="dxa"/>
                  <w:vMerge w:val="continue"/>
                </w:tcPr>
                <w:p w14:paraId="76BE517A">
                  <w:pPr>
                    <w:adjustRightInd w:val="0"/>
                    <w:spacing w:line="360" w:lineRule="auto"/>
                    <w:rPr>
                      <w:color w:val="auto"/>
                      <w:sz w:val="24"/>
                    </w:rPr>
                  </w:pPr>
                </w:p>
              </w:tc>
              <w:tc>
                <w:tcPr>
                  <w:tcW w:w="1332" w:type="dxa"/>
                  <w:vMerge w:val="continue"/>
                </w:tcPr>
                <w:p w14:paraId="7E48BC0A">
                  <w:pPr>
                    <w:adjustRightInd w:val="0"/>
                    <w:spacing w:line="360" w:lineRule="auto"/>
                    <w:rPr>
                      <w:color w:val="auto"/>
                      <w:sz w:val="24"/>
                    </w:rPr>
                  </w:pPr>
                </w:p>
              </w:tc>
              <w:tc>
                <w:tcPr>
                  <w:tcW w:w="825" w:type="dxa"/>
                  <w:vMerge w:val="continue"/>
                </w:tcPr>
                <w:p w14:paraId="4762BC40">
                  <w:pPr>
                    <w:adjustRightInd w:val="0"/>
                    <w:spacing w:line="360" w:lineRule="auto"/>
                    <w:rPr>
                      <w:color w:val="auto"/>
                      <w:sz w:val="24"/>
                    </w:rPr>
                  </w:pPr>
                </w:p>
              </w:tc>
            </w:tr>
            <w:tr w14:paraId="31ED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restart"/>
                  <w:vAlign w:val="center"/>
                </w:tcPr>
                <w:p w14:paraId="7C5A6C82">
                  <w:pPr>
                    <w:jc w:val="center"/>
                    <w:rPr>
                      <w:color w:val="auto"/>
                      <w:szCs w:val="21"/>
                    </w:rPr>
                  </w:pPr>
                  <w:r>
                    <w:rPr>
                      <w:rFonts w:hint="eastAsia"/>
                      <w:color w:val="auto"/>
                      <w:szCs w:val="21"/>
                    </w:rPr>
                    <w:t>厂界东</w:t>
                  </w:r>
                </w:p>
              </w:tc>
              <w:tc>
                <w:tcPr>
                  <w:tcW w:w="940" w:type="dxa"/>
                  <w:vMerge w:val="restart"/>
                  <w:vAlign w:val="center"/>
                </w:tcPr>
                <w:p w14:paraId="3401A67F">
                  <w:pPr>
                    <w:jc w:val="center"/>
                    <w:rPr>
                      <w:rFonts w:hint="eastAsia"/>
                      <w:color w:val="auto"/>
                      <w:szCs w:val="21"/>
                    </w:rPr>
                  </w:pPr>
                  <w:r>
                    <w:rPr>
                      <w:rFonts w:hint="eastAsia"/>
                      <w:color w:val="auto"/>
                      <w:szCs w:val="21"/>
                    </w:rPr>
                    <w:t>46.2</w:t>
                  </w:r>
                </w:p>
              </w:tc>
              <w:tc>
                <w:tcPr>
                  <w:tcW w:w="940" w:type="dxa"/>
                  <w:vMerge w:val="restart"/>
                  <w:vAlign w:val="center"/>
                </w:tcPr>
                <w:p w14:paraId="3E5D25F0">
                  <w:pPr>
                    <w:jc w:val="center"/>
                    <w:rPr>
                      <w:rFonts w:hint="eastAsia"/>
                      <w:color w:val="auto"/>
                      <w:szCs w:val="21"/>
                    </w:rPr>
                  </w:pPr>
                  <w:r>
                    <w:rPr>
                      <w:rFonts w:hint="eastAsia"/>
                      <w:color w:val="auto"/>
                      <w:szCs w:val="21"/>
                    </w:rPr>
                    <w:t>49.6</w:t>
                  </w:r>
                </w:p>
              </w:tc>
              <w:tc>
                <w:tcPr>
                  <w:tcW w:w="940" w:type="dxa"/>
                  <w:vMerge w:val="restart"/>
                  <w:vAlign w:val="center"/>
                </w:tcPr>
                <w:p w14:paraId="16852CD3">
                  <w:pPr>
                    <w:jc w:val="center"/>
                    <w:rPr>
                      <w:rFonts w:hint="eastAsia"/>
                      <w:color w:val="auto"/>
                      <w:szCs w:val="21"/>
                    </w:rPr>
                  </w:pPr>
                  <w:r>
                    <w:rPr>
                      <w:rFonts w:hint="eastAsia"/>
                      <w:color w:val="auto"/>
                      <w:szCs w:val="21"/>
                    </w:rPr>
                    <w:t>1.2</w:t>
                  </w:r>
                </w:p>
              </w:tc>
              <w:tc>
                <w:tcPr>
                  <w:tcW w:w="1440" w:type="dxa"/>
                  <w:vAlign w:val="center"/>
                </w:tcPr>
                <w:p w14:paraId="0E155CD1">
                  <w:pPr>
                    <w:jc w:val="center"/>
                    <w:rPr>
                      <w:color w:val="auto"/>
                      <w:szCs w:val="21"/>
                    </w:rPr>
                  </w:pPr>
                  <w:r>
                    <w:rPr>
                      <w:rFonts w:hint="eastAsia"/>
                      <w:color w:val="auto"/>
                      <w:szCs w:val="21"/>
                    </w:rPr>
                    <w:t>昼间</w:t>
                  </w:r>
                </w:p>
              </w:tc>
              <w:tc>
                <w:tcPr>
                  <w:tcW w:w="1368" w:type="dxa"/>
                  <w:vAlign w:val="center"/>
                </w:tcPr>
                <w:p w14:paraId="6496804F">
                  <w:pPr>
                    <w:jc w:val="center"/>
                    <w:rPr>
                      <w:rFonts w:hint="eastAsia"/>
                      <w:color w:val="auto"/>
                      <w:szCs w:val="21"/>
                    </w:rPr>
                  </w:pPr>
                  <w:r>
                    <w:rPr>
                      <w:rFonts w:hint="eastAsia"/>
                      <w:color w:val="auto"/>
                      <w:szCs w:val="21"/>
                    </w:rPr>
                    <w:t>20.7</w:t>
                  </w:r>
                </w:p>
              </w:tc>
              <w:tc>
                <w:tcPr>
                  <w:tcW w:w="1332" w:type="dxa"/>
                  <w:vAlign w:val="center"/>
                </w:tcPr>
                <w:p w14:paraId="7CC5545A">
                  <w:pPr>
                    <w:jc w:val="center"/>
                    <w:rPr>
                      <w:color w:val="auto"/>
                      <w:szCs w:val="21"/>
                    </w:rPr>
                  </w:pPr>
                  <w:r>
                    <w:rPr>
                      <w:rFonts w:hint="eastAsia"/>
                      <w:color w:val="auto"/>
                      <w:szCs w:val="21"/>
                    </w:rPr>
                    <w:t>60</w:t>
                  </w:r>
                </w:p>
              </w:tc>
              <w:tc>
                <w:tcPr>
                  <w:tcW w:w="825" w:type="dxa"/>
                  <w:vAlign w:val="center"/>
                </w:tcPr>
                <w:p w14:paraId="3941F1FD">
                  <w:pPr>
                    <w:jc w:val="center"/>
                    <w:rPr>
                      <w:color w:val="auto"/>
                      <w:szCs w:val="21"/>
                    </w:rPr>
                  </w:pPr>
                  <w:r>
                    <w:rPr>
                      <w:rFonts w:hint="eastAsia"/>
                      <w:color w:val="auto"/>
                      <w:szCs w:val="21"/>
                    </w:rPr>
                    <w:t>达标</w:t>
                  </w:r>
                </w:p>
              </w:tc>
            </w:tr>
            <w:tr w14:paraId="3CB0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continue"/>
                  <w:vAlign w:val="center"/>
                </w:tcPr>
                <w:p w14:paraId="762EBF37">
                  <w:pPr>
                    <w:jc w:val="center"/>
                    <w:rPr>
                      <w:color w:val="auto"/>
                      <w:szCs w:val="21"/>
                    </w:rPr>
                  </w:pPr>
                </w:p>
              </w:tc>
              <w:tc>
                <w:tcPr>
                  <w:tcW w:w="940" w:type="dxa"/>
                  <w:vMerge w:val="continue"/>
                  <w:vAlign w:val="center"/>
                </w:tcPr>
                <w:p w14:paraId="7A6A97BD">
                  <w:pPr>
                    <w:jc w:val="center"/>
                    <w:rPr>
                      <w:rFonts w:hint="eastAsia"/>
                      <w:color w:val="auto"/>
                      <w:szCs w:val="21"/>
                    </w:rPr>
                  </w:pPr>
                </w:p>
              </w:tc>
              <w:tc>
                <w:tcPr>
                  <w:tcW w:w="940" w:type="dxa"/>
                  <w:vMerge w:val="continue"/>
                  <w:vAlign w:val="center"/>
                </w:tcPr>
                <w:p w14:paraId="664C2A1D">
                  <w:pPr>
                    <w:jc w:val="center"/>
                    <w:rPr>
                      <w:rFonts w:hint="eastAsia"/>
                      <w:color w:val="auto"/>
                      <w:szCs w:val="21"/>
                    </w:rPr>
                  </w:pPr>
                </w:p>
              </w:tc>
              <w:tc>
                <w:tcPr>
                  <w:tcW w:w="940" w:type="dxa"/>
                  <w:vMerge w:val="continue"/>
                  <w:vAlign w:val="center"/>
                </w:tcPr>
                <w:p w14:paraId="12F88F80">
                  <w:pPr>
                    <w:jc w:val="center"/>
                    <w:rPr>
                      <w:rFonts w:hint="eastAsia"/>
                      <w:color w:val="auto"/>
                      <w:szCs w:val="21"/>
                    </w:rPr>
                  </w:pPr>
                </w:p>
              </w:tc>
              <w:tc>
                <w:tcPr>
                  <w:tcW w:w="1440" w:type="dxa"/>
                  <w:vAlign w:val="center"/>
                </w:tcPr>
                <w:p w14:paraId="64A5E9BB">
                  <w:pPr>
                    <w:jc w:val="center"/>
                    <w:rPr>
                      <w:color w:val="auto"/>
                      <w:szCs w:val="21"/>
                    </w:rPr>
                  </w:pPr>
                  <w:r>
                    <w:rPr>
                      <w:rFonts w:hint="eastAsia"/>
                      <w:color w:val="auto"/>
                      <w:szCs w:val="21"/>
                    </w:rPr>
                    <w:t>夜间</w:t>
                  </w:r>
                </w:p>
              </w:tc>
              <w:tc>
                <w:tcPr>
                  <w:tcW w:w="1368" w:type="dxa"/>
                  <w:vAlign w:val="center"/>
                </w:tcPr>
                <w:p w14:paraId="4C0488AB">
                  <w:pPr>
                    <w:jc w:val="center"/>
                    <w:rPr>
                      <w:rFonts w:hint="eastAsia"/>
                      <w:color w:val="auto"/>
                      <w:szCs w:val="21"/>
                      <w:lang w:eastAsia="zh-CN"/>
                    </w:rPr>
                  </w:pPr>
                  <w:r>
                    <w:rPr>
                      <w:rFonts w:hint="eastAsia"/>
                      <w:color w:val="auto"/>
                      <w:szCs w:val="21"/>
                    </w:rPr>
                    <w:t>19.3</w:t>
                  </w:r>
                </w:p>
              </w:tc>
              <w:tc>
                <w:tcPr>
                  <w:tcW w:w="1332" w:type="dxa"/>
                  <w:vAlign w:val="center"/>
                </w:tcPr>
                <w:p w14:paraId="64FBEAE0">
                  <w:pPr>
                    <w:jc w:val="center"/>
                    <w:rPr>
                      <w:color w:val="auto"/>
                      <w:szCs w:val="21"/>
                    </w:rPr>
                  </w:pPr>
                  <w:r>
                    <w:rPr>
                      <w:rFonts w:hint="eastAsia"/>
                      <w:color w:val="auto"/>
                      <w:szCs w:val="21"/>
                    </w:rPr>
                    <w:t>50</w:t>
                  </w:r>
                </w:p>
              </w:tc>
              <w:tc>
                <w:tcPr>
                  <w:tcW w:w="825" w:type="dxa"/>
                  <w:vAlign w:val="center"/>
                </w:tcPr>
                <w:p w14:paraId="2F6E7CA7">
                  <w:pPr>
                    <w:jc w:val="center"/>
                    <w:rPr>
                      <w:color w:val="auto"/>
                      <w:szCs w:val="21"/>
                    </w:rPr>
                  </w:pPr>
                  <w:r>
                    <w:rPr>
                      <w:rFonts w:hint="eastAsia"/>
                      <w:color w:val="auto"/>
                      <w:szCs w:val="21"/>
                    </w:rPr>
                    <w:t>达标</w:t>
                  </w:r>
                </w:p>
              </w:tc>
            </w:tr>
            <w:tr w14:paraId="5792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restart"/>
                  <w:vAlign w:val="center"/>
                </w:tcPr>
                <w:p w14:paraId="65DC1D88">
                  <w:pPr>
                    <w:jc w:val="center"/>
                    <w:rPr>
                      <w:color w:val="auto"/>
                      <w:szCs w:val="21"/>
                    </w:rPr>
                  </w:pPr>
                  <w:r>
                    <w:rPr>
                      <w:rFonts w:hint="eastAsia"/>
                      <w:color w:val="auto"/>
                      <w:szCs w:val="21"/>
                    </w:rPr>
                    <w:t>厂界南</w:t>
                  </w:r>
                </w:p>
              </w:tc>
              <w:tc>
                <w:tcPr>
                  <w:tcW w:w="940" w:type="dxa"/>
                  <w:vMerge w:val="restart"/>
                  <w:vAlign w:val="center"/>
                </w:tcPr>
                <w:p w14:paraId="4865DF72">
                  <w:pPr>
                    <w:jc w:val="center"/>
                    <w:rPr>
                      <w:rFonts w:hint="eastAsia"/>
                      <w:color w:val="auto"/>
                      <w:szCs w:val="21"/>
                    </w:rPr>
                  </w:pPr>
                  <w:r>
                    <w:rPr>
                      <w:rFonts w:hint="eastAsia"/>
                      <w:color w:val="auto"/>
                      <w:szCs w:val="21"/>
                    </w:rPr>
                    <w:t>-70.2</w:t>
                  </w:r>
                </w:p>
              </w:tc>
              <w:tc>
                <w:tcPr>
                  <w:tcW w:w="940" w:type="dxa"/>
                  <w:vMerge w:val="restart"/>
                  <w:vAlign w:val="center"/>
                </w:tcPr>
                <w:p w14:paraId="0739E79E">
                  <w:pPr>
                    <w:jc w:val="center"/>
                    <w:rPr>
                      <w:rFonts w:hint="eastAsia"/>
                      <w:color w:val="auto"/>
                      <w:szCs w:val="21"/>
                    </w:rPr>
                  </w:pPr>
                  <w:r>
                    <w:rPr>
                      <w:rFonts w:hint="eastAsia"/>
                      <w:color w:val="auto"/>
                      <w:szCs w:val="21"/>
                    </w:rPr>
                    <w:t>-83.9</w:t>
                  </w:r>
                </w:p>
              </w:tc>
              <w:tc>
                <w:tcPr>
                  <w:tcW w:w="940" w:type="dxa"/>
                  <w:vMerge w:val="restart"/>
                  <w:vAlign w:val="center"/>
                </w:tcPr>
                <w:p w14:paraId="53774BA6">
                  <w:pPr>
                    <w:jc w:val="center"/>
                    <w:rPr>
                      <w:rFonts w:hint="eastAsia"/>
                      <w:color w:val="auto"/>
                      <w:szCs w:val="21"/>
                    </w:rPr>
                  </w:pPr>
                  <w:r>
                    <w:rPr>
                      <w:rFonts w:hint="eastAsia"/>
                      <w:color w:val="auto"/>
                      <w:szCs w:val="21"/>
                    </w:rPr>
                    <w:t>1.2</w:t>
                  </w:r>
                </w:p>
              </w:tc>
              <w:tc>
                <w:tcPr>
                  <w:tcW w:w="1440" w:type="dxa"/>
                  <w:vAlign w:val="center"/>
                </w:tcPr>
                <w:p w14:paraId="229E0270">
                  <w:pPr>
                    <w:jc w:val="center"/>
                    <w:rPr>
                      <w:color w:val="auto"/>
                      <w:szCs w:val="21"/>
                    </w:rPr>
                  </w:pPr>
                  <w:r>
                    <w:rPr>
                      <w:rFonts w:hint="eastAsia"/>
                      <w:color w:val="auto"/>
                      <w:szCs w:val="21"/>
                    </w:rPr>
                    <w:t>昼间</w:t>
                  </w:r>
                </w:p>
              </w:tc>
              <w:tc>
                <w:tcPr>
                  <w:tcW w:w="1368" w:type="dxa"/>
                  <w:vAlign w:val="center"/>
                </w:tcPr>
                <w:p w14:paraId="22D04214">
                  <w:pPr>
                    <w:jc w:val="center"/>
                    <w:rPr>
                      <w:rFonts w:hint="default"/>
                      <w:color w:val="auto"/>
                      <w:szCs w:val="21"/>
                      <w:lang w:val="en-US" w:eastAsia="zh-CN"/>
                    </w:rPr>
                  </w:pPr>
                  <w:r>
                    <w:rPr>
                      <w:rFonts w:hint="eastAsia"/>
                      <w:color w:val="auto"/>
                      <w:szCs w:val="21"/>
                      <w:lang w:val="en-US" w:eastAsia="zh-CN"/>
                    </w:rPr>
                    <w:t>53.6</w:t>
                  </w:r>
                </w:p>
              </w:tc>
              <w:tc>
                <w:tcPr>
                  <w:tcW w:w="1332" w:type="dxa"/>
                  <w:vAlign w:val="center"/>
                </w:tcPr>
                <w:p w14:paraId="2A83C65E">
                  <w:pPr>
                    <w:jc w:val="center"/>
                    <w:rPr>
                      <w:color w:val="auto"/>
                      <w:szCs w:val="21"/>
                    </w:rPr>
                  </w:pPr>
                  <w:r>
                    <w:rPr>
                      <w:rFonts w:hint="eastAsia"/>
                      <w:color w:val="auto"/>
                      <w:szCs w:val="21"/>
                    </w:rPr>
                    <w:t>60</w:t>
                  </w:r>
                </w:p>
              </w:tc>
              <w:tc>
                <w:tcPr>
                  <w:tcW w:w="825" w:type="dxa"/>
                  <w:vAlign w:val="center"/>
                </w:tcPr>
                <w:p w14:paraId="1C5DDA78">
                  <w:pPr>
                    <w:jc w:val="center"/>
                    <w:rPr>
                      <w:color w:val="auto"/>
                      <w:szCs w:val="21"/>
                    </w:rPr>
                  </w:pPr>
                  <w:r>
                    <w:rPr>
                      <w:rFonts w:hint="eastAsia"/>
                      <w:color w:val="auto"/>
                      <w:szCs w:val="21"/>
                    </w:rPr>
                    <w:t>达标</w:t>
                  </w:r>
                </w:p>
              </w:tc>
            </w:tr>
            <w:tr w14:paraId="0FA5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continue"/>
                  <w:vAlign w:val="center"/>
                </w:tcPr>
                <w:p w14:paraId="3A4130A8">
                  <w:pPr>
                    <w:jc w:val="center"/>
                    <w:rPr>
                      <w:color w:val="auto"/>
                      <w:szCs w:val="21"/>
                    </w:rPr>
                  </w:pPr>
                </w:p>
              </w:tc>
              <w:tc>
                <w:tcPr>
                  <w:tcW w:w="940" w:type="dxa"/>
                  <w:vMerge w:val="continue"/>
                  <w:vAlign w:val="center"/>
                </w:tcPr>
                <w:p w14:paraId="71F48002">
                  <w:pPr>
                    <w:jc w:val="center"/>
                    <w:rPr>
                      <w:rFonts w:hint="eastAsia"/>
                      <w:color w:val="auto"/>
                      <w:szCs w:val="21"/>
                    </w:rPr>
                  </w:pPr>
                </w:p>
              </w:tc>
              <w:tc>
                <w:tcPr>
                  <w:tcW w:w="940" w:type="dxa"/>
                  <w:vMerge w:val="continue"/>
                  <w:vAlign w:val="center"/>
                </w:tcPr>
                <w:p w14:paraId="4BDFCAE8">
                  <w:pPr>
                    <w:jc w:val="center"/>
                    <w:rPr>
                      <w:rFonts w:hint="eastAsia"/>
                      <w:color w:val="auto"/>
                      <w:szCs w:val="21"/>
                    </w:rPr>
                  </w:pPr>
                </w:p>
              </w:tc>
              <w:tc>
                <w:tcPr>
                  <w:tcW w:w="940" w:type="dxa"/>
                  <w:vMerge w:val="continue"/>
                  <w:vAlign w:val="center"/>
                </w:tcPr>
                <w:p w14:paraId="6377FB9F">
                  <w:pPr>
                    <w:jc w:val="center"/>
                    <w:rPr>
                      <w:rFonts w:hint="eastAsia"/>
                      <w:color w:val="auto"/>
                      <w:szCs w:val="21"/>
                    </w:rPr>
                  </w:pPr>
                </w:p>
              </w:tc>
              <w:tc>
                <w:tcPr>
                  <w:tcW w:w="1440" w:type="dxa"/>
                  <w:vAlign w:val="center"/>
                </w:tcPr>
                <w:p w14:paraId="0CFCFEB2">
                  <w:pPr>
                    <w:jc w:val="center"/>
                    <w:rPr>
                      <w:color w:val="auto"/>
                      <w:szCs w:val="21"/>
                    </w:rPr>
                  </w:pPr>
                  <w:r>
                    <w:rPr>
                      <w:rFonts w:hint="eastAsia"/>
                      <w:color w:val="auto"/>
                      <w:szCs w:val="21"/>
                    </w:rPr>
                    <w:t>夜间</w:t>
                  </w:r>
                </w:p>
              </w:tc>
              <w:tc>
                <w:tcPr>
                  <w:tcW w:w="1368" w:type="dxa"/>
                  <w:vAlign w:val="center"/>
                </w:tcPr>
                <w:p w14:paraId="60C3B6C6">
                  <w:pPr>
                    <w:jc w:val="center"/>
                    <w:rPr>
                      <w:rFonts w:hint="default"/>
                      <w:color w:val="auto"/>
                      <w:szCs w:val="21"/>
                      <w:lang w:val="en-US" w:eastAsia="zh-CN"/>
                    </w:rPr>
                  </w:pPr>
                  <w:r>
                    <w:rPr>
                      <w:rFonts w:hint="eastAsia"/>
                      <w:color w:val="auto"/>
                      <w:szCs w:val="21"/>
                      <w:lang w:val="en-US" w:eastAsia="zh-CN"/>
                    </w:rPr>
                    <w:t>48.2</w:t>
                  </w:r>
                </w:p>
              </w:tc>
              <w:tc>
                <w:tcPr>
                  <w:tcW w:w="1332" w:type="dxa"/>
                  <w:vAlign w:val="center"/>
                </w:tcPr>
                <w:p w14:paraId="4F47A80A">
                  <w:pPr>
                    <w:jc w:val="center"/>
                    <w:rPr>
                      <w:color w:val="auto"/>
                      <w:szCs w:val="21"/>
                    </w:rPr>
                  </w:pPr>
                  <w:r>
                    <w:rPr>
                      <w:rFonts w:hint="eastAsia"/>
                      <w:color w:val="auto"/>
                      <w:szCs w:val="21"/>
                    </w:rPr>
                    <w:t>50</w:t>
                  </w:r>
                </w:p>
              </w:tc>
              <w:tc>
                <w:tcPr>
                  <w:tcW w:w="825" w:type="dxa"/>
                  <w:vAlign w:val="center"/>
                </w:tcPr>
                <w:p w14:paraId="0B0666DF">
                  <w:pPr>
                    <w:jc w:val="center"/>
                    <w:rPr>
                      <w:color w:val="auto"/>
                      <w:szCs w:val="21"/>
                    </w:rPr>
                  </w:pPr>
                  <w:r>
                    <w:rPr>
                      <w:rFonts w:hint="eastAsia"/>
                      <w:color w:val="auto"/>
                      <w:szCs w:val="21"/>
                    </w:rPr>
                    <w:t>达标</w:t>
                  </w:r>
                </w:p>
              </w:tc>
            </w:tr>
            <w:tr w14:paraId="1E76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restart"/>
                  <w:vAlign w:val="center"/>
                </w:tcPr>
                <w:p w14:paraId="4DE23201">
                  <w:pPr>
                    <w:jc w:val="center"/>
                    <w:rPr>
                      <w:color w:val="auto"/>
                      <w:szCs w:val="21"/>
                    </w:rPr>
                  </w:pPr>
                  <w:r>
                    <w:rPr>
                      <w:rFonts w:hint="eastAsia"/>
                      <w:color w:val="auto"/>
                      <w:szCs w:val="21"/>
                    </w:rPr>
                    <w:t>厂界西</w:t>
                  </w:r>
                </w:p>
              </w:tc>
              <w:tc>
                <w:tcPr>
                  <w:tcW w:w="940" w:type="dxa"/>
                  <w:vMerge w:val="restart"/>
                  <w:vAlign w:val="center"/>
                </w:tcPr>
                <w:p w14:paraId="79A5398F">
                  <w:pPr>
                    <w:jc w:val="center"/>
                    <w:rPr>
                      <w:rFonts w:hint="eastAsia"/>
                      <w:color w:val="auto"/>
                      <w:szCs w:val="21"/>
                    </w:rPr>
                  </w:pPr>
                  <w:r>
                    <w:rPr>
                      <w:rFonts w:hint="eastAsia"/>
                      <w:color w:val="auto"/>
                      <w:szCs w:val="21"/>
                    </w:rPr>
                    <w:t>-124.9</w:t>
                  </w:r>
                </w:p>
              </w:tc>
              <w:tc>
                <w:tcPr>
                  <w:tcW w:w="940" w:type="dxa"/>
                  <w:vMerge w:val="restart"/>
                  <w:vAlign w:val="center"/>
                </w:tcPr>
                <w:p w14:paraId="529E240D">
                  <w:pPr>
                    <w:jc w:val="center"/>
                    <w:rPr>
                      <w:rFonts w:hint="eastAsia"/>
                      <w:color w:val="auto"/>
                      <w:szCs w:val="21"/>
                    </w:rPr>
                  </w:pPr>
                  <w:r>
                    <w:rPr>
                      <w:rFonts w:hint="eastAsia"/>
                      <w:color w:val="auto"/>
                      <w:szCs w:val="21"/>
                    </w:rPr>
                    <w:t>-43.7</w:t>
                  </w:r>
                </w:p>
              </w:tc>
              <w:tc>
                <w:tcPr>
                  <w:tcW w:w="940" w:type="dxa"/>
                  <w:vMerge w:val="restart"/>
                  <w:vAlign w:val="center"/>
                </w:tcPr>
                <w:p w14:paraId="17D9DF5E">
                  <w:pPr>
                    <w:jc w:val="center"/>
                    <w:rPr>
                      <w:rFonts w:hint="eastAsia"/>
                      <w:color w:val="auto"/>
                      <w:szCs w:val="21"/>
                    </w:rPr>
                  </w:pPr>
                  <w:r>
                    <w:rPr>
                      <w:rFonts w:hint="eastAsia"/>
                      <w:color w:val="auto"/>
                      <w:szCs w:val="21"/>
                    </w:rPr>
                    <w:t>1.2</w:t>
                  </w:r>
                </w:p>
              </w:tc>
              <w:tc>
                <w:tcPr>
                  <w:tcW w:w="1440" w:type="dxa"/>
                  <w:vAlign w:val="center"/>
                </w:tcPr>
                <w:p w14:paraId="1C5AC80E">
                  <w:pPr>
                    <w:jc w:val="center"/>
                    <w:rPr>
                      <w:color w:val="auto"/>
                      <w:szCs w:val="21"/>
                    </w:rPr>
                  </w:pPr>
                  <w:r>
                    <w:rPr>
                      <w:rFonts w:hint="eastAsia"/>
                      <w:color w:val="auto"/>
                      <w:szCs w:val="21"/>
                    </w:rPr>
                    <w:t>昼间</w:t>
                  </w:r>
                </w:p>
              </w:tc>
              <w:tc>
                <w:tcPr>
                  <w:tcW w:w="1368" w:type="dxa"/>
                  <w:vAlign w:val="center"/>
                </w:tcPr>
                <w:p w14:paraId="61B98FAF">
                  <w:pPr>
                    <w:jc w:val="center"/>
                    <w:rPr>
                      <w:rFonts w:hint="eastAsia"/>
                      <w:color w:val="auto"/>
                      <w:szCs w:val="21"/>
                      <w:lang w:eastAsia="zh-CN"/>
                    </w:rPr>
                  </w:pPr>
                  <w:r>
                    <w:rPr>
                      <w:rFonts w:hint="eastAsia"/>
                      <w:color w:val="auto"/>
                      <w:szCs w:val="21"/>
                    </w:rPr>
                    <w:t>52.3</w:t>
                  </w:r>
                </w:p>
              </w:tc>
              <w:tc>
                <w:tcPr>
                  <w:tcW w:w="1332" w:type="dxa"/>
                  <w:vAlign w:val="center"/>
                </w:tcPr>
                <w:p w14:paraId="26CA1B2C">
                  <w:pPr>
                    <w:jc w:val="center"/>
                    <w:rPr>
                      <w:color w:val="auto"/>
                      <w:szCs w:val="21"/>
                    </w:rPr>
                  </w:pPr>
                  <w:r>
                    <w:rPr>
                      <w:rFonts w:hint="eastAsia"/>
                      <w:color w:val="auto"/>
                      <w:szCs w:val="21"/>
                    </w:rPr>
                    <w:t>60</w:t>
                  </w:r>
                </w:p>
              </w:tc>
              <w:tc>
                <w:tcPr>
                  <w:tcW w:w="825" w:type="dxa"/>
                  <w:vAlign w:val="center"/>
                </w:tcPr>
                <w:p w14:paraId="32811E5C">
                  <w:pPr>
                    <w:jc w:val="center"/>
                    <w:rPr>
                      <w:color w:val="auto"/>
                      <w:szCs w:val="21"/>
                    </w:rPr>
                  </w:pPr>
                  <w:r>
                    <w:rPr>
                      <w:rFonts w:hint="eastAsia"/>
                      <w:color w:val="auto"/>
                      <w:szCs w:val="21"/>
                    </w:rPr>
                    <w:t>达标</w:t>
                  </w:r>
                </w:p>
              </w:tc>
            </w:tr>
            <w:tr w14:paraId="2633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continue"/>
                  <w:vAlign w:val="center"/>
                </w:tcPr>
                <w:p w14:paraId="4012F3D6">
                  <w:pPr>
                    <w:jc w:val="center"/>
                    <w:rPr>
                      <w:color w:val="auto"/>
                      <w:szCs w:val="21"/>
                    </w:rPr>
                  </w:pPr>
                </w:p>
              </w:tc>
              <w:tc>
                <w:tcPr>
                  <w:tcW w:w="940" w:type="dxa"/>
                  <w:vMerge w:val="continue"/>
                  <w:vAlign w:val="center"/>
                </w:tcPr>
                <w:p w14:paraId="32213A73">
                  <w:pPr>
                    <w:jc w:val="center"/>
                    <w:rPr>
                      <w:rFonts w:hint="eastAsia"/>
                      <w:color w:val="auto"/>
                      <w:szCs w:val="21"/>
                    </w:rPr>
                  </w:pPr>
                </w:p>
              </w:tc>
              <w:tc>
                <w:tcPr>
                  <w:tcW w:w="940" w:type="dxa"/>
                  <w:vMerge w:val="continue"/>
                  <w:vAlign w:val="center"/>
                </w:tcPr>
                <w:p w14:paraId="3FCC2239">
                  <w:pPr>
                    <w:jc w:val="center"/>
                    <w:rPr>
                      <w:rFonts w:hint="eastAsia"/>
                      <w:color w:val="auto"/>
                      <w:szCs w:val="21"/>
                    </w:rPr>
                  </w:pPr>
                </w:p>
              </w:tc>
              <w:tc>
                <w:tcPr>
                  <w:tcW w:w="940" w:type="dxa"/>
                  <w:vMerge w:val="continue"/>
                  <w:vAlign w:val="center"/>
                </w:tcPr>
                <w:p w14:paraId="1549B362">
                  <w:pPr>
                    <w:jc w:val="center"/>
                    <w:rPr>
                      <w:rFonts w:hint="eastAsia"/>
                      <w:color w:val="auto"/>
                      <w:szCs w:val="21"/>
                    </w:rPr>
                  </w:pPr>
                </w:p>
              </w:tc>
              <w:tc>
                <w:tcPr>
                  <w:tcW w:w="1440" w:type="dxa"/>
                  <w:vAlign w:val="center"/>
                </w:tcPr>
                <w:p w14:paraId="477385CD">
                  <w:pPr>
                    <w:jc w:val="center"/>
                    <w:rPr>
                      <w:color w:val="auto"/>
                      <w:szCs w:val="21"/>
                    </w:rPr>
                  </w:pPr>
                  <w:r>
                    <w:rPr>
                      <w:rFonts w:hint="eastAsia"/>
                      <w:color w:val="auto"/>
                      <w:szCs w:val="21"/>
                    </w:rPr>
                    <w:t>夜间</w:t>
                  </w:r>
                </w:p>
              </w:tc>
              <w:tc>
                <w:tcPr>
                  <w:tcW w:w="1368" w:type="dxa"/>
                  <w:vAlign w:val="center"/>
                </w:tcPr>
                <w:p w14:paraId="35E0E316">
                  <w:pPr>
                    <w:jc w:val="center"/>
                    <w:rPr>
                      <w:rFonts w:hint="default"/>
                      <w:color w:val="auto"/>
                      <w:szCs w:val="21"/>
                      <w:lang w:val="en-US" w:eastAsia="zh-CN"/>
                    </w:rPr>
                  </w:pPr>
                  <w:r>
                    <w:rPr>
                      <w:rFonts w:hint="eastAsia"/>
                      <w:color w:val="auto"/>
                      <w:szCs w:val="21"/>
                    </w:rPr>
                    <w:t>4</w:t>
                  </w:r>
                  <w:r>
                    <w:rPr>
                      <w:rFonts w:hint="eastAsia"/>
                      <w:color w:val="auto"/>
                      <w:szCs w:val="21"/>
                      <w:lang w:val="en-US" w:eastAsia="zh-CN"/>
                    </w:rPr>
                    <w:t>6.0</w:t>
                  </w:r>
                </w:p>
              </w:tc>
              <w:tc>
                <w:tcPr>
                  <w:tcW w:w="1332" w:type="dxa"/>
                  <w:vAlign w:val="center"/>
                </w:tcPr>
                <w:p w14:paraId="0F74A620">
                  <w:pPr>
                    <w:jc w:val="center"/>
                    <w:rPr>
                      <w:color w:val="auto"/>
                      <w:szCs w:val="21"/>
                    </w:rPr>
                  </w:pPr>
                  <w:r>
                    <w:rPr>
                      <w:rFonts w:hint="eastAsia"/>
                      <w:color w:val="auto"/>
                      <w:szCs w:val="21"/>
                    </w:rPr>
                    <w:t>50</w:t>
                  </w:r>
                </w:p>
              </w:tc>
              <w:tc>
                <w:tcPr>
                  <w:tcW w:w="825" w:type="dxa"/>
                  <w:vAlign w:val="center"/>
                </w:tcPr>
                <w:p w14:paraId="0915D905">
                  <w:pPr>
                    <w:jc w:val="center"/>
                    <w:rPr>
                      <w:color w:val="auto"/>
                      <w:szCs w:val="21"/>
                    </w:rPr>
                  </w:pPr>
                  <w:r>
                    <w:rPr>
                      <w:rFonts w:hint="eastAsia"/>
                      <w:color w:val="auto"/>
                      <w:szCs w:val="21"/>
                    </w:rPr>
                    <w:t>达标</w:t>
                  </w:r>
                </w:p>
              </w:tc>
            </w:tr>
            <w:tr w14:paraId="6CDE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restart"/>
                  <w:vAlign w:val="center"/>
                </w:tcPr>
                <w:p w14:paraId="16808CE8">
                  <w:pPr>
                    <w:jc w:val="center"/>
                    <w:rPr>
                      <w:color w:val="auto"/>
                      <w:szCs w:val="21"/>
                    </w:rPr>
                  </w:pPr>
                  <w:r>
                    <w:rPr>
                      <w:rFonts w:hint="eastAsia"/>
                      <w:color w:val="auto"/>
                      <w:szCs w:val="21"/>
                    </w:rPr>
                    <w:t>厂界北</w:t>
                  </w:r>
                </w:p>
              </w:tc>
              <w:tc>
                <w:tcPr>
                  <w:tcW w:w="940" w:type="dxa"/>
                  <w:vMerge w:val="restart"/>
                  <w:vAlign w:val="center"/>
                </w:tcPr>
                <w:p w14:paraId="5CAA5D59">
                  <w:pPr>
                    <w:jc w:val="center"/>
                    <w:rPr>
                      <w:rFonts w:hint="eastAsia"/>
                      <w:color w:val="auto"/>
                      <w:szCs w:val="21"/>
                    </w:rPr>
                  </w:pPr>
                  <w:r>
                    <w:rPr>
                      <w:rFonts w:hint="eastAsia"/>
                      <w:color w:val="auto"/>
                      <w:szCs w:val="21"/>
                    </w:rPr>
                    <w:t>-94.7</w:t>
                  </w:r>
                </w:p>
              </w:tc>
              <w:tc>
                <w:tcPr>
                  <w:tcW w:w="940" w:type="dxa"/>
                  <w:vMerge w:val="restart"/>
                  <w:vAlign w:val="center"/>
                </w:tcPr>
                <w:p w14:paraId="0ECBFA99">
                  <w:pPr>
                    <w:jc w:val="center"/>
                    <w:rPr>
                      <w:rFonts w:hint="eastAsia"/>
                      <w:color w:val="auto"/>
                      <w:szCs w:val="21"/>
                    </w:rPr>
                  </w:pPr>
                  <w:r>
                    <w:rPr>
                      <w:rFonts w:hint="eastAsia"/>
                      <w:color w:val="auto"/>
                      <w:szCs w:val="21"/>
                    </w:rPr>
                    <w:t>107.6</w:t>
                  </w:r>
                </w:p>
              </w:tc>
              <w:tc>
                <w:tcPr>
                  <w:tcW w:w="940" w:type="dxa"/>
                  <w:vMerge w:val="restart"/>
                  <w:vAlign w:val="center"/>
                </w:tcPr>
                <w:p w14:paraId="42597C33">
                  <w:pPr>
                    <w:jc w:val="center"/>
                    <w:rPr>
                      <w:rFonts w:hint="eastAsia"/>
                      <w:color w:val="auto"/>
                      <w:szCs w:val="21"/>
                    </w:rPr>
                  </w:pPr>
                  <w:r>
                    <w:rPr>
                      <w:rFonts w:hint="eastAsia"/>
                      <w:color w:val="auto"/>
                      <w:szCs w:val="21"/>
                    </w:rPr>
                    <w:t>1.2</w:t>
                  </w:r>
                </w:p>
              </w:tc>
              <w:tc>
                <w:tcPr>
                  <w:tcW w:w="1440" w:type="dxa"/>
                  <w:vAlign w:val="center"/>
                </w:tcPr>
                <w:p w14:paraId="7DFE8857">
                  <w:pPr>
                    <w:jc w:val="center"/>
                    <w:rPr>
                      <w:color w:val="auto"/>
                      <w:szCs w:val="21"/>
                    </w:rPr>
                  </w:pPr>
                  <w:r>
                    <w:rPr>
                      <w:rFonts w:hint="eastAsia"/>
                      <w:color w:val="auto"/>
                      <w:szCs w:val="21"/>
                    </w:rPr>
                    <w:t>昼间</w:t>
                  </w:r>
                </w:p>
              </w:tc>
              <w:tc>
                <w:tcPr>
                  <w:tcW w:w="1368" w:type="dxa"/>
                  <w:vAlign w:val="center"/>
                </w:tcPr>
                <w:p w14:paraId="28C16D50">
                  <w:pPr>
                    <w:jc w:val="center"/>
                    <w:rPr>
                      <w:rFonts w:hint="eastAsia"/>
                      <w:color w:val="auto"/>
                      <w:szCs w:val="21"/>
                    </w:rPr>
                  </w:pPr>
                  <w:r>
                    <w:rPr>
                      <w:rFonts w:hint="eastAsia"/>
                      <w:color w:val="auto"/>
                      <w:szCs w:val="21"/>
                    </w:rPr>
                    <w:t>23.7</w:t>
                  </w:r>
                </w:p>
              </w:tc>
              <w:tc>
                <w:tcPr>
                  <w:tcW w:w="1332" w:type="dxa"/>
                  <w:vAlign w:val="center"/>
                </w:tcPr>
                <w:p w14:paraId="1F8B6BB5">
                  <w:pPr>
                    <w:jc w:val="center"/>
                    <w:rPr>
                      <w:color w:val="auto"/>
                      <w:szCs w:val="21"/>
                    </w:rPr>
                  </w:pPr>
                  <w:r>
                    <w:rPr>
                      <w:rFonts w:hint="eastAsia"/>
                      <w:color w:val="auto"/>
                      <w:szCs w:val="21"/>
                    </w:rPr>
                    <w:t>60</w:t>
                  </w:r>
                </w:p>
              </w:tc>
              <w:tc>
                <w:tcPr>
                  <w:tcW w:w="825" w:type="dxa"/>
                  <w:vAlign w:val="center"/>
                </w:tcPr>
                <w:p w14:paraId="42AFC9D5">
                  <w:pPr>
                    <w:jc w:val="center"/>
                    <w:rPr>
                      <w:color w:val="auto"/>
                      <w:szCs w:val="21"/>
                    </w:rPr>
                  </w:pPr>
                  <w:r>
                    <w:rPr>
                      <w:rFonts w:hint="eastAsia"/>
                      <w:color w:val="auto"/>
                      <w:szCs w:val="21"/>
                    </w:rPr>
                    <w:t>达标</w:t>
                  </w:r>
                </w:p>
              </w:tc>
            </w:tr>
            <w:tr w14:paraId="2761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6" w:type="dxa"/>
                  <w:vMerge w:val="continue"/>
                  <w:vAlign w:val="center"/>
                </w:tcPr>
                <w:p w14:paraId="3A0657C2">
                  <w:pPr>
                    <w:jc w:val="center"/>
                    <w:rPr>
                      <w:color w:val="auto"/>
                      <w:szCs w:val="21"/>
                    </w:rPr>
                  </w:pPr>
                </w:p>
              </w:tc>
              <w:tc>
                <w:tcPr>
                  <w:tcW w:w="940" w:type="dxa"/>
                  <w:vMerge w:val="continue"/>
                  <w:vAlign w:val="center"/>
                </w:tcPr>
                <w:p w14:paraId="20617EA0">
                  <w:pPr>
                    <w:jc w:val="center"/>
                    <w:rPr>
                      <w:color w:val="auto"/>
                      <w:szCs w:val="21"/>
                    </w:rPr>
                  </w:pPr>
                </w:p>
              </w:tc>
              <w:tc>
                <w:tcPr>
                  <w:tcW w:w="940" w:type="dxa"/>
                  <w:vMerge w:val="continue"/>
                  <w:vAlign w:val="center"/>
                </w:tcPr>
                <w:p w14:paraId="57438F19">
                  <w:pPr>
                    <w:jc w:val="center"/>
                    <w:rPr>
                      <w:color w:val="auto"/>
                      <w:szCs w:val="21"/>
                    </w:rPr>
                  </w:pPr>
                </w:p>
              </w:tc>
              <w:tc>
                <w:tcPr>
                  <w:tcW w:w="940" w:type="dxa"/>
                  <w:vMerge w:val="continue"/>
                  <w:vAlign w:val="center"/>
                </w:tcPr>
                <w:p w14:paraId="55D59D27">
                  <w:pPr>
                    <w:jc w:val="center"/>
                    <w:rPr>
                      <w:color w:val="auto"/>
                      <w:szCs w:val="21"/>
                    </w:rPr>
                  </w:pPr>
                </w:p>
              </w:tc>
              <w:tc>
                <w:tcPr>
                  <w:tcW w:w="1440" w:type="dxa"/>
                  <w:vAlign w:val="center"/>
                </w:tcPr>
                <w:p w14:paraId="7EFAD0A8">
                  <w:pPr>
                    <w:jc w:val="center"/>
                    <w:rPr>
                      <w:color w:val="auto"/>
                      <w:szCs w:val="21"/>
                    </w:rPr>
                  </w:pPr>
                  <w:r>
                    <w:rPr>
                      <w:rFonts w:hint="eastAsia"/>
                      <w:color w:val="auto"/>
                      <w:szCs w:val="21"/>
                    </w:rPr>
                    <w:t>夜间</w:t>
                  </w:r>
                </w:p>
              </w:tc>
              <w:tc>
                <w:tcPr>
                  <w:tcW w:w="1368" w:type="dxa"/>
                  <w:vAlign w:val="center"/>
                </w:tcPr>
                <w:p w14:paraId="7723C805">
                  <w:pPr>
                    <w:jc w:val="center"/>
                    <w:rPr>
                      <w:rFonts w:hint="eastAsia"/>
                      <w:color w:val="auto"/>
                      <w:szCs w:val="21"/>
                      <w:lang w:eastAsia="zh-CN"/>
                    </w:rPr>
                  </w:pPr>
                  <w:r>
                    <w:rPr>
                      <w:rFonts w:hint="eastAsia"/>
                      <w:color w:val="auto"/>
                      <w:szCs w:val="21"/>
                    </w:rPr>
                    <w:t>20.8</w:t>
                  </w:r>
                </w:p>
              </w:tc>
              <w:tc>
                <w:tcPr>
                  <w:tcW w:w="1332" w:type="dxa"/>
                  <w:vAlign w:val="center"/>
                </w:tcPr>
                <w:p w14:paraId="32BD65EC">
                  <w:pPr>
                    <w:jc w:val="center"/>
                    <w:rPr>
                      <w:color w:val="auto"/>
                      <w:szCs w:val="21"/>
                    </w:rPr>
                  </w:pPr>
                  <w:r>
                    <w:rPr>
                      <w:rFonts w:hint="eastAsia"/>
                      <w:color w:val="auto"/>
                      <w:szCs w:val="21"/>
                    </w:rPr>
                    <w:t>50</w:t>
                  </w:r>
                </w:p>
              </w:tc>
              <w:tc>
                <w:tcPr>
                  <w:tcW w:w="825" w:type="dxa"/>
                  <w:vAlign w:val="center"/>
                </w:tcPr>
                <w:p w14:paraId="26FBDD30">
                  <w:pPr>
                    <w:jc w:val="center"/>
                    <w:rPr>
                      <w:color w:val="auto"/>
                      <w:szCs w:val="21"/>
                    </w:rPr>
                  </w:pPr>
                  <w:r>
                    <w:rPr>
                      <w:rFonts w:hint="eastAsia"/>
                      <w:color w:val="auto"/>
                      <w:szCs w:val="21"/>
                    </w:rPr>
                    <w:t>达标</w:t>
                  </w:r>
                </w:p>
              </w:tc>
            </w:tr>
            <w:tr w14:paraId="06A4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71" w:type="dxa"/>
                  <w:gridSpan w:val="8"/>
                  <w:vAlign w:val="center"/>
                </w:tcPr>
                <w:p w14:paraId="5730CFE9">
                  <w:pPr>
                    <w:jc w:val="left"/>
                    <w:rPr>
                      <w:color w:val="auto"/>
                      <w:szCs w:val="21"/>
                    </w:rPr>
                  </w:pPr>
                  <w:r>
                    <w:rPr>
                      <w:rFonts w:hint="eastAsia"/>
                      <w:b/>
                      <w:bCs/>
                      <w:color w:val="auto"/>
                      <w:szCs w:val="21"/>
                    </w:rPr>
                    <w:t>注：</w:t>
                  </w:r>
                  <w:r>
                    <w:rPr>
                      <w:b/>
                      <w:bCs/>
                      <w:color w:val="auto"/>
                      <w:szCs w:val="21"/>
                    </w:rPr>
                    <w:t>表中坐标以厂界中心（</w:t>
                  </w:r>
                  <w:r>
                    <w:rPr>
                      <w:rFonts w:hint="eastAsia"/>
                      <w:b/>
                      <w:bCs/>
                      <w:color w:val="auto"/>
                      <w:szCs w:val="21"/>
                    </w:rPr>
                    <w:t>120.410827,30.768360</w:t>
                  </w:r>
                  <w:r>
                    <w:rPr>
                      <w:b/>
                      <w:bCs/>
                      <w:color w:val="auto"/>
                      <w:szCs w:val="21"/>
                    </w:rPr>
                    <w:t>）为坐标原点，正东向为X轴正方向，正北向为Y轴正方向</w:t>
                  </w:r>
                  <w:r>
                    <w:rPr>
                      <w:rFonts w:hint="eastAsia"/>
                      <w:b/>
                      <w:bCs/>
                      <w:color w:val="auto"/>
                      <w:szCs w:val="21"/>
                    </w:rPr>
                    <w:t>。</w:t>
                  </w:r>
                </w:p>
              </w:tc>
            </w:tr>
          </w:tbl>
          <w:p w14:paraId="02F073A0">
            <w:pPr>
              <w:adjustRightInd w:val="0"/>
              <w:spacing w:line="360" w:lineRule="auto"/>
              <w:ind w:firstLine="480" w:firstLineChars="200"/>
              <w:rPr>
                <w:color w:val="auto"/>
                <w:sz w:val="24"/>
              </w:rPr>
            </w:pPr>
            <w:r>
              <w:rPr>
                <w:color w:val="auto"/>
                <w:sz w:val="24"/>
              </w:rPr>
              <w:t>由上表分析可知，项目在采取墙体隔声、设备减振等降噪措施后，四周厂界的噪声</w:t>
            </w:r>
            <w:r>
              <w:rPr>
                <w:rFonts w:hint="eastAsia"/>
                <w:color w:val="auto"/>
                <w:sz w:val="24"/>
              </w:rPr>
              <w:t>及声环境保护目标</w:t>
            </w:r>
            <w:r>
              <w:rPr>
                <w:color w:val="auto"/>
                <w:sz w:val="24"/>
              </w:rPr>
              <w:t>预测贡献值均满足《工业企业厂界环境噪声排放标准》（GB12348-2008）中</w:t>
            </w:r>
            <w:r>
              <w:rPr>
                <w:rFonts w:hint="eastAsia"/>
                <w:color w:val="auto"/>
                <w:sz w:val="24"/>
              </w:rPr>
              <w:t>2</w:t>
            </w:r>
            <w:r>
              <w:rPr>
                <w:color w:val="auto"/>
                <w:sz w:val="24"/>
              </w:rPr>
              <w:t>类标准要求，项目噪声对周边声环境影响较小。</w:t>
            </w:r>
          </w:p>
          <w:p w14:paraId="5D907F50">
            <w:pPr>
              <w:spacing w:line="360" w:lineRule="auto"/>
              <w:ind w:firstLine="425"/>
              <w:rPr>
                <w:color w:val="auto"/>
                <w:sz w:val="24"/>
              </w:rPr>
            </w:pPr>
            <w:r>
              <w:rPr>
                <w:color w:val="auto"/>
                <w:sz w:val="24"/>
              </w:rPr>
              <w:t>3、环境监测等其他要求</w:t>
            </w:r>
          </w:p>
          <w:p w14:paraId="0B711721">
            <w:pPr>
              <w:adjustRightInd w:val="0"/>
              <w:spacing w:line="360" w:lineRule="auto"/>
              <w:ind w:firstLine="425"/>
              <w:rPr>
                <w:color w:val="auto"/>
                <w:sz w:val="24"/>
              </w:rPr>
            </w:pPr>
            <w:r>
              <w:rPr>
                <w:rFonts w:hint="eastAsia"/>
                <w:color w:val="auto"/>
                <w:sz w:val="24"/>
              </w:rPr>
              <w:t>项目声环境监测计划详见后续4.3环境监测计划。</w:t>
            </w:r>
          </w:p>
          <w:p w14:paraId="0C910929">
            <w:pPr>
              <w:adjustRightInd w:val="0"/>
              <w:spacing w:line="360" w:lineRule="auto"/>
              <w:ind w:firstLine="425"/>
              <w:rPr>
                <w:color w:val="auto"/>
                <w:sz w:val="24"/>
              </w:rPr>
            </w:pPr>
            <w:r>
              <w:rPr>
                <w:color w:val="auto"/>
                <w:sz w:val="24"/>
              </w:rPr>
              <w:t>为了进一步减少本项目产生的噪声对周围环境的影响，本评价建议建设单位采取以下措施：</w:t>
            </w:r>
          </w:p>
          <w:p w14:paraId="331917E7">
            <w:pPr>
              <w:adjustRightInd w:val="0"/>
              <w:spacing w:line="360" w:lineRule="auto"/>
              <w:ind w:firstLine="425"/>
              <w:rPr>
                <w:color w:val="auto"/>
                <w:sz w:val="24"/>
              </w:rPr>
            </w:pPr>
            <w:r>
              <w:rPr>
                <w:color w:val="auto"/>
                <w:sz w:val="24"/>
              </w:rPr>
              <w:t>①加强生产作业管理，相关材料轻拿轻放，避免猛烈碰撞产生的噪声；</w:t>
            </w:r>
          </w:p>
          <w:p w14:paraId="64B6C09F">
            <w:pPr>
              <w:adjustRightInd w:val="0"/>
              <w:spacing w:line="360" w:lineRule="auto"/>
              <w:ind w:firstLine="425"/>
              <w:rPr>
                <w:color w:val="auto"/>
                <w:sz w:val="24"/>
              </w:rPr>
            </w:pPr>
            <w:r>
              <w:rPr>
                <w:color w:val="auto"/>
                <w:sz w:val="24"/>
              </w:rPr>
              <w:t>②对高噪声设备在安装时注意构建减震基础，主要设备尽可能布置在车间中间区域；加强设备维护，使设备处于良好的运行状态；</w:t>
            </w:r>
          </w:p>
          <w:p w14:paraId="2D2727A8">
            <w:pPr>
              <w:adjustRightInd w:val="0"/>
              <w:spacing w:line="360" w:lineRule="auto"/>
              <w:ind w:firstLine="425"/>
              <w:rPr>
                <w:rFonts w:ascii="Times New Roman" w:hAnsi="Times New Roman" w:cs="Times New Roman"/>
                <w:color w:val="auto"/>
                <w:sz w:val="24"/>
              </w:rPr>
            </w:pPr>
            <w:r>
              <w:rPr>
                <w:color w:val="auto"/>
                <w:sz w:val="24"/>
              </w:rPr>
              <w:t>③营运期间加强管理，车间门窗应在设备运行时须关紧门窗；严格禁止将噪声较大的设备置于厂区露天或无封闭车间内加工生产。</w:t>
            </w:r>
          </w:p>
          <w:p w14:paraId="52291852">
            <w:pPr>
              <w:numPr>
                <w:ilvl w:val="0"/>
                <w:numId w:val="26"/>
              </w:numPr>
              <w:tabs>
                <w:tab w:val="left" w:pos="993"/>
                <w:tab w:val="clear" w:pos="0"/>
              </w:tabs>
              <w:adjustRightInd w:val="0"/>
              <w:spacing w:line="360" w:lineRule="auto"/>
              <w:rPr>
                <w:b/>
                <w:bCs/>
                <w:color w:val="auto"/>
                <w:sz w:val="24"/>
              </w:rPr>
            </w:pPr>
            <w:r>
              <w:rPr>
                <w:b/>
                <w:bCs/>
                <w:color w:val="auto"/>
                <w:sz w:val="24"/>
              </w:rPr>
              <w:t>固体废物</w:t>
            </w:r>
          </w:p>
          <w:p w14:paraId="0D96D5C9">
            <w:pPr>
              <w:adjustRightInd w:val="0"/>
              <w:spacing w:line="360" w:lineRule="auto"/>
              <w:ind w:firstLine="425"/>
              <w:rPr>
                <w:color w:val="auto"/>
                <w:sz w:val="24"/>
              </w:rPr>
            </w:pPr>
            <w:r>
              <w:rPr>
                <w:color w:val="auto"/>
                <w:sz w:val="24"/>
              </w:rPr>
              <w:t>1、产污环节及污染源强</w:t>
            </w:r>
          </w:p>
          <w:p w14:paraId="6E944B3F">
            <w:pPr>
              <w:adjustRightInd w:val="0"/>
              <w:spacing w:line="360" w:lineRule="auto"/>
              <w:ind w:firstLine="425"/>
              <w:rPr>
                <w:color w:val="auto"/>
                <w:sz w:val="24"/>
              </w:rPr>
            </w:pPr>
            <w:r>
              <w:rPr>
                <w:color w:val="auto"/>
                <w:sz w:val="24"/>
              </w:rPr>
              <w:t>根据工程分析，本项目的</w:t>
            </w:r>
            <w:r>
              <w:rPr>
                <w:rFonts w:hint="eastAsia"/>
                <w:color w:val="auto"/>
                <w:sz w:val="24"/>
              </w:rPr>
              <w:t>固体废物</w:t>
            </w:r>
            <w:r>
              <w:rPr>
                <w:color w:val="auto"/>
                <w:sz w:val="24"/>
              </w:rPr>
              <w:t>主要为</w:t>
            </w:r>
            <w:r>
              <w:rPr>
                <w:rFonts w:hint="eastAsia"/>
                <w:color w:val="auto"/>
                <w:sz w:val="24"/>
              </w:rPr>
              <w:t>边角料、不合格品、收集粉尘</w:t>
            </w:r>
            <w:r>
              <w:rPr>
                <w:color w:val="auto"/>
                <w:sz w:val="24"/>
              </w:rPr>
              <w:t>、</w:t>
            </w:r>
            <w:r>
              <w:rPr>
                <w:rFonts w:hint="eastAsia"/>
                <w:color w:val="auto"/>
                <w:sz w:val="24"/>
              </w:rPr>
              <w:t>一般废包装材料、废</w:t>
            </w:r>
            <w:r>
              <w:rPr>
                <w:rFonts w:hint="eastAsia"/>
                <w:color w:val="auto"/>
                <w:sz w:val="24"/>
                <w:lang w:val="en-US" w:eastAsia="zh-CN"/>
              </w:rPr>
              <w:t>液压油</w:t>
            </w:r>
            <w:r>
              <w:rPr>
                <w:rFonts w:hint="eastAsia"/>
                <w:color w:val="auto"/>
                <w:sz w:val="24"/>
              </w:rPr>
              <w:t>、废包装桶、废活性炭、含油废劳保和生活垃圾。</w:t>
            </w:r>
          </w:p>
          <w:p w14:paraId="4A1797D0">
            <w:pPr>
              <w:adjustRightInd w:val="0"/>
              <w:spacing w:line="360" w:lineRule="auto"/>
              <w:ind w:firstLine="425"/>
              <w:rPr>
                <w:color w:val="auto"/>
                <w:sz w:val="24"/>
              </w:rPr>
            </w:pPr>
            <w:r>
              <w:rPr>
                <w:color w:val="auto"/>
                <w:sz w:val="24"/>
              </w:rPr>
              <w:t>（1）</w:t>
            </w:r>
            <w:r>
              <w:rPr>
                <w:rFonts w:hint="eastAsia"/>
                <w:color w:val="auto"/>
                <w:sz w:val="24"/>
              </w:rPr>
              <w:t>一般固废</w:t>
            </w:r>
          </w:p>
          <w:p w14:paraId="0627DE02">
            <w:pPr>
              <w:adjustRightInd w:val="0"/>
              <w:spacing w:line="360" w:lineRule="auto"/>
              <w:ind w:firstLine="425"/>
              <w:rPr>
                <w:color w:val="auto"/>
                <w:sz w:val="24"/>
              </w:rPr>
            </w:pPr>
            <w:r>
              <w:rPr>
                <w:rFonts w:hint="eastAsia"/>
                <w:color w:val="auto"/>
                <w:sz w:val="24"/>
              </w:rPr>
              <w:t>①</w:t>
            </w:r>
            <w:r>
              <w:rPr>
                <w:color w:val="auto"/>
                <w:sz w:val="24"/>
              </w:rPr>
              <w:t>生活垃圾</w:t>
            </w:r>
          </w:p>
          <w:p w14:paraId="427CA53A">
            <w:pPr>
              <w:adjustRightInd w:val="0"/>
              <w:spacing w:line="360" w:lineRule="auto"/>
              <w:ind w:firstLine="425"/>
              <w:rPr>
                <w:color w:val="auto"/>
                <w:sz w:val="24"/>
              </w:rPr>
            </w:pPr>
            <w:r>
              <w:rPr>
                <w:color w:val="auto"/>
                <w:sz w:val="24"/>
              </w:rPr>
              <w:t>项目劳动定员为</w:t>
            </w:r>
            <w:r>
              <w:rPr>
                <w:rFonts w:hint="eastAsia"/>
                <w:color w:val="auto"/>
                <w:sz w:val="24"/>
              </w:rPr>
              <w:t>30</w:t>
            </w:r>
            <w:r>
              <w:rPr>
                <w:color w:val="auto"/>
                <w:sz w:val="24"/>
              </w:rPr>
              <w:t>人，生活垃圾产生量以0.5kg/人</w:t>
            </w:r>
            <w:r>
              <w:rPr>
                <w:rFonts w:hint="eastAsia"/>
                <w:color w:val="auto"/>
                <w:sz w:val="24"/>
              </w:rPr>
              <w:t>·</w:t>
            </w:r>
            <w:r>
              <w:rPr>
                <w:color w:val="auto"/>
                <w:sz w:val="24"/>
              </w:rPr>
              <w:t>天计，则生活垃圾产生量为</w:t>
            </w:r>
            <w:r>
              <w:rPr>
                <w:rFonts w:hint="eastAsia"/>
                <w:color w:val="auto"/>
                <w:sz w:val="24"/>
              </w:rPr>
              <w:t>15</w:t>
            </w:r>
            <w:r>
              <w:rPr>
                <w:color w:val="auto"/>
                <w:sz w:val="24"/>
              </w:rPr>
              <w:t>kg/d（</w:t>
            </w:r>
            <w:r>
              <w:rPr>
                <w:rFonts w:hint="eastAsia"/>
                <w:color w:val="auto"/>
                <w:sz w:val="24"/>
              </w:rPr>
              <w:t>4.5</w:t>
            </w:r>
            <w:r>
              <w:rPr>
                <w:color w:val="auto"/>
                <w:sz w:val="24"/>
              </w:rPr>
              <w:t>t/a）。统一收集于垃圾收集桶，交由环卫部门统一清理。</w:t>
            </w:r>
          </w:p>
          <w:p w14:paraId="42DB8C3E">
            <w:pPr>
              <w:adjustRightInd w:val="0"/>
              <w:spacing w:line="360" w:lineRule="auto"/>
              <w:ind w:firstLine="425"/>
              <w:rPr>
                <w:color w:val="auto"/>
                <w:sz w:val="24"/>
              </w:rPr>
            </w:pPr>
            <w:r>
              <w:rPr>
                <w:rFonts w:hint="eastAsia"/>
                <w:color w:val="auto"/>
                <w:sz w:val="24"/>
              </w:rPr>
              <w:t>②边角料、不合格品</w:t>
            </w:r>
          </w:p>
          <w:p w14:paraId="7BA00F1F">
            <w:pPr>
              <w:adjustRightInd w:val="0"/>
              <w:spacing w:line="360" w:lineRule="auto"/>
              <w:ind w:firstLine="425"/>
              <w:rPr>
                <w:rFonts w:hint="eastAsia" w:eastAsia="宋体"/>
                <w:color w:val="auto"/>
                <w:sz w:val="24"/>
                <w:lang w:val="en-US" w:eastAsia="zh-CN"/>
              </w:rPr>
            </w:pPr>
            <w:r>
              <w:rPr>
                <w:rFonts w:hint="eastAsia"/>
                <w:color w:val="auto"/>
                <w:sz w:val="24"/>
              </w:rPr>
              <w:t>本项目裁切过程中会产生边角料、检验过程中会产生不合格品。</w:t>
            </w:r>
            <w:r>
              <w:rPr>
                <w:rFonts w:hint="eastAsia"/>
                <w:color w:val="auto"/>
                <w:sz w:val="24"/>
                <w:lang w:val="en-US" w:eastAsia="zh-CN"/>
              </w:rPr>
              <w:t>根据物料衡算，本项目</w:t>
            </w:r>
            <w:r>
              <w:rPr>
                <w:rFonts w:hint="eastAsia"/>
                <w:color w:val="auto"/>
                <w:sz w:val="24"/>
              </w:rPr>
              <w:t>边角料及不合格品的产生量约为</w:t>
            </w:r>
            <w:r>
              <w:rPr>
                <w:rFonts w:hint="eastAsia"/>
                <w:color w:val="auto"/>
                <w:sz w:val="24"/>
                <w:lang w:val="en-US" w:eastAsia="zh-CN"/>
              </w:rPr>
              <w:t>121.954</w:t>
            </w:r>
            <w:r>
              <w:rPr>
                <w:rFonts w:hint="eastAsia"/>
                <w:color w:val="auto"/>
                <w:sz w:val="24"/>
              </w:rPr>
              <w:t>t/a，该部分固废</w:t>
            </w:r>
            <w:r>
              <w:rPr>
                <w:rFonts w:hint="eastAsia"/>
                <w:color w:val="auto"/>
                <w:sz w:val="24"/>
                <w:lang w:val="en-US" w:eastAsia="zh-CN"/>
              </w:rPr>
              <w:t>作为一般固废出售给回收公司综合利用。</w:t>
            </w:r>
          </w:p>
          <w:p w14:paraId="467107FB">
            <w:pPr>
              <w:adjustRightInd w:val="0"/>
              <w:spacing w:line="360" w:lineRule="auto"/>
              <w:ind w:firstLine="425"/>
              <w:rPr>
                <w:color w:val="auto"/>
                <w:sz w:val="24"/>
              </w:rPr>
            </w:pPr>
            <w:r>
              <w:rPr>
                <w:rFonts w:hint="eastAsia"/>
                <w:color w:val="auto"/>
                <w:sz w:val="24"/>
              </w:rPr>
              <w:t>③收集粉尘</w:t>
            </w:r>
          </w:p>
          <w:p w14:paraId="794BFB6D">
            <w:pPr>
              <w:adjustRightInd w:val="0"/>
              <w:spacing w:line="360" w:lineRule="auto"/>
              <w:ind w:firstLine="425"/>
              <w:rPr>
                <w:color w:val="auto"/>
                <w:sz w:val="24"/>
              </w:rPr>
            </w:pPr>
            <w:r>
              <w:rPr>
                <w:rFonts w:hint="eastAsia"/>
                <w:color w:val="auto"/>
                <w:sz w:val="24"/>
              </w:rPr>
              <w:t>本项目采用布袋除尘装置对混料粉尘进行收集处理</w:t>
            </w:r>
            <w:r>
              <w:rPr>
                <w:rFonts w:hint="eastAsia"/>
                <w:color w:val="auto"/>
                <w:sz w:val="24"/>
                <w:lang w:val="en-US" w:eastAsia="zh-CN"/>
              </w:rPr>
              <w:t>及对地面沉降粉尘进行清扫</w:t>
            </w:r>
            <w:r>
              <w:rPr>
                <w:rFonts w:hint="eastAsia"/>
                <w:color w:val="auto"/>
                <w:sz w:val="24"/>
              </w:rPr>
              <w:t>，根据上文分析，粉尘收集量约</w:t>
            </w:r>
            <w:r>
              <w:rPr>
                <w:rFonts w:hint="eastAsia"/>
                <w:color w:val="auto"/>
                <w:sz w:val="24"/>
                <w:lang w:val="en-US" w:eastAsia="zh-CN"/>
              </w:rPr>
              <w:t>37.498</w:t>
            </w:r>
            <w:r>
              <w:rPr>
                <w:rFonts w:hint="eastAsia"/>
                <w:color w:val="auto"/>
                <w:sz w:val="24"/>
              </w:rPr>
              <w:t>t/a，本项目收集粉尘回用于生产。</w:t>
            </w:r>
          </w:p>
          <w:p w14:paraId="72F97D3B">
            <w:pPr>
              <w:adjustRightInd w:val="0"/>
              <w:spacing w:line="360" w:lineRule="auto"/>
              <w:ind w:firstLine="425"/>
              <w:rPr>
                <w:color w:val="auto"/>
                <w:sz w:val="24"/>
              </w:rPr>
            </w:pPr>
            <w:r>
              <w:rPr>
                <w:rFonts w:hint="eastAsia"/>
                <w:color w:val="auto"/>
                <w:sz w:val="24"/>
              </w:rPr>
              <w:t>④一般废包装材料</w:t>
            </w:r>
          </w:p>
          <w:p w14:paraId="68462B5B">
            <w:pPr>
              <w:adjustRightInd w:val="0"/>
              <w:spacing w:line="360" w:lineRule="auto"/>
              <w:ind w:firstLine="425"/>
              <w:rPr>
                <w:color w:val="auto"/>
                <w:sz w:val="24"/>
              </w:rPr>
            </w:pPr>
            <w:r>
              <w:rPr>
                <w:rFonts w:hint="eastAsia"/>
                <w:color w:val="auto"/>
                <w:sz w:val="24"/>
              </w:rPr>
              <w:t>本项目PVC、钙粉、钙锌稳定剂等原辅料使用后会产生废包装袋，本项目袋装原辅料的规格为25kg/袋，项目袋装原辅料的的用量为</w:t>
            </w:r>
            <w:r>
              <w:rPr>
                <w:rFonts w:hint="eastAsia"/>
                <w:color w:val="auto"/>
                <w:sz w:val="24"/>
                <w:lang w:val="en-US" w:eastAsia="zh-CN"/>
              </w:rPr>
              <w:t>6624</w:t>
            </w:r>
            <w:r>
              <w:rPr>
                <w:rFonts w:hint="eastAsia"/>
                <w:color w:val="auto"/>
                <w:sz w:val="24"/>
              </w:rPr>
              <w:t>t/a，则废包装袋的年产生量为</w:t>
            </w:r>
            <w:r>
              <w:rPr>
                <w:rFonts w:hint="eastAsia"/>
                <w:color w:val="auto"/>
                <w:sz w:val="24"/>
                <w:lang w:val="en-US" w:eastAsia="zh-CN"/>
              </w:rPr>
              <w:t>264960</w:t>
            </w:r>
            <w:r>
              <w:rPr>
                <w:rFonts w:hint="eastAsia"/>
                <w:color w:val="auto"/>
                <w:sz w:val="24"/>
              </w:rPr>
              <w:t>个，每个包装袋按0.1kg计算，则一般废包装材料的产生量约为</w:t>
            </w:r>
            <w:r>
              <w:rPr>
                <w:rFonts w:hint="eastAsia"/>
                <w:color w:val="auto"/>
                <w:sz w:val="24"/>
                <w:lang w:val="en-US" w:eastAsia="zh-CN"/>
              </w:rPr>
              <w:t>26.496</w:t>
            </w:r>
            <w:r>
              <w:rPr>
                <w:rFonts w:hint="eastAsia"/>
                <w:color w:val="auto"/>
                <w:sz w:val="24"/>
              </w:rPr>
              <w:t>t/a。</w:t>
            </w:r>
          </w:p>
          <w:p w14:paraId="66FA23B0">
            <w:pPr>
              <w:adjustRightInd w:val="0"/>
              <w:spacing w:line="360" w:lineRule="auto"/>
              <w:ind w:firstLine="425"/>
              <w:rPr>
                <w:color w:val="auto"/>
                <w:sz w:val="24"/>
              </w:rPr>
            </w:pPr>
            <w:r>
              <w:rPr>
                <w:rFonts w:hint="eastAsia"/>
                <w:color w:val="auto"/>
                <w:sz w:val="24"/>
              </w:rPr>
              <w:t>（2）危险废物</w:t>
            </w:r>
          </w:p>
          <w:p w14:paraId="25380AC7">
            <w:pPr>
              <w:adjustRightInd w:val="0"/>
              <w:spacing w:line="360" w:lineRule="auto"/>
              <w:ind w:firstLine="425"/>
              <w:rPr>
                <w:rFonts w:hint="eastAsia" w:eastAsia="宋体"/>
                <w:color w:val="auto"/>
                <w:sz w:val="24"/>
                <w:lang w:eastAsia="zh-CN"/>
              </w:rPr>
            </w:pPr>
            <w:r>
              <w:rPr>
                <w:rFonts w:hint="eastAsia"/>
                <w:color w:val="auto"/>
                <w:sz w:val="24"/>
              </w:rPr>
              <w:t>①废</w:t>
            </w:r>
            <w:r>
              <w:rPr>
                <w:rFonts w:hint="eastAsia"/>
                <w:color w:val="auto"/>
                <w:sz w:val="24"/>
                <w:lang w:val="en-US" w:eastAsia="zh-CN"/>
              </w:rPr>
              <w:t>液压油</w:t>
            </w:r>
          </w:p>
          <w:p w14:paraId="72024716">
            <w:pPr>
              <w:adjustRightInd w:val="0"/>
              <w:spacing w:line="360" w:lineRule="auto"/>
              <w:ind w:firstLine="425"/>
              <w:rPr>
                <w:color w:val="auto"/>
                <w:sz w:val="24"/>
              </w:rPr>
            </w:pPr>
            <w:r>
              <w:rPr>
                <w:rFonts w:hint="eastAsia"/>
                <w:color w:val="auto"/>
                <w:sz w:val="24"/>
              </w:rPr>
              <w:t>项目设备检修过程会产生少量废</w:t>
            </w:r>
            <w:r>
              <w:rPr>
                <w:rFonts w:hint="eastAsia"/>
                <w:color w:val="auto"/>
                <w:sz w:val="24"/>
                <w:lang w:val="en-US" w:eastAsia="zh-CN"/>
              </w:rPr>
              <w:t>液压油</w:t>
            </w:r>
            <w:r>
              <w:rPr>
                <w:rFonts w:hint="eastAsia"/>
                <w:color w:val="auto"/>
                <w:sz w:val="24"/>
              </w:rPr>
              <w:t>，产生量约0.</w:t>
            </w:r>
            <w:r>
              <w:rPr>
                <w:rFonts w:hint="eastAsia"/>
                <w:color w:val="auto"/>
                <w:sz w:val="24"/>
                <w:lang w:val="en-US" w:eastAsia="zh-CN"/>
              </w:rPr>
              <w:t>2</w:t>
            </w:r>
            <w:r>
              <w:rPr>
                <w:rFonts w:hint="eastAsia"/>
                <w:color w:val="auto"/>
                <w:sz w:val="24"/>
              </w:rPr>
              <w:t>t/a，暂存于危废暂存库委托有资质单位清运处理。</w:t>
            </w:r>
          </w:p>
          <w:p w14:paraId="5C6E0C2E">
            <w:pPr>
              <w:adjustRightInd w:val="0"/>
              <w:spacing w:line="360" w:lineRule="auto"/>
              <w:ind w:firstLine="425"/>
              <w:rPr>
                <w:color w:val="auto"/>
                <w:sz w:val="24"/>
              </w:rPr>
            </w:pPr>
            <w:r>
              <w:rPr>
                <w:rFonts w:hint="eastAsia"/>
                <w:color w:val="auto"/>
                <w:sz w:val="24"/>
              </w:rPr>
              <w:t>②废包装桶</w:t>
            </w:r>
          </w:p>
          <w:p w14:paraId="04D61DDA">
            <w:pPr>
              <w:adjustRightInd w:val="0"/>
              <w:spacing w:line="360" w:lineRule="auto"/>
              <w:ind w:firstLine="425"/>
              <w:rPr>
                <w:color w:val="auto"/>
                <w:sz w:val="24"/>
              </w:rPr>
            </w:pPr>
            <w:r>
              <w:rPr>
                <w:rFonts w:hint="eastAsia"/>
                <w:color w:val="auto"/>
                <w:sz w:val="24"/>
              </w:rPr>
              <w:t>项目</w:t>
            </w:r>
            <w:r>
              <w:rPr>
                <w:rFonts w:hint="eastAsia"/>
                <w:color w:val="auto"/>
                <w:sz w:val="24"/>
                <w:lang w:val="en-US" w:eastAsia="zh-CN"/>
              </w:rPr>
              <w:t>液压油</w:t>
            </w:r>
            <w:r>
              <w:rPr>
                <w:rFonts w:hint="eastAsia"/>
                <w:color w:val="auto"/>
                <w:sz w:val="24"/>
              </w:rPr>
              <w:t>使用后会产生废包装桶，本项目</w:t>
            </w:r>
            <w:r>
              <w:rPr>
                <w:rFonts w:hint="eastAsia"/>
                <w:color w:val="auto"/>
                <w:sz w:val="24"/>
                <w:lang w:val="en-US" w:eastAsia="zh-CN"/>
              </w:rPr>
              <w:t>液压油</w:t>
            </w:r>
            <w:r>
              <w:rPr>
                <w:rFonts w:hint="eastAsia"/>
                <w:color w:val="auto"/>
                <w:sz w:val="24"/>
              </w:rPr>
              <w:t>的使用量约0.5t/a，包装规格为200kg/桶，则废包装桶的产生量约为3个/年。每个包装桶的重量约为20kg，则废包装桶的产生量约为0.06t/a。</w:t>
            </w:r>
          </w:p>
          <w:p w14:paraId="2543DF35">
            <w:pPr>
              <w:adjustRightInd w:val="0"/>
              <w:spacing w:line="360" w:lineRule="auto"/>
              <w:ind w:firstLine="425"/>
              <w:rPr>
                <w:color w:val="auto"/>
                <w:sz w:val="24"/>
              </w:rPr>
            </w:pPr>
            <w:r>
              <w:rPr>
                <w:rFonts w:hint="eastAsia"/>
                <w:color w:val="auto"/>
                <w:sz w:val="24"/>
              </w:rPr>
              <w:t>③废活性炭</w:t>
            </w:r>
          </w:p>
          <w:p w14:paraId="37D6B1C5">
            <w:pPr>
              <w:adjustRightInd w:val="0"/>
              <w:spacing w:line="360" w:lineRule="auto"/>
              <w:ind w:firstLine="425"/>
              <w:rPr>
                <w:color w:val="auto"/>
                <w:sz w:val="24"/>
              </w:rPr>
            </w:pPr>
            <w:r>
              <w:rPr>
                <w:color w:val="auto"/>
                <w:sz w:val="24"/>
              </w:rPr>
              <w:t>项目通过活性炭吸附对VOCs的削减量为</w:t>
            </w:r>
            <w:r>
              <w:rPr>
                <w:rFonts w:hint="eastAsia"/>
                <w:color w:val="auto"/>
                <w:sz w:val="24"/>
                <w:lang w:val="en-US" w:eastAsia="zh-CN"/>
              </w:rPr>
              <w:t>0.957</w:t>
            </w:r>
            <w:r>
              <w:rPr>
                <w:color w:val="auto"/>
                <w:sz w:val="24"/>
              </w:rPr>
              <w:t>t/a，根据《浙江省分散吸附-集中再生活性炭法挥发性有机物治理体系建设技术指南（试行）》，吸附率按15%计算，则项目废活性炭产生量约为</w:t>
            </w:r>
            <w:r>
              <w:rPr>
                <w:rFonts w:hint="eastAsia"/>
                <w:color w:val="auto"/>
                <w:sz w:val="24"/>
                <w:lang w:val="en-US" w:eastAsia="zh-CN"/>
              </w:rPr>
              <w:t>6.38</w:t>
            </w:r>
            <w:r>
              <w:rPr>
                <w:color w:val="auto"/>
                <w:sz w:val="24"/>
              </w:rPr>
              <w:t>t/a。要求项目活性炭采用碘值不低于800mg/g的颗粒活性炭作为吸附剂。</w:t>
            </w:r>
            <w:r>
              <w:rPr>
                <w:rFonts w:hint="eastAsia"/>
                <w:color w:val="auto"/>
                <w:sz w:val="24"/>
              </w:rPr>
              <w:t>考虑到本项目VOCs初始浓度＜200mg/Nm</w:t>
            </w:r>
            <w:r>
              <w:rPr>
                <w:rFonts w:hint="eastAsia"/>
                <w:color w:val="auto"/>
                <w:sz w:val="24"/>
                <w:vertAlign w:val="superscript"/>
              </w:rPr>
              <w:t>3</w:t>
            </w:r>
            <w:r>
              <w:rPr>
                <w:rFonts w:hint="eastAsia"/>
                <w:color w:val="auto"/>
                <w:sz w:val="24"/>
              </w:rPr>
              <w:t>，风量为</w:t>
            </w:r>
            <w:r>
              <w:rPr>
                <w:rFonts w:hint="eastAsia"/>
                <w:color w:val="auto"/>
                <w:sz w:val="24"/>
                <w:lang w:val="en-US" w:eastAsia="zh-CN"/>
              </w:rPr>
              <w:t>6</w:t>
            </w:r>
            <w:r>
              <w:rPr>
                <w:rFonts w:hint="eastAsia"/>
                <w:color w:val="auto"/>
                <w:sz w:val="24"/>
              </w:rPr>
              <w:t>000</w:t>
            </w:r>
            <w:r>
              <w:rPr>
                <w:color w:val="auto"/>
                <w:sz w:val="24"/>
              </w:rPr>
              <w:t>m</w:t>
            </w:r>
            <w:r>
              <w:rPr>
                <w:color w:val="auto"/>
                <w:sz w:val="24"/>
                <w:vertAlign w:val="superscript"/>
              </w:rPr>
              <w:t>3</w:t>
            </w:r>
            <w:r>
              <w:rPr>
                <w:color w:val="auto"/>
                <w:sz w:val="24"/>
              </w:rPr>
              <w:t>/h</w:t>
            </w:r>
            <w:r>
              <w:rPr>
                <w:rFonts w:hint="eastAsia"/>
                <w:color w:val="auto"/>
                <w:sz w:val="24"/>
              </w:rPr>
              <w:t>，</w:t>
            </w:r>
            <w:r>
              <w:rPr>
                <w:rFonts w:hint="eastAsia"/>
                <w:color w:val="auto"/>
                <w:sz w:val="24"/>
                <w:lang w:val="en-US" w:eastAsia="zh-CN"/>
              </w:rPr>
              <w:t>故要求活性炭吸附装置活性炭最少装填量为1吨，本项目两级活性炭吸附装置考虑填装量2吨</w:t>
            </w:r>
            <w:r>
              <w:rPr>
                <w:color w:val="auto"/>
                <w:sz w:val="24"/>
              </w:rPr>
              <w:t>，</w:t>
            </w:r>
            <w:r>
              <w:rPr>
                <w:rFonts w:hint="eastAsia"/>
                <w:color w:val="auto"/>
                <w:sz w:val="24"/>
                <w:lang w:val="en-US" w:eastAsia="zh-CN"/>
              </w:rPr>
              <w:t>建议每3个月更换一次（4次/年）</w:t>
            </w:r>
            <w:r>
              <w:rPr>
                <w:rFonts w:hint="eastAsia"/>
                <w:color w:val="auto"/>
                <w:sz w:val="24"/>
              </w:rPr>
              <w:t>，则活性炭的年更换量约为</w:t>
            </w:r>
            <w:r>
              <w:rPr>
                <w:rFonts w:hint="eastAsia"/>
                <w:color w:val="auto"/>
                <w:sz w:val="24"/>
                <w:lang w:val="en-US" w:eastAsia="zh-CN"/>
              </w:rPr>
              <w:t>8</w:t>
            </w:r>
            <w:r>
              <w:rPr>
                <w:rFonts w:hint="eastAsia"/>
                <w:color w:val="auto"/>
                <w:sz w:val="24"/>
              </w:rPr>
              <w:t>t/a</w:t>
            </w:r>
            <w:r>
              <w:rPr>
                <w:rFonts w:hint="eastAsia"/>
                <w:color w:val="auto"/>
                <w:sz w:val="24"/>
                <w:lang w:eastAsia="zh-CN"/>
              </w:rPr>
              <w:t>，</w:t>
            </w:r>
            <w:r>
              <w:rPr>
                <w:rFonts w:hint="eastAsia"/>
                <w:color w:val="auto"/>
                <w:sz w:val="24"/>
                <w:lang w:val="en-US" w:eastAsia="zh-CN"/>
              </w:rPr>
              <w:t>则</w:t>
            </w:r>
            <w:r>
              <w:rPr>
                <w:rFonts w:hint="eastAsia"/>
                <w:color w:val="auto"/>
                <w:sz w:val="24"/>
              </w:rPr>
              <w:t>废活性炭的产生量约为</w:t>
            </w:r>
            <w:r>
              <w:rPr>
                <w:rFonts w:hint="eastAsia"/>
                <w:color w:val="auto"/>
                <w:sz w:val="24"/>
                <w:lang w:val="en-US" w:eastAsia="zh-CN"/>
              </w:rPr>
              <w:t>8.957</w:t>
            </w:r>
            <w:r>
              <w:rPr>
                <w:rFonts w:hint="eastAsia"/>
                <w:color w:val="auto"/>
                <w:sz w:val="24"/>
              </w:rPr>
              <w:t>t/a（含有机废气）</w:t>
            </w:r>
            <w:r>
              <w:rPr>
                <w:color w:val="auto"/>
                <w:sz w:val="24"/>
              </w:rPr>
              <w:t>。</w:t>
            </w:r>
          </w:p>
          <w:p w14:paraId="18F1F762">
            <w:pPr>
              <w:adjustRightInd w:val="0"/>
              <w:spacing w:line="360" w:lineRule="auto"/>
              <w:ind w:firstLine="425"/>
              <w:rPr>
                <w:rFonts w:hint="default" w:eastAsia="宋体"/>
                <w:color w:val="auto"/>
                <w:sz w:val="24"/>
                <w:lang w:val="en-US" w:eastAsia="zh-CN"/>
              </w:rPr>
            </w:pPr>
            <w:r>
              <w:rPr>
                <w:rFonts w:hint="eastAsia"/>
                <w:color w:val="auto"/>
                <w:sz w:val="24"/>
                <w:lang w:val="en-US" w:eastAsia="zh-CN"/>
              </w:rPr>
              <w:t>综上，本项目废活性炭的产生量为8.957t/a。</w:t>
            </w:r>
          </w:p>
          <w:p w14:paraId="426EB147">
            <w:pPr>
              <w:adjustRightInd w:val="0"/>
              <w:spacing w:line="360" w:lineRule="auto"/>
              <w:ind w:firstLine="425"/>
              <w:rPr>
                <w:color w:val="auto"/>
                <w:sz w:val="24"/>
              </w:rPr>
            </w:pPr>
            <w:r>
              <w:rPr>
                <w:rFonts w:hint="eastAsia"/>
                <w:color w:val="auto"/>
                <w:sz w:val="24"/>
              </w:rPr>
              <w:t>④含油废劳保</w:t>
            </w:r>
          </w:p>
          <w:p w14:paraId="2B93BB0C">
            <w:pPr>
              <w:adjustRightInd w:val="0"/>
              <w:spacing w:line="360" w:lineRule="auto"/>
              <w:ind w:firstLine="425"/>
              <w:rPr>
                <w:color w:val="auto"/>
                <w:sz w:val="24"/>
              </w:rPr>
            </w:pPr>
            <w:r>
              <w:rPr>
                <w:rFonts w:hint="eastAsia"/>
                <w:color w:val="auto"/>
                <w:sz w:val="24"/>
              </w:rPr>
              <w:t>本项目在生产及设备维护过程中会产生少量含油废劳保，产生量约0.05t/a。</w:t>
            </w:r>
          </w:p>
          <w:p w14:paraId="5D7B956C">
            <w:pPr>
              <w:adjustRightInd w:val="0"/>
              <w:spacing w:line="360" w:lineRule="auto"/>
              <w:ind w:firstLine="425"/>
              <w:rPr>
                <w:color w:val="auto"/>
                <w:sz w:val="24"/>
              </w:rPr>
            </w:pPr>
            <w:r>
              <w:rPr>
                <w:rFonts w:hint="eastAsia"/>
                <w:color w:val="auto"/>
                <w:sz w:val="24"/>
              </w:rPr>
              <w:t>2、固废属性判定</w:t>
            </w:r>
          </w:p>
          <w:p w14:paraId="692036CF">
            <w:pPr>
              <w:adjustRightInd w:val="0"/>
              <w:spacing w:line="360" w:lineRule="auto"/>
              <w:ind w:firstLine="425"/>
              <w:rPr>
                <w:rFonts w:hint="eastAsia"/>
                <w:color w:val="auto"/>
                <w:sz w:val="24"/>
              </w:rPr>
            </w:pPr>
            <w:r>
              <w:rPr>
                <w:rFonts w:hint="eastAsia"/>
                <w:color w:val="auto"/>
                <w:sz w:val="24"/>
              </w:rPr>
              <w:t>本项目固废属性判定见下表。</w:t>
            </w:r>
          </w:p>
          <w:p w14:paraId="13E39698">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本项目固废属性判定</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872"/>
              <w:gridCol w:w="1380"/>
              <w:gridCol w:w="1035"/>
              <w:gridCol w:w="1353"/>
              <w:gridCol w:w="1182"/>
              <w:gridCol w:w="1268"/>
            </w:tblGrid>
            <w:tr w14:paraId="03D4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1D14EE35">
                  <w:pPr>
                    <w:jc w:val="center"/>
                    <w:rPr>
                      <w:color w:val="auto"/>
                      <w:sz w:val="24"/>
                    </w:rPr>
                  </w:pPr>
                  <w:r>
                    <w:rPr>
                      <w:color w:val="auto"/>
                      <w:kern w:val="0"/>
                      <w:szCs w:val="21"/>
                    </w:rPr>
                    <w:t>序号</w:t>
                  </w:r>
                </w:p>
              </w:tc>
              <w:tc>
                <w:tcPr>
                  <w:tcW w:w="1872" w:type="dxa"/>
                  <w:vAlign w:val="center"/>
                </w:tcPr>
                <w:p w14:paraId="47032871">
                  <w:pPr>
                    <w:jc w:val="center"/>
                    <w:rPr>
                      <w:color w:val="auto"/>
                      <w:sz w:val="24"/>
                    </w:rPr>
                  </w:pPr>
                  <w:r>
                    <w:rPr>
                      <w:color w:val="auto"/>
                      <w:kern w:val="0"/>
                      <w:szCs w:val="21"/>
                    </w:rPr>
                    <w:t>废物名称</w:t>
                  </w:r>
                </w:p>
              </w:tc>
              <w:tc>
                <w:tcPr>
                  <w:tcW w:w="1380" w:type="dxa"/>
                  <w:vAlign w:val="center"/>
                </w:tcPr>
                <w:p w14:paraId="5F3351F0">
                  <w:pPr>
                    <w:jc w:val="center"/>
                    <w:rPr>
                      <w:color w:val="auto"/>
                      <w:sz w:val="24"/>
                    </w:rPr>
                  </w:pPr>
                  <w:r>
                    <w:rPr>
                      <w:color w:val="auto"/>
                      <w:kern w:val="0"/>
                      <w:szCs w:val="21"/>
                    </w:rPr>
                    <w:t>产生工序</w:t>
                  </w:r>
                </w:p>
              </w:tc>
              <w:tc>
                <w:tcPr>
                  <w:tcW w:w="1035" w:type="dxa"/>
                  <w:vAlign w:val="center"/>
                </w:tcPr>
                <w:p w14:paraId="4EDB4AB0">
                  <w:pPr>
                    <w:jc w:val="center"/>
                    <w:rPr>
                      <w:color w:val="auto"/>
                      <w:sz w:val="24"/>
                    </w:rPr>
                  </w:pPr>
                  <w:r>
                    <w:rPr>
                      <w:color w:val="auto"/>
                      <w:kern w:val="0"/>
                      <w:szCs w:val="21"/>
                    </w:rPr>
                    <w:t>形态</w:t>
                  </w:r>
                </w:p>
              </w:tc>
              <w:tc>
                <w:tcPr>
                  <w:tcW w:w="1353" w:type="dxa"/>
                  <w:vAlign w:val="center"/>
                </w:tcPr>
                <w:p w14:paraId="4DCD2E5C">
                  <w:pPr>
                    <w:jc w:val="center"/>
                    <w:rPr>
                      <w:color w:val="auto"/>
                      <w:sz w:val="24"/>
                    </w:rPr>
                  </w:pPr>
                  <w:r>
                    <w:rPr>
                      <w:color w:val="auto"/>
                      <w:kern w:val="0"/>
                      <w:szCs w:val="21"/>
                    </w:rPr>
                    <w:t>主要成分</w:t>
                  </w:r>
                </w:p>
              </w:tc>
              <w:tc>
                <w:tcPr>
                  <w:tcW w:w="1182" w:type="dxa"/>
                  <w:vAlign w:val="center"/>
                </w:tcPr>
                <w:p w14:paraId="537852E4">
                  <w:pPr>
                    <w:jc w:val="center"/>
                    <w:rPr>
                      <w:color w:val="auto"/>
                      <w:sz w:val="24"/>
                    </w:rPr>
                  </w:pPr>
                  <w:r>
                    <w:rPr>
                      <w:color w:val="auto"/>
                      <w:kern w:val="0"/>
                      <w:szCs w:val="21"/>
                    </w:rPr>
                    <w:t>是否属于固废</w:t>
                  </w:r>
                </w:p>
              </w:tc>
              <w:tc>
                <w:tcPr>
                  <w:tcW w:w="1268" w:type="dxa"/>
                  <w:vAlign w:val="center"/>
                </w:tcPr>
                <w:p w14:paraId="4A10DC01">
                  <w:pPr>
                    <w:jc w:val="center"/>
                    <w:rPr>
                      <w:color w:val="auto"/>
                      <w:sz w:val="24"/>
                    </w:rPr>
                  </w:pPr>
                  <w:r>
                    <w:rPr>
                      <w:color w:val="auto"/>
                      <w:kern w:val="0"/>
                      <w:szCs w:val="21"/>
                    </w:rPr>
                    <w:t>判定依据</w:t>
                  </w:r>
                </w:p>
              </w:tc>
            </w:tr>
            <w:tr w14:paraId="382D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1B25B0AD">
                  <w:pPr>
                    <w:jc w:val="center"/>
                    <w:rPr>
                      <w:color w:val="auto"/>
                      <w:sz w:val="24"/>
                    </w:rPr>
                  </w:pPr>
                  <w:r>
                    <w:rPr>
                      <w:rFonts w:hint="eastAsia"/>
                      <w:color w:val="auto"/>
                      <w:szCs w:val="21"/>
                    </w:rPr>
                    <w:t>1</w:t>
                  </w:r>
                </w:p>
              </w:tc>
              <w:tc>
                <w:tcPr>
                  <w:tcW w:w="1872" w:type="dxa"/>
                  <w:vAlign w:val="center"/>
                </w:tcPr>
                <w:p w14:paraId="0FF7A109">
                  <w:pPr>
                    <w:jc w:val="center"/>
                    <w:rPr>
                      <w:color w:val="auto"/>
                      <w:sz w:val="24"/>
                    </w:rPr>
                  </w:pPr>
                  <w:r>
                    <w:rPr>
                      <w:rFonts w:hint="eastAsia"/>
                      <w:color w:val="auto"/>
                      <w:szCs w:val="21"/>
                    </w:rPr>
                    <w:t>边角料、不合格品</w:t>
                  </w:r>
                </w:p>
              </w:tc>
              <w:tc>
                <w:tcPr>
                  <w:tcW w:w="1380" w:type="dxa"/>
                  <w:vAlign w:val="center"/>
                </w:tcPr>
                <w:p w14:paraId="29E994FC">
                  <w:pPr>
                    <w:jc w:val="center"/>
                    <w:rPr>
                      <w:color w:val="auto"/>
                      <w:sz w:val="24"/>
                    </w:rPr>
                  </w:pPr>
                  <w:r>
                    <w:rPr>
                      <w:rFonts w:hint="eastAsia"/>
                      <w:color w:val="auto"/>
                    </w:rPr>
                    <w:t>裁切、检验</w:t>
                  </w:r>
                </w:p>
              </w:tc>
              <w:tc>
                <w:tcPr>
                  <w:tcW w:w="1035" w:type="dxa"/>
                  <w:vAlign w:val="center"/>
                </w:tcPr>
                <w:p w14:paraId="010562AA">
                  <w:pPr>
                    <w:jc w:val="center"/>
                    <w:rPr>
                      <w:color w:val="auto"/>
                      <w:sz w:val="24"/>
                    </w:rPr>
                  </w:pPr>
                  <w:r>
                    <w:rPr>
                      <w:rFonts w:hint="eastAsia"/>
                      <w:color w:val="auto"/>
                      <w:szCs w:val="21"/>
                    </w:rPr>
                    <w:t>固态</w:t>
                  </w:r>
                </w:p>
              </w:tc>
              <w:tc>
                <w:tcPr>
                  <w:tcW w:w="1353" w:type="dxa"/>
                  <w:vAlign w:val="center"/>
                </w:tcPr>
                <w:p w14:paraId="46A6C270">
                  <w:pPr>
                    <w:jc w:val="center"/>
                    <w:rPr>
                      <w:color w:val="auto"/>
                      <w:sz w:val="24"/>
                    </w:rPr>
                  </w:pPr>
                  <w:r>
                    <w:rPr>
                      <w:rFonts w:hint="eastAsia"/>
                      <w:color w:val="auto"/>
                    </w:rPr>
                    <w:t>边角料</w:t>
                  </w:r>
                </w:p>
              </w:tc>
              <w:tc>
                <w:tcPr>
                  <w:tcW w:w="1182" w:type="dxa"/>
                  <w:vAlign w:val="center"/>
                </w:tcPr>
                <w:p w14:paraId="067E22C0">
                  <w:pPr>
                    <w:jc w:val="center"/>
                    <w:rPr>
                      <w:color w:val="auto"/>
                      <w:sz w:val="24"/>
                    </w:rPr>
                  </w:pPr>
                  <w:r>
                    <w:rPr>
                      <w:rFonts w:hint="eastAsia"/>
                      <w:color w:val="auto"/>
                      <w:kern w:val="0"/>
                      <w:szCs w:val="21"/>
                    </w:rPr>
                    <w:t>是</w:t>
                  </w:r>
                </w:p>
              </w:tc>
              <w:tc>
                <w:tcPr>
                  <w:tcW w:w="1268" w:type="dxa"/>
                  <w:vAlign w:val="center"/>
                </w:tcPr>
                <w:p w14:paraId="3007D972">
                  <w:pPr>
                    <w:jc w:val="center"/>
                    <w:rPr>
                      <w:rFonts w:hint="eastAsia" w:eastAsia="宋体"/>
                      <w:color w:val="auto"/>
                      <w:sz w:val="24"/>
                      <w:lang w:eastAsia="zh-CN"/>
                    </w:rPr>
                  </w:pPr>
                  <w:r>
                    <w:rPr>
                      <w:color w:val="auto"/>
                      <w:kern w:val="0"/>
                      <w:szCs w:val="21"/>
                    </w:rPr>
                    <w:t>4.1</w:t>
                  </w:r>
                  <w:r>
                    <w:rPr>
                      <w:rFonts w:hint="eastAsia"/>
                      <w:color w:val="auto"/>
                      <w:kern w:val="0"/>
                      <w:szCs w:val="21"/>
                      <w:lang w:val="en-US" w:eastAsia="zh-CN"/>
                    </w:rPr>
                    <w:t>f</w:t>
                  </w:r>
                </w:p>
              </w:tc>
            </w:tr>
            <w:tr w14:paraId="509C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4E058C56">
                  <w:pPr>
                    <w:jc w:val="center"/>
                    <w:rPr>
                      <w:color w:val="auto"/>
                      <w:sz w:val="24"/>
                    </w:rPr>
                  </w:pPr>
                  <w:r>
                    <w:rPr>
                      <w:rFonts w:hint="eastAsia"/>
                      <w:color w:val="auto"/>
                      <w:szCs w:val="21"/>
                    </w:rPr>
                    <w:t>2</w:t>
                  </w:r>
                </w:p>
              </w:tc>
              <w:tc>
                <w:tcPr>
                  <w:tcW w:w="1872" w:type="dxa"/>
                  <w:vAlign w:val="center"/>
                </w:tcPr>
                <w:p w14:paraId="45E5AC90">
                  <w:pPr>
                    <w:jc w:val="center"/>
                    <w:rPr>
                      <w:color w:val="auto"/>
                      <w:sz w:val="24"/>
                    </w:rPr>
                  </w:pPr>
                  <w:r>
                    <w:rPr>
                      <w:rFonts w:hint="eastAsia"/>
                      <w:color w:val="auto"/>
                      <w:szCs w:val="21"/>
                    </w:rPr>
                    <w:t>收集粉尘</w:t>
                  </w:r>
                </w:p>
              </w:tc>
              <w:tc>
                <w:tcPr>
                  <w:tcW w:w="1380" w:type="dxa"/>
                  <w:vAlign w:val="center"/>
                </w:tcPr>
                <w:p w14:paraId="1719EAAE">
                  <w:pPr>
                    <w:jc w:val="center"/>
                    <w:rPr>
                      <w:color w:val="auto"/>
                      <w:sz w:val="24"/>
                    </w:rPr>
                  </w:pPr>
                  <w:r>
                    <w:rPr>
                      <w:rFonts w:hint="eastAsia"/>
                      <w:color w:val="auto"/>
                    </w:rPr>
                    <w:t>废气处理</w:t>
                  </w:r>
                </w:p>
              </w:tc>
              <w:tc>
                <w:tcPr>
                  <w:tcW w:w="1035" w:type="dxa"/>
                  <w:vAlign w:val="center"/>
                </w:tcPr>
                <w:p w14:paraId="584CCAEF">
                  <w:pPr>
                    <w:jc w:val="center"/>
                    <w:rPr>
                      <w:color w:val="auto"/>
                      <w:sz w:val="24"/>
                    </w:rPr>
                  </w:pPr>
                  <w:r>
                    <w:rPr>
                      <w:rFonts w:hint="eastAsia"/>
                      <w:color w:val="auto"/>
                      <w:szCs w:val="21"/>
                    </w:rPr>
                    <w:t>固态</w:t>
                  </w:r>
                </w:p>
              </w:tc>
              <w:tc>
                <w:tcPr>
                  <w:tcW w:w="1353" w:type="dxa"/>
                  <w:vAlign w:val="center"/>
                </w:tcPr>
                <w:p w14:paraId="151215BC">
                  <w:pPr>
                    <w:jc w:val="center"/>
                    <w:rPr>
                      <w:color w:val="auto"/>
                      <w:sz w:val="24"/>
                    </w:rPr>
                  </w:pPr>
                  <w:r>
                    <w:rPr>
                      <w:rFonts w:hint="eastAsia"/>
                      <w:color w:val="auto"/>
                    </w:rPr>
                    <w:t>混料粉尘</w:t>
                  </w:r>
                </w:p>
              </w:tc>
              <w:tc>
                <w:tcPr>
                  <w:tcW w:w="1182" w:type="dxa"/>
                  <w:vAlign w:val="center"/>
                </w:tcPr>
                <w:p w14:paraId="71D877C7">
                  <w:pPr>
                    <w:jc w:val="center"/>
                    <w:rPr>
                      <w:color w:val="auto"/>
                      <w:sz w:val="24"/>
                    </w:rPr>
                  </w:pPr>
                  <w:r>
                    <w:rPr>
                      <w:rFonts w:hint="eastAsia"/>
                      <w:color w:val="auto"/>
                      <w:kern w:val="0"/>
                      <w:szCs w:val="21"/>
                    </w:rPr>
                    <w:t>是</w:t>
                  </w:r>
                </w:p>
              </w:tc>
              <w:tc>
                <w:tcPr>
                  <w:tcW w:w="1268" w:type="dxa"/>
                  <w:vAlign w:val="center"/>
                </w:tcPr>
                <w:p w14:paraId="18780D20">
                  <w:pPr>
                    <w:jc w:val="center"/>
                    <w:rPr>
                      <w:rFonts w:hint="default" w:eastAsia="宋体"/>
                      <w:color w:val="auto"/>
                      <w:sz w:val="24"/>
                      <w:lang w:val="en-US" w:eastAsia="zh-CN"/>
                    </w:rPr>
                  </w:pPr>
                  <w:r>
                    <w:rPr>
                      <w:rFonts w:hint="eastAsia"/>
                      <w:color w:val="auto"/>
                      <w:szCs w:val="21"/>
                      <w:lang w:val="en-US" w:eastAsia="zh-CN"/>
                    </w:rPr>
                    <w:t>5.2j</w:t>
                  </w:r>
                </w:p>
              </w:tc>
            </w:tr>
            <w:tr w14:paraId="60E7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137496E1">
                  <w:pPr>
                    <w:jc w:val="center"/>
                    <w:rPr>
                      <w:color w:val="auto"/>
                      <w:sz w:val="24"/>
                    </w:rPr>
                  </w:pPr>
                  <w:r>
                    <w:rPr>
                      <w:rFonts w:hint="eastAsia"/>
                      <w:color w:val="auto"/>
                      <w:szCs w:val="21"/>
                    </w:rPr>
                    <w:t>3</w:t>
                  </w:r>
                </w:p>
              </w:tc>
              <w:tc>
                <w:tcPr>
                  <w:tcW w:w="1872" w:type="dxa"/>
                  <w:vAlign w:val="center"/>
                </w:tcPr>
                <w:p w14:paraId="7ACCF9D8">
                  <w:pPr>
                    <w:jc w:val="center"/>
                    <w:rPr>
                      <w:color w:val="auto"/>
                      <w:sz w:val="24"/>
                    </w:rPr>
                  </w:pPr>
                  <w:r>
                    <w:rPr>
                      <w:rFonts w:hint="eastAsia"/>
                      <w:color w:val="auto"/>
                      <w:szCs w:val="21"/>
                    </w:rPr>
                    <w:t>一般废包装材料</w:t>
                  </w:r>
                </w:p>
              </w:tc>
              <w:tc>
                <w:tcPr>
                  <w:tcW w:w="1380" w:type="dxa"/>
                  <w:vAlign w:val="center"/>
                </w:tcPr>
                <w:p w14:paraId="2499D7F2">
                  <w:pPr>
                    <w:jc w:val="center"/>
                    <w:rPr>
                      <w:color w:val="auto"/>
                      <w:sz w:val="24"/>
                    </w:rPr>
                  </w:pPr>
                  <w:r>
                    <w:rPr>
                      <w:rFonts w:hint="eastAsia"/>
                      <w:color w:val="auto"/>
                    </w:rPr>
                    <w:t>原料使用</w:t>
                  </w:r>
                </w:p>
              </w:tc>
              <w:tc>
                <w:tcPr>
                  <w:tcW w:w="1035" w:type="dxa"/>
                  <w:vAlign w:val="center"/>
                </w:tcPr>
                <w:p w14:paraId="3CFE17C9">
                  <w:pPr>
                    <w:jc w:val="center"/>
                    <w:rPr>
                      <w:color w:val="auto"/>
                      <w:sz w:val="24"/>
                    </w:rPr>
                  </w:pPr>
                  <w:r>
                    <w:rPr>
                      <w:rFonts w:hint="eastAsia"/>
                      <w:color w:val="auto"/>
                      <w:szCs w:val="21"/>
                    </w:rPr>
                    <w:t>固态</w:t>
                  </w:r>
                </w:p>
              </w:tc>
              <w:tc>
                <w:tcPr>
                  <w:tcW w:w="1353" w:type="dxa"/>
                  <w:vAlign w:val="center"/>
                </w:tcPr>
                <w:p w14:paraId="7AE34EAF">
                  <w:pPr>
                    <w:jc w:val="center"/>
                    <w:rPr>
                      <w:color w:val="auto"/>
                      <w:sz w:val="24"/>
                    </w:rPr>
                  </w:pPr>
                  <w:r>
                    <w:rPr>
                      <w:rFonts w:hint="eastAsia"/>
                      <w:color w:val="auto"/>
                    </w:rPr>
                    <w:t>包装袋</w:t>
                  </w:r>
                  <w:r>
                    <w:rPr>
                      <w:color w:val="auto"/>
                    </w:rPr>
                    <w:t>等</w:t>
                  </w:r>
                </w:p>
              </w:tc>
              <w:tc>
                <w:tcPr>
                  <w:tcW w:w="1182" w:type="dxa"/>
                  <w:vAlign w:val="center"/>
                </w:tcPr>
                <w:p w14:paraId="7D4E9984">
                  <w:pPr>
                    <w:jc w:val="center"/>
                    <w:rPr>
                      <w:color w:val="auto"/>
                      <w:sz w:val="24"/>
                    </w:rPr>
                  </w:pPr>
                  <w:r>
                    <w:rPr>
                      <w:rFonts w:hint="eastAsia"/>
                      <w:color w:val="auto"/>
                      <w:kern w:val="0"/>
                      <w:szCs w:val="21"/>
                    </w:rPr>
                    <w:t>是</w:t>
                  </w:r>
                </w:p>
              </w:tc>
              <w:tc>
                <w:tcPr>
                  <w:tcW w:w="1268" w:type="dxa"/>
                  <w:vAlign w:val="center"/>
                </w:tcPr>
                <w:p w14:paraId="4B64463A">
                  <w:pPr>
                    <w:jc w:val="center"/>
                    <w:rPr>
                      <w:rFonts w:hint="default" w:eastAsia="宋体"/>
                      <w:color w:val="auto"/>
                      <w:sz w:val="24"/>
                      <w:lang w:val="en-US" w:eastAsia="zh-CN"/>
                    </w:rPr>
                  </w:pPr>
                  <w:r>
                    <w:rPr>
                      <w:rFonts w:hint="eastAsia"/>
                      <w:color w:val="auto"/>
                      <w:kern w:val="0"/>
                      <w:szCs w:val="21"/>
                      <w:lang w:val="en-US" w:eastAsia="zh-CN"/>
                    </w:rPr>
                    <w:t>5.2a</w:t>
                  </w:r>
                </w:p>
              </w:tc>
            </w:tr>
            <w:tr w14:paraId="17CA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1918869C">
                  <w:pPr>
                    <w:jc w:val="center"/>
                    <w:rPr>
                      <w:color w:val="auto"/>
                      <w:sz w:val="24"/>
                    </w:rPr>
                  </w:pPr>
                  <w:r>
                    <w:rPr>
                      <w:rFonts w:hint="eastAsia"/>
                      <w:color w:val="auto"/>
                      <w:szCs w:val="21"/>
                    </w:rPr>
                    <w:t>4</w:t>
                  </w:r>
                </w:p>
              </w:tc>
              <w:tc>
                <w:tcPr>
                  <w:tcW w:w="1872" w:type="dxa"/>
                  <w:vAlign w:val="center"/>
                </w:tcPr>
                <w:p w14:paraId="5CF0D939">
                  <w:pPr>
                    <w:jc w:val="center"/>
                    <w:rPr>
                      <w:rFonts w:hint="eastAsia" w:eastAsia="宋体"/>
                      <w:color w:val="auto"/>
                      <w:sz w:val="24"/>
                      <w:lang w:eastAsia="zh-CN"/>
                    </w:rPr>
                  </w:pPr>
                  <w:r>
                    <w:rPr>
                      <w:rFonts w:hint="eastAsia"/>
                      <w:color w:val="auto"/>
                      <w:szCs w:val="21"/>
                    </w:rPr>
                    <w:t>废</w:t>
                  </w:r>
                  <w:r>
                    <w:rPr>
                      <w:rFonts w:hint="eastAsia"/>
                      <w:color w:val="auto"/>
                      <w:szCs w:val="21"/>
                      <w:lang w:val="en-US" w:eastAsia="zh-CN"/>
                    </w:rPr>
                    <w:t>液压油</w:t>
                  </w:r>
                </w:p>
              </w:tc>
              <w:tc>
                <w:tcPr>
                  <w:tcW w:w="1380" w:type="dxa"/>
                  <w:vAlign w:val="center"/>
                </w:tcPr>
                <w:p w14:paraId="1ECA55A6">
                  <w:pPr>
                    <w:jc w:val="center"/>
                    <w:rPr>
                      <w:color w:val="auto"/>
                      <w:sz w:val="24"/>
                    </w:rPr>
                  </w:pPr>
                  <w:r>
                    <w:rPr>
                      <w:rFonts w:hint="eastAsia"/>
                      <w:color w:val="auto"/>
                    </w:rPr>
                    <w:t>设备维护</w:t>
                  </w:r>
                </w:p>
              </w:tc>
              <w:tc>
                <w:tcPr>
                  <w:tcW w:w="1035" w:type="dxa"/>
                  <w:vAlign w:val="center"/>
                </w:tcPr>
                <w:p w14:paraId="53447108">
                  <w:pPr>
                    <w:jc w:val="center"/>
                    <w:rPr>
                      <w:color w:val="auto"/>
                      <w:sz w:val="24"/>
                    </w:rPr>
                  </w:pPr>
                  <w:r>
                    <w:rPr>
                      <w:rFonts w:hint="eastAsia"/>
                      <w:color w:val="auto"/>
                      <w:szCs w:val="21"/>
                    </w:rPr>
                    <w:t>液态</w:t>
                  </w:r>
                </w:p>
              </w:tc>
              <w:tc>
                <w:tcPr>
                  <w:tcW w:w="1353" w:type="dxa"/>
                  <w:vAlign w:val="center"/>
                </w:tcPr>
                <w:p w14:paraId="03B134CC">
                  <w:pPr>
                    <w:jc w:val="center"/>
                    <w:rPr>
                      <w:rFonts w:hint="eastAsia" w:eastAsia="宋体"/>
                      <w:color w:val="auto"/>
                      <w:sz w:val="24"/>
                      <w:lang w:eastAsia="zh-CN"/>
                    </w:rPr>
                  </w:pPr>
                  <w:r>
                    <w:rPr>
                      <w:rFonts w:hint="eastAsia"/>
                      <w:color w:val="auto"/>
                      <w:lang w:val="en-US" w:eastAsia="zh-CN"/>
                    </w:rPr>
                    <w:t>液压油</w:t>
                  </w:r>
                </w:p>
              </w:tc>
              <w:tc>
                <w:tcPr>
                  <w:tcW w:w="1182" w:type="dxa"/>
                  <w:vAlign w:val="center"/>
                </w:tcPr>
                <w:p w14:paraId="4043375F">
                  <w:pPr>
                    <w:jc w:val="center"/>
                    <w:rPr>
                      <w:color w:val="auto"/>
                      <w:sz w:val="24"/>
                    </w:rPr>
                  </w:pPr>
                  <w:r>
                    <w:rPr>
                      <w:rFonts w:hint="eastAsia"/>
                      <w:color w:val="auto"/>
                      <w:kern w:val="0"/>
                      <w:szCs w:val="21"/>
                    </w:rPr>
                    <w:t>是</w:t>
                  </w:r>
                </w:p>
              </w:tc>
              <w:tc>
                <w:tcPr>
                  <w:tcW w:w="1268" w:type="dxa"/>
                  <w:vAlign w:val="center"/>
                </w:tcPr>
                <w:p w14:paraId="6DB0195E">
                  <w:pPr>
                    <w:jc w:val="center"/>
                    <w:rPr>
                      <w:rFonts w:hint="eastAsia" w:eastAsia="宋体"/>
                      <w:color w:val="auto"/>
                      <w:sz w:val="24"/>
                      <w:lang w:eastAsia="zh-CN"/>
                    </w:rPr>
                  </w:pPr>
                  <w:r>
                    <w:rPr>
                      <w:color w:val="auto"/>
                      <w:szCs w:val="21"/>
                    </w:rPr>
                    <w:t>4.1</w:t>
                  </w:r>
                  <w:r>
                    <w:rPr>
                      <w:rFonts w:hint="eastAsia"/>
                      <w:color w:val="auto"/>
                      <w:szCs w:val="21"/>
                      <w:lang w:val="en-US" w:eastAsia="zh-CN"/>
                    </w:rPr>
                    <w:t>d</w:t>
                  </w:r>
                </w:p>
              </w:tc>
            </w:tr>
            <w:tr w14:paraId="659D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3D75E0EA">
                  <w:pPr>
                    <w:jc w:val="center"/>
                    <w:rPr>
                      <w:color w:val="auto"/>
                      <w:szCs w:val="21"/>
                    </w:rPr>
                  </w:pPr>
                  <w:r>
                    <w:rPr>
                      <w:rFonts w:hint="eastAsia"/>
                      <w:color w:val="auto"/>
                      <w:szCs w:val="21"/>
                    </w:rPr>
                    <w:t>5</w:t>
                  </w:r>
                </w:p>
              </w:tc>
              <w:tc>
                <w:tcPr>
                  <w:tcW w:w="1872" w:type="dxa"/>
                  <w:vAlign w:val="center"/>
                </w:tcPr>
                <w:p w14:paraId="6E4247EC">
                  <w:pPr>
                    <w:jc w:val="center"/>
                    <w:rPr>
                      <w:color w:val="auto"/>
                      <w:szCs w:val="21"/>
                    </w:rPr>
                  </w:pPr>
                  <w:r>
                    <w:rPr>
                      <w:rFonts w:hint="eastAsia"/>
                      <w:color w:val="auto"/>
                      <w:szCs w:val="21"/>
                    </w:rPr>
                    <w:t>废包装桶</w:t>
                  </w:r>
                </w:p>
              </w:tc>
              <w:tc>
                <w:tcPr>
                  <w:tcW w:w="1380" w:type="dxa"/>
                  <w:vAlign w:val="center"/>
                </w:tcPr>
                <w:p w14:paraId="7FCE1D8B">
                  <w:pPr>
                    <w:jc w:val="center"/>
                    <w:rPr>
                      <w:color w:val="auto"/>
                    </w:rPr>
                  </w:pPr>
                  <w:r>
                    <w:rPr>
                      <w:rFonts w:hint="eastAsia"/>
                      <w:color w:val="auto"/>
                    </w:rPr>
                    <w:t>原料使用</w:t>
                  </w:r>
                </w:p>
              </w:tc>
              <w:tc>
                <w:tcPr>
                  <w:tcW w:w="1035" w:type="dxa"/>
                  <w:vAlign w:val="center"/>
                </w:tcPr>
                <w:p w14:paraId="21506498">
                  <w:pPr>
                    <w:jc w:val="center"/>
                    <w:rPr>
                      <w:color w:val="auto"/>
                      <w:szCs w:val="21"/>
                    </w:rPr>
                  </w:pPr>
                  <w:r>
                    <w:rPr>
                      <w:rFonts w:hint="eastAsia"/>
                      <w:color w:val="auto"/>
                      <w:szCs w:val="21"/>
                    </w:rPr>
                    <w:t>固态</w:t>
                  </w:r>
                </w:p>
              </w:tc>
              <w:tc>
                <w:tcPr>
                  <w:tcW w:w="1353" w:type="dxa"/>
                  <w:vAlign w:val="center"/>
                </w:tcPr>
                <w:p w14:paraId="242FE1E1">
                  <w:pPr>
                    <w:jc w:val="center"/>
                    <w:rPr>
                      <w:color w:val="auto"/>
                    </w:rPr>
                  </w:pPr>
                  <w:r>
                    <w:rPr>
                      <w:rFonts w:hint="eastAsia"/>
                      <w:color w:val="auto"/>
                      <w:lang w:val="en-US" w:eastAsia="zh-CN"/>
                    </w:rPr>
                    <w:t>液压油</w:t>
                  </w:r>
                  <w:r>
                    <w:rPr>
                      <w:rFonts w:hint="eastAsia"/>
                      <w:color w:val="auto"/>
                    </w:rPr>
                    <w:t>包装桶</w:t>
                  </w:r>
                </w:p>
              </w:tc>
              <w:tc>
                <w:tcPr>
                  <w:tcW w:w="1182" w:type="dxa"/>
                  <w:vAlign w:val="center"/>
                </w:tcPr>
                <w:p w14:paraId="5BF9333A">
                  <w:pPr>
                    <w:jc w:val="center"/>
                    <w:rPr>
                      <w:color w:val="auto"/>
                      <w:kern w:val="0"/>
                      <w:szCs w:val="21"/>
                    </w:rPr>
                  </w:pPr>
                  <w:r>
                    <w:rPr>
                      <w:rFonts w:hint="eastAsia"/>
                      <w:color w:val="auto"/>
                      <w:kern w:val="0"/>
                      <w:szCs w:val="21"/>
                    </w:rPr>
                    <w:t>是</w:t>
                  </w:r>
                </w:p>
              </w:tc>
              <w:tc>
                <w:tcPr>
                  <w:tcW w:w="1268" w:type="dxa"/>
                  <w:vAlign w:val="center"/>
                </w:tcPr>
                <w:p w14:paraId="022F24A5">
                  <w:pPr>
                    <w:jc w:val="center"/>
                    <w:rPr>
                      <w:rFonts w:hint="default" w:eastAsia="宋体"/>
                      <w:color w:val="auto"/>
                      <w:kern w:val="0"/>
                      <w:szCs w:val="21"/>
                      <w:lang w:val="en-US" w:eastAsia="zh-CN"/>
                    </w:rPr>
                  </w:pPr>
                  <w:r>
                    <w:rPr>
                      <w:rFonts w:hint="eastAsia"/>
                      <w:color w:val="auto"/>
                      <w:szCs w:val="21"/>
                      <w:lang w:val="en-US" w:eastAsia="zh-CN"/>
                    </w:rPr>
                    <w:t>5.2a</w:t>
                  </w:r>
                </w:p>
              </w:tc>
            </w:tr>
            <w:tr w14:paraId="6507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679D0A7B">
                  <w:pPr>
                    <w:jc w:val="center"/>
                    <w:rPr>
                      <w:color w:val="auto"/>
                      <w:sz w:val="24"/>
                    </w:rPr>
                  </w:pPr>
                  <w:r>
                    <w:rPr>
                      <w:rFonts w:hint="eastAsia"/>
                      <w:color w:val="auto"/>
                      <w:szCs w:val="21"/>
                    </w:rPr>
                    <w:t>6</w:t>
                  </w:r>
                </w:p>
              </w:tc>
              <w:tc>
                <w:tcPr>
                  <w:tcW w:w="1872" w:type="dxa"/>
                  <w:vAlign w:val="center"/>
                </w:tcPr>
                <w:p w14:paraId="0EA806D9">
                  <w:pPr>
                    <w:jc w:val="center"/>
                    <w:rPr>
                      <w:color w:val="auto"/>
                      <w:sz w:val="24"/>
                    </w:rPr>
                  </w:pPr>
                  <w:r>
                    <w:rPr>
                      <w:rFonts w:hint="eastAsia"/>
                      <w:color w:val="auto"/>
                      <w:szCs w:val="21"/>
                    </w:rPr>
                    <w:t>废活性炭</w:t>
                  </w:r>
                </w:p>
              </w:tc>
              <w:tc>
                <w:tcPr>
                  <w:tcW w:w="1380" w:type="dxa"/>
                  <w:vAlign w:val="center"/>
                </w:tcPr>
                <w:p w14:paraId="5F1B7777">
                  <w:pPr>
                    <w:jc w:val="center"/>
                    <w:rPr>
                      <w:color w:val="auto"/>
                      <w:sz w:val="24"/>
                    </w:rPr>
                  </w:pPr>
                  <w:r>
                    <w:rPr>
                      <w:rFonts w:hint="eastAsia"/>
                      <w:color w:val="auto"/>
                    </w:rPr>
                    <w:t>废气处理</w:t>
                  </w:r>
                </w:p>
              </w:tc>
              <w:tc>
                <w:tcPr>
                  <w:tcW w:w="1035" w:type="dxa"/>
                  <w:vAlign w:val="center"/>
                </w:tcPr>
                <w:p w14:paraId="3BC2F8C2">
                  <w:pPr>
                    <w:jc w:val="center"/>
                    <w:rPr>
                      <w:color w:val="auto"/>
                      <w:sz w:val="24"/>
                    </w:rPr>
                  </w:pPr>
                  <w:r>
                    <w:rPr>
                      <w:rFonts w:hint="eastAsia"/>
                      <w:color w:val="auto"/>
                      <w:szCs w:val="21"/>
                    </w:rPr>
                    <w:t>固态</w:t>
                  </w:r>
                </w:p>
              </w:tc>
              <w:tc>
                <w:tcPr>
                  <w:tcW w:w="1353" w:type="dxa"/>
                  <w:vAlign w:val="center"/>
                </w:tcPr>
                <w:p w14:paraId="41CDECDD">
                  <w:pPr>
                    <w:jc w:val="center"/>
                    <w:rPr>
                      <w:color w:val="auto"/>
                      <w:sz w:val="24"/>
                    </w:rPr>
                  </w:pPr>
                  <w:r>
                    <w:rPr>
                      <w:rFonts w:hint="eastAsia"/>
                      <w:color w:val="auto"/>
                    </w:rPr>
                    <w:t>废活性炭</w:t>
                  </w:r>
                </w:p>
              </w:tc>
              <w:tc>
                <w:tcPr>
                  <w:tcW w:w="1182" w:type="dxa"/>
                  <w:vAlign w:val="center"/>
                </w:tcPr>
                <w:p w14:paraId="1404B194">
                  <w:pPr>
                    <w:jc w:val="center"/>
                    <w:rPr>
                      <w:color w:val="auto"/>
                      <w:sz w:val="24"/>
                    </w:rPr>
                  </w:pPr>
                  <w:r>
                    <w:rPr>
                      <w:rFonts w:hint="eastAsia"/>
                      <w:color w:val="auto"/>
                      <w:kern w:val="0"/>
                      <w:szCs w:val="21"/>
                    </w:rPr>
                    <w:t>是</w:t>
                  </w:r>
                </w:p>
              </w:tc>
              <w:tc>
                <w:tcPr>
                  <w:tcW w:w="1268" w:type="dxa"/>
                  <w:vAlign w:val="center"/>
                </w:tcPr>
                <w:p w14:paraId="131D45B2">
                  <w:pPr>
                    <w:jc w:val="center"/>
                    <w:rPr>
                      <w:rFonts w:hint="default" w:eastAsia="宋体"/>
                      <w:color w:val="auto"/>
                      <w:sz w:val="24"/>
                      <w:lang w:val="en-US" w:eastAsia="zh-CN"/>
                    </w:rPr>
                  </w:pPr>
                  <w:r>
                    <w:rPr>
                      <w:rFonts w:hint="eastAsia"/>
                      <w:color w:val="auto"/>
                      <w:lang w:val="en-US" w:eastAsia="zh-CN"/>
                    </w:rPr>
                    <w:t>4.1d</w:t>
                  </w:r>
                </w:p>
              </w:tc>
            </w:tr>
            <w:tr w14:paraId="701F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6D3B1954">
                  <w:pPr>
                    <w:jc w:val="center"/>
                    <w:rPr>
                      <w:color w:val="auto"/>
                      <w:sz w:val="24"/>
                    </w:rPr>
                  </w:pPr>
                  <w:r>
                    <w:rPr>
                      <w:rFonts w:hint="eastAsia"/>
                      <w:color w:val="auto"/>
                      <w:szCs w:val="21"/>
                    </w:rPr>
                    <w:t>7</w:t>
                  </w:r>
                </w:p>
              </w:tc>
              <w:tc>
                <w:tcPr>
                  <w:tcW w:w="1872" w:type="dxa"/>
                  <w:vAlign w:val="center"/>
                </w:tcPr>
                <w:p w14:paraId="0F47A248">
                  <w:pPr>
                    <w:jc w:val="center"/>
                    <w:rPr>
                      <w:color w:val="auto"/>
                      <w:sz w:val="24"/>
                    </w:rPr>
                  </w:pPr>
                  <w:r>
                    <w:rPr>
                      <w:rFonts w:hint="eastAsia"/>
                      <w:color w:val="auto"/>
                      <w:szCs w:val="21"/>
                    </w:rPr>
                    <w:t>含油废劳保</w:t>
                  </w:r>
                </w:p>
              </w:tc>
              <w:tc>
                <w:tcPr>
                  <w:tcW w:w="1380" w:type="dxa"/>
                  <w:vAlign w:val="center"/>
                </w:tcPr>
                <w:p w14:paraId="4A2953E3">
                  <w:pPr>
                    <w:jc w:val="center"/>
                    <w:rPr>
                      <w:color w:val="auto"/>
                      <w:sz w:val="24"/>
                    </w:rPr>
                  </w:pPr>
                  <w:r>
                    <w:rPr>
                      <w:rFonts w:hint="eastAsia"/>
                      <w:color w:val="auto"/>
                    </w:rPr>
                    <w:t>设备维护</w:t>
                  </w:r>
                </w:p>
              </w:tc>
              <w:tc>
                <w:tcPr>
                  <w:tcW w:w="1035" w:type="dxa"/>
                  <w:vAlign w:val="center"/>
                </w:tcPr>
                <w:p w14:paraId="2E83F9FE">
                  <w:pPr>
                    <w:jc w:val="center"/>
                    <w:rPr>
                      <w:color w:val="auto"/>
                      <w:sz w:val="24"/>
                    </w:rPr>
                  </w:pPr>
                  <w:r>
                    <w:rPr>
                      <w:rFonts w:hint="eastAsia"/>
                      <w:color w:val="auto"/>
                      <w:szCs w:val="21"/>
                    </w:rPr>
                    <w:t>固态</w:t>
                  </w:r>
                </w:p>
              </w:tc>
              <w:tc>
                <w:tcPr>
                  <w:tcW w:w="1353" w:type="dxa"/>
                  <w:vAlign w:val="center"/>
                </w:tcPr>
                <w:p w14:paraId="181A468A">
                  <w:pPr>
                    <w:jc w:val="center"/>
                    <w:rPr>
                      <w:color w:val="auto"/>
                      <w:sz w:val="24"/>
                    </w:rPr>
                  </w:pPr>
                  <w:r>
                    <w:rPr>
                      <w:rFonts w:hint="eastAsia"/>
                      <w:color w:val="auto"/>
                    </w:rPr>
                    <w:t>含油抹布、含油手套</w:t>
                  </w:r>
                </w:p>
              </w:tc>
              <w:tc>
                <w:tcPr>
                  <w:tcW w:w="1182" w:type="dxa"/>
                  <w:vAlign w:val="center"/>
                </w:tcPr>
                <w:p w14:paraId="4310D7A0">
                  <w:pPr>
                    <w:jc w:val="center"/>
                    <w:rPr>
                      <w:color w:val="auto"/>
                      <w:sz w:val="24"/>
                    </w:rPr>
                  </w:pPr>
                  <w:r>
                    <w:rPr>
                      <w:rFonts w:hint="eastAsia"/>
                      <w:color w:val="auto"/>
                      <w:kern w:val="0"/>
                      <w:szCs w:val="21"/>
                    </w:rPr>
                    <w:t>是</w:t>
                  </w:r>
                </w:p>
              </w:tc>
              <w:tc>
                <w:tcPr>
                  <w:tcW w:w="1268" w:type="dxa"/>
                  <w:vAlign w:val="center"/>
                </w:tcPr>
                <w:p w14:paraId="782CF781">
                  <w:pPr>
                    <w:jc w:val="center"/>
                    <w:rPr>
                      <w:rFonts w:hint="eastAsia" w:eastAsia="宋体"/>
                      <w:color w:val="auto"/>
                      <w:sz w:val="24"/>
                      <w:lang w:eastAsia="zh-CN"/>
                    </w:rPr>
                  </w:pPr>
                  <w:r>
                    <w:rPr>
                      <w:color w:val="auto"/>
                      <w:szCs w:val="21"/>
                    </w:rPr>
                    <w:t>4.1</w:t>
                  </w:r>
                  <w:r>
                    <w:rPr>
                      <w:rFonts w:hint="eastAsia"/>
                      <w:color w:val="auto"/>
                      <w:szCs w:val="21"/>
                      <w:lang w:val="en-US" w:eastAsia="zh-CN"/>
                    </w:rPr>
                    <w:t>d</w:t>
                  </w:r>
                </w:p>
              </w:tc>
            </w:tr>
            <w:tr w14:paraId="79C4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dxa"/>
                  <w:vAlign w:val="center"/>
                </w:tcPr>
                <w:p w14:paraId="162CAF59">
                  <w:pPr>
                    <w:jc w:val="center"/>
                    <w:rPr>
                      <w:color w:val="auto"/>
                      <w:sz w:val="24"/>
                    </w:rPr>
                  </w:pPr>
                  <w:r>
                    <w:rPr>
                      <w:rFonts w:hint="eastAsia"/>
                      <w:color w:val="auto"/>
                      <w:szCs w:val="21"/>
                    </w:rPr>
                    <w:t>8</w:t>
                  </w:r>
                </w:p>
              </w:tc>
              <w:tc>
                <w:tcPr>
                  <w:tcW w:w="1872" w:type="dxa"/>
                  <w:vAlign w:val="center"/>
                </w:tcPr>
                <w:p w14:paraId="4B4F959D">
                  <w:pPr>
                    <w:jc w:val="center"/>
                    <w:rPr>
                      <w:color w:val="auto"/>
                      <w:sz w:val="24"/>
                    </w:rPr>
                  </w:pPr>
                  <w:r>
                    <w:rPr>
                      <w:rFonts w:hint="eastAsia"/>
                      <w:color w:val="auto"/>
                    </w:rPr>
                    <w:t>生活垃圾</w:t>
                  </w:r>
                </w:p>
              </w:tc>
              <w:tc>
                <w:tcPr>
                  <w:tcW w:w="1380" w:type="dxa"/>
                  <w:vAlign w:val="center"/>
                </w:tcPr>
                <w:p w14:paraId="472B8F49">
                  <w:pPr>
                    <w:jc w:val="center"/>
                    <w:rPr>
                      <w:color w:val="auto"/>
                      <w:sz w:val="24"/>
                    </w:rPr>
                  </w:pPr>
                  <w:r>
                    <w:rPr>
                      <w:rFonts w:hint="eastAsia"/>
                      <w:color w:val="auto"/>
                    </w:rPr>
                    <w:t>员工生活</w:t>
                  </w:r>
                </w:p>
              </w:tc>
              <w:tc>
                <w:tcPr>
                  <w:tcW w:w="1035" w:type="dxa"/>
                  <w:vAlign w:val="center"/>
                </w:tcPr>
                <w:p w14:paraId="6D24C8E5">
                  <w:pPr>
                    <w:jc w:val="center"/>
                    <w:rPr>
                      <w:color w:val="auto"/>
                      <w:sz w:val="24"/>
                    </w:rPr>
                  </w:pPr>
                  <w:r>
                    <w:rPr>
                      <w:rFonts w:hint="eastAsia"/>
                      <w:color w:val="auto"/>
                      <w:szCs w:val="21"/>
                    </w:rPr>
                    <w:t>固态</w:t>
                  </w:r>
                </w:p>
              </w:tc>
              <w:tc>
                <w:tcPr>
                  <w:tcW w:w="1353" w:type="dxa"/>
                  <w:vAlign w:val="center"/>
                </w:tcPr>
                <w:p w14:paraId="373BF02E">
                  <w:pPr>
                    <w:jc w:val="center"/>
                    <w:rPr>
                      <w:color w:val="auto"/>
                      <w:sz w:val="24"/>
                    </w:rPr>
                  </w:pPr>
                  <w:r>
                    <w:rPr>
                      <w:rFonts w:hint="eastAsia"/>
                      <w:color w:val="auto"/>
                    </w:rPr>
                    <w:t>果壳、纸张、塑料等</w:t>
                  </w:r>
                </w:p>
              </w:tc>
              <w:tc>
                <w:tcPr>
                  <w:tcW w:w="1182" w:type="dxa"/>
                  <w:vAlign w:val="center"/>
                </w:tcPr>
                <w:p w14:paraId="1179D946">
                  <w:pPr>
                    <w:jc w:val="center"/>
                    <w:rPr>
                      <w:color w:val="auto"/>
                      <w:sz w:val="24"/>
                    </w:rPr>
                  </w:pPr>
                  <w:r>
                    <w:rPr>
                      <w:rFonts w:hint="eastAsia"/>
                      <w:color w:val="auto"/>
                      <w:kern w:val="0"/>
                      <w:szCs w:val="21"/>
                    </w:rPr>
                    <w:t>是</w:t>
                  </w:r>
                </w:p>
              </w:tc>
              <w:tc>
                <w:tcPr>
                  <w:tcW w:w="1268" w:type="dxa"/>
                  <w:vAlign w:val="center"/>
                </w:tcPr>
                <w:p w14:paraId="0A910DA0">
                  <w:pPr>
                    <w:jc w:val="center"/>
                    <w:rPr>
                      <w:rFonts w:hint="eastAsia" w:eastAsia="宋体"/>
                      <w:color w:val="auto"/>
                      <w:sz w:val="24"/>
                      <w:lang w:val="en-US" w:eastAsia="zh-CN"/>
                    </w:rPr>
                  </w:pPr>
                  <w:r>
                    <w:rPr>
                      <w:color w:val="auto"/>
                      <w:szCs w:val="21"/>
                    </w:rPr>
                    <w:t>4.1</w:t>
                  </w:r>
                  <w:r>
                    <w:rPr>
                      <w:rFonts w:hint="eastAsia"/>
                      <w:color w:val="auto"/>
                      <w:szCs w:val="21"/>
                      <w:lang w:val="en-US" w:eastAsia="zh-CN"/>
                    </w:rPr>
                    <w:t>a</w:t>
                  </w:r>
                </w:p>
              </w:tc>
            </w:tr>
          </w:tbl>
          <w:p w14:paraId="017B12C6">
            <w:pPr>
              <w:spacing w:before="120" w:beforeLines="50" w:line="360" w:lineRule="auto"/>
              <w:ind w:firstLine="480" w:firstLineChars="200"/>
              <w:rPr>
                <w:color w:val="auto"/>
                <w:sz w:val="24"/>
                <w:szCs w:val="21"/>
              </w:rPr>
            </w:pPr>
            <w:r>
              <w:rPr>
                <w:rFonts w:hint="eastAsia"/>
                <w:color w:val="auto"/>
                <w:sz w:val="24"/>
                <w:szCs w:val="21"/>
              </w:rPr>
              <w:t>3、危废判定</w:t>
            </w:r>
          </w:p>
          <w:p w14:paraId="698BDE04">
            <w:pPr>
              <w:adjustRightInd w:val="0"/>
              <w:spacing w:line="360" w:lineRule="auto"/>
              <w:ind w:firstLine="425"/>
              <w:rPr>
                <w:color w:val="auto"/>
                <w:sz w:val="24"/>
              </w:rPr>
            </w:pPr>
            <w:r>
              <w:rPr>
                <w:rFonts w:hint="eastAsia"/>
                <w:color w:val="auto"/>
                <w:sz w:val="24"/>
              </w:rPr>
              <w:t>根据《国家危险废物名录》（2025版）及《危险废物鉴别标准通则》，判定本评价中各项目固体废物是否属于危险废物，判定结果具体见下表。</w:t>
            </w:r>
          </w:p>
          <w:p w14:paraId="35D1201D">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本项目危险废物属性判定</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951"/>
              <w:gridCol w:w="1478"/>
              <w:gridCol w:w="1479"/>
              <w:gridCol w:w="1479"/>
              <w:gridCol w:w="1479"/>
            </w:tblGrid>
            <w:tr w14:paraId="5095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32C9C39D">
                  <w:pPr>
                    <w:jc w:val="center"/>
                    <w:rPr>
                      <w:color w:val="auto"/>
                      <w:szCs w:val="21"/>
                    </w:rPr>
                  </w:pPr>
                  <w:r>
                    <w:rPr>
                      <w:color w:val="auto"/>
                      <w:kern w:val="0"/>
                      <w:szCs w:val="21"/>
                    </w:rPr>
                    <w:t>序号</w:t>
                  </w:r>
                </w:p>
              </w:tc>
              <w:tc>
                <w:tcPr>
                  <w:tcW w:w="1951" w:type="dxa"/>
                  <w:vAlign w:val="center"/>
                </w:tcPr>
                <w:p w14:paraId="01623807">
                  <w:pPr>
                    <w:jc w:val="center"/>
                    <w:rPr>
                      <w:color w:val="auto"/>
                      <w:szCs w:val="21"/>
                    </w:rPr>
                  </w:pPr>
                  <w:r>
                    <w:rPr>
                      <w:color w:val="auto"/>
                      <w:kern w:val="0"/>
                      <w:szCs w:val="21"/>
                    </w:rPr>
                    <w:t>固体废物名称</w:t>
                  </w:r>
                </w:p>
              </w:tc>
              <w:tc>
                <w:tcPr>
                  <w:tcW w:w="1478" w:type="dxa"/>
                  <w:vAlign w:val="center"/>
                </w:tcPr>
                <w:p w14:paraId="300C1DCA">
                  <w:pPr>
                    <w:jc w:val="center"/>
                    <w:rPr>
                      <w:color w:val="auto"/>
                      <w:szCs w:val="21"/>
                    </w:rPr>
                  </w:pPr>
                  <w:r>
                    <w:rPr>
                      <w:color w:val="auto"/>
                      <w:kern w:val="0"/>
                      <w:szCs w:val="21"/>
                    </w:rPr>
                    <w:t>产生工序</w:t>
                  </w:r>
                </w:p>
              </w:tc>
              <w:tc>
                <w:tcPr>
                  <w:tcW w:w="1479" w:type="dxa"/>
                  <w:vAlign w:val="center"/>
                </w:tcPr>
                <w:p w14:paraId="5BDF9F88">
                  <w:pPr>
                    <w:jc w:val="center"/>
                    <w:rPr>
                      <w:color w:val="auto"/>
                      <w:szCs w:val="21"/>
                    </w:rPr>
                  </w:pPr>
                  <w:r>
                    <w:rPr>
                      <w:color w:val="auto"/>
                      <w:kern w:val="0"/>
                      <w:szCs w:val="21"/>
                    </w:rPr>
                    <w:t>危废判定</w:t>
                  </w:r>
                </w:p>
              </w:tc>
              <w:tc>
                <w:tcPr>
                  <w:tcW w:w="1479" w:type="dxa"/>
                  <w:vAlign w:val="center"/>
                </w:tcPr>
                <w:p w14:paraId="2CF7FEE2">
                  <w:pPr>
                    <w:jc w:val="center"/>
                    <w:rPr>
                      <w:color w:val="auto"/>
                      <w:szCs w:val="21"/>
                    </w:rPr>
                  </w:pPr>
                  <w:r>
                    <w:rPr>
                      <w:color w:val="auto"/>
                      <w:kern w:val="0"/>
                      <w:szCs w:val="21"/>
                    </w:rPr>
                    <w:t>废物类别</w:t>
                  </w:r>
                </w:p>
              </w:tc>
              <w:tc>
                <w:tcPr>
                  <w:tcW w:w="1479" w:type="dxa"/>
                  <w:vAlign w:val="center"/>
                </w:tcPr>
                <w:p w14:paraId="40F9F76C">
                  <w:pPr>
                    <w:jc w:val="center"/>
                    <w:rPr>
                      <w:color w:val="auto"/>
                      <w:szCs w:val="21"/>
                    </w:rPr>
                  </w:pPr>
                  <w:r>
                    <w:rPr>
                      <w:color w:val="auto"/>
                      <w:kern w:val="0"/>
                      <w:szCs w:val="21"/>
                    </w:rPr>
                    <w:t>废物代码</w:t>
                  </w:r>
                </w:p>
              </w:tc>
            </w:tr>
            <w:tr w14:paraId="69B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1C78DF9C">
                  <w:pPr>
                    <w:jc w:val="center"/>
                    <w:rPr>
                      <w:color w:val="auto"/>
                      <w:szCs w:val="21"/>
                    </w:rPr>
                  </w:pPr>
                  <w:r>
                    <w:rPr>
                      <w:rFonts w:hint="eastAsia"/>
                      <w:color w:val="auto"/>
                      <w:kern w:val="0"/>
                      <w:szCs w:val="21"/>
                    </w:rPr>
                    <w:t>1</w:t>
                  </w:r>
                </w:p>
              </w:tc>
              <w:tc>
                <w:tcPr>
                  <w:tcW w:w="1951" w:type="dxa"/>
                  <w:vAlign w:val="center"/>
                </w:tcPr>
                <w:p w14:paraId="642737AA">
                  <w:pPr>
                    <w:jc w:val="center"/>
                    <w:rPr>
                      <w:color w:val="auto"/>
                      <w:szCs w:val="21"/>
                    </w:rPr>
                  </w:pPr>
                  <w:r>
                    <w:rPr>
                      <w:rFonts w:hint="eastAsia"/>
                      <w:color w:val="auto"/>
                      <w:szCs w:val="21"/>
                    </w:rPr>
                    <w:t>边角料、不合格品</w:t>
                  </w:r>
                </w:p>
              </w:tc>
              <w:tc>
                <w:tcPr>
                  <w:tcW w:w="1478" w:type="dxa"/>
                  <w:vAlign w:val="center"/>
                </w:tcPr>
                <w:p w14:paraId="4F8F6659">
                  <w:pPr>
                    <w:jc w:val="center"/>
                    <w:rPr>
                      <w:color w:val="auto"/>
                      <w:szCs w:val="21"/>
                    </w:rPr>
                  </w:pPr>
                  <w:r>
                    <w:rPr>
                      <w:rFonts w:hint="eastAsia"/>
                      <w:color w:val="auto"/>
                    </w:rPr>
                    <w:t>裁切、检验</w:t>
                  </w:r>
                </w:p>
              </w:tc>
              <w:tc>
                <w:tcPr>
                  <w:tcW w:w="1479" w:type="dxa"/>
                  <w:vAlign w:val="center"/>
                </w:tcPr>
                <w:p w14:paraId="4B564C42">
                  <w:pPr>
                    <w:jc w:val="center"/>
                    <w:rPr>
                      <w:color w:val="auto"/>
                      <w:szCs w:val="21"/>
                    </w:rPr>
                  </w:pPr>
                  <w:r>
                    <w:rPr>
                      <w:rFonts w:hint="eastAsia"/>
                      <w:color w:val="auto"/>
                      <w:kern w:val="0"/>
                      <w:szCs w:val="21"/>
                    </w:rPr>
                    <w:t>否</w:t>
                  </w:r>
                </w:p>
              </w:tc>
              <w:tc>
                <w:tcPr>
                  <w:tcW w:w="1479" w:type="dxa"/>
                  <w:vAlign w:val="center"/>
                </w:tcPr>
                <w:p w14:paraId="48B85758">
                  <w:pPr>
                    <w:jc w:val="center"/>
                    <w:rPr>
                      <w:color w:val="auto"/>
                      <w:szCs w:val="21"/>
                    </w:rPr>
                  </w:pPr>
                  <w:r>
                    <w:rPr>
                      <w:rFonts w:hint="eastAsia"/>
                      <w:color w:val="auto"/>
                      <w:kern w:val="0"/>
                      <w:szCs w:val="21"/>
                    </w:rPr>
                    <w:t>--</w:t>
                  </w:r>
                </w:p>
              </w:tc>
              <w:tc>
                <w:tcPr>
                  <w:tcW w:w="1479" w:type="dxa"/>
                  <w:vAlign w:val="center"/>
                </w:tcPr>
                <w:p w14:paraId="62FB9CDD">
                  <w:pPr>
                    <w:jc w:val="center"/>
                    <w:rPr>
                      <w:color w:val="auto"/>
                      <w:szCs w:val="21"/>
                    </w:rPr>
                  </w:pPr>
                  <w:r>
                    <w:rPr>
                      <w:rFonts w:hint="eastAsia"/>
                      <w:color w:val="auto"/>
                      <w:kern w:val="0"/>
                      <w:szCs w:val="21"/>
                    </w:rPr>
                    <w:t>--</w:t>
                  </w:r>
                </w:p>
              </w:tc>
            </w:tr>
            <w:tr w14:paraId="47DB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2E5EEDFE">
                  <w:pPr>
                    <w:jc w:val="center"/>
                    <w:rPr>
                      <w:color w:val="auto"/>
                      <w:szCs w:val="21"/>
                    </w:rPr>
                  </w:pPr>
                  <w:r>
                    <w:rPr>
                      <w:rFonts w:hint="eastAsia"/>
                      <w:color w:val="auto"/>
                      <w:kern w:val="0"/>
                      <w:szCs w:val="21"/>
                    </w:rPr>
                    <w:t>2</w:t>
                  </w:r>
                </w:p>
              </w:tc>
              <w:tc>
                <w:tcPr>
                  <w:tcW w:w="1951" w:type="dxa"/>
                  <w:vAlign w:val="center"/>
                </w:tcPr>
                <w:p w14:paraId="0ADCF627">
                  <w:pPr>
                    <w:jc w:val="center"/>
                    <w:rPr>
                      <w:color w:val="auto"/>
                      <w:szCs w:val="21"/>
                    </w:rPr>
                  </w:pPr>
                  <w:r>
                    <w:rPr>
                      <w:rFonts w:hint="eastAsia"/>
                      <w:color w:val="auto"/>
                      <w:szCs w:val="21"/>
                    </w:rPr>
                    <w:t>收集粉尘</w:t>
                  </w:r>
                </w:p>
              </w:tc>
              <w:tc>
                <w:tcPr>
                  <w:tcW w:w="1478" w:type="dxa"/>
                  <w:vAlign w:val="center"/>
                </w:tcPr>
                <w:p w14:paraId="59DBF794">
                  <w:pPr>
                    <w:jc w:val="center"/>
                    <w:rPr>
                      <w:color w:val="auto"/>
                      <w:szCs w:val="21"/>
                    </w:rPr>
                  </w:pPr>
                  <w:r>
                    <w:rPr>
                      <w:rFonts w:hint="eastAsia"/>
                      <w:color w:val="auto"/>
                    </w:rPr>
                    <w:t>废气处理</w:t>
                  </w:r>
                </w:p>
              </w:tc>
              <w:tc>
                <w:tcPr>
                  <w:tcW w:w="1479" w:type="dxa"/>
                  <w:vAlign w:val="center"/>
                </w:tcPr>
                <w:p w14:paraId="66B5D88E">
                  <w:pPr>
                    <w:jc w:val="center"/>
                    <w:rPr>
                      <w:color w:val="auto"/>
                      <w:szCs w:val="21"/>
                    </w:rPr>
                  </w:pPr>
                  <w:r>
                    <w:rPr>
                      <w:rFonts w:hint="eastAsia"/>
                      <w:color w:val="auto"/>
                      <w:kern w:val="0"/>
                      <w:szCs w:val="21"/>
                    </w:rPr>
                    <w:t>否</w:t>
                  </w:r>
                </w:p>
              </w:tc>
              <w:tc>
                <w:tcPr>
                  <w:tcW w:w="1479" w:type="dxa"/>
                  <w:vAlign w:val="center"/>
                </w:tcPr>
                <w:p w14:paraId="6941C016">
                  <w:pPr>
                    <w:jc w:val="center"/>
                    <w:rPr>
                      <w:color w:val="auto"/>
                      <w:szCs w:val="21"/>
                    </w:rPr>
                  </w:pPr>
                  <w:r>
                    <w:rPr>
                      <w:rFonts w:hint="eastAsia"/>
                      <w:color w:val="auto"/>
                      <w:kern w:val="0"/>
                      <w:szCs w:val="21"/>
                    </w:rPr>
                    <w:t>--</w:t>
                  </w:r>
                </w:p>
              </w:tc>
              <w:tc>
                <w:tcPr>
                  <w:tcW w:w="1479" w:type="dxa"/>
                  <w:vAlign w:val="center"/>
                </w:tcPr>
                <w:p w14:paraId="1A72F98A">
                  <w:pPr>
                    <w:jc w:val="center"/>
                    <w:rPr>
                      <w:color w:val="auto"/>
                      <w:szCs w:val="21"/>
                    </w:rPr>
                  </w:pPr>
                  <w:r>
                    <w:rPr>
                      <w:rFonts w:hint="eastAsia"/>
                      <w:color w:val="auto"/>
                      <w:kern w:val="0"/>
                      <w:szCs w:val="21"/>
                    </w:rPr>
                    <w:t>--</w:t>
                  </w:r>
                </w:p>
              </w:tc>
            </w:tr>
            <w:tr w14:paraId="424E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5AFB0B5B">
                  <w:pPr>
                    <w:jc w:val="center"/>
                    <w:rPr>
                      <w:color w:val="auto"/>
                      <w:szCs w:val="21"/>
                    </w:rPr>
                  </w:pPr>
                  <w:r>
                    <w:rPr>
                      <w:color w:val="auto"/>
                      <w:kern w:val="0"/>
                      <w:szCs w:val="21"/>
                    </w:rPr>
                    <w:t>3</w:t>
                  </w:r>
                </w:p>
              </w:tc>
              <w:tc>
                <w:tcPr>
                  <w:tcW w:w="1951" w:type="dxa"/>
                  <w:vAlign w:val="center"/>
                </w:tcPr>
                <w:p w14:paraId="6BEF8616">
                  <w:pPr>
                    <w:jc w:val="center"/>
                    <w:rPr>
                      <w:color w:val="auto"/>
                      <w:szCs w:val="21"/>
                    </w:rPr>
                  </w:pPr>
                  <w:r>
                    <w:rPr>
                      <w:rFonts w:hint="eastAsia"/>
                      <w:color w:val="auto"/>
                      <w:szCs w:val="21"/>
                    </w:rPr>
                    <w:t>一般废包装材料</w:t>
                  </w:r>
                </w:p>
              </w:tc>
              <w:tc>
                <w:tcPr>
                  <w:tcW w:w="1478" w:type="dxa"/>
                  <w:vAlign w:val="center"/>
                </w:tcPr>
                <w:p w14:paraId="5EF7E6A3">
                  <w:pPr>
                    <w:jc w:val="center"/>
                    <w:rPr>
                      <w:color w:val="auto"/>
                      <w:szCs w:val="21"/>
                    </w:rPr>
                  </w:pPr>
                  <w:r>
                    <w:rPr>
                      <w:rFonts w:hint="eastAsia"/>
                      <w:color w:val="auto"/>
                    </w:rPr>
                    <w:t>原料使用</w:t>
                  </w:r>
                </w:p>
              </w:tc>
              <w:tc>
                <w:tcPr>
                  <w:tcW w:w="1479" w:type="dxa"/>
                  <w:vAlign w:val="center"/>
                </w:tcPr>
                <w:p w14:paraId="6757E3BD">
                  <w:pPr>
                    <w:jc w:val="center"/>
                    <w:rPr>
                      <w:color w:val="auto"/>
                      <w:szCs w:val="21"/>
                    </w:rPr>
                  </w:pPr>
                  <w:r>
                    <w:rPr>
                      <w:rFonts w:hint="eastAsia"/>
                      <w:color w:val="auto"/>
                      <w:kern w:val="0"/>
                      <w:szCs w:val="21"/>
                    </w:rPr>
                    <w:t>否</w:t>
                  </w:r>
                </w:p>
              </w:tc>
              <w:tc>
                <w:tcPr>
                  <w:tcW w:w="1479" w:type="dxa"/>
                  <w:vAlign w:val="center"/>
                </w:tcPr>
                <w:p w14:paraId="31C8B269">
                  <w:pPr>
                    <w:jc w:val="center"/>
                    <w:rPr>
                      <w:color w:val="auto"/>
                      <w:szCs w:val="21"/>
                    </w:rPr>
                  </w:pPr>
                  <w:r>
                    <w:rPr>
                      <w:rFonts w:hint="eastAsia"/>
                      <w:color w:val="auto"/>
                      <w:kern w:val="0"/>
                      <w:szCs w:val="21"/>
                    </w:rPr>
                    <w:t>--</w:t>
                  </w:r>
                </w:p>
              </w:tc>
              <w:tc>
                <w:tcPr>
                  <w:tcW w:w="1479" w:type="dxa"/>
                  <w:vAlign w:val="center"/>
                </w:tcPr>
                <w:p w14:paraId="7B713D6F">
                  <w:pPr>
                    <w:jc w:val="center"/>
                    <w:rPr>
                      <w:color w:val="auto"/>
                      <w:szCs w:val="21"/>
                    </w:rPr>
                  </w:pPr>
                  <w:r>
                    <w:rPr>
                      <w:rFonts w:hint="eastAsia"/>
                      <w:color w:val="auto"/>
                      <w:kern w:val="0"/>
                      <w:szCs w:val="21"/>
                    </w:rPr>
                    <w:t>--</w:t>
                  </w:r>
                </w:p>
              </w:tc>
            </w:tr>
            <w:tr w14:paraId="2486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61A6C573">
                  <w:pPr>
                    <w:jc w:val="center"/>
                    <w:rPr>
                      <w:color w:val="auto"/>
                      <w:szCs w:val="21"/>
                    </w:rPr>
                  </w:pPr>
                  <w:r>
                    <w:rPr>
                      <w:rFonts w:hint="eastAsia"/>
                      <w:color w:val="auto"/>
                      <w:kern w:val="0"/>
                      <w:szCs w:val="21"/>
                    </w:rPr>
                    <w:t>4</w:t>
                  </w:r>
                </w:p>
              </w:tc>
              <w:tc>
                <w:tcPr>
                  <w:tcW w:w="1951" w:type="dxa"/>
                  <w:vAlign w:val="center"/>
                </w:tcPr>
                <w:p w14:paraId="55F1B4A0">
                  <w:pPr>
                    <w:jc w:val="center"/>
                    <w:rPr>
                      <w:rFonts w:hint="eastAsia" w:eastAsia="宋体"/>
                      <w:color w:val="auto"/>
                      <w:szCs w:val="21"/>
                      <w:lang w:eastAsia="zh-CN"/>
                    </w:rPr>
                  </w:pPr>
                  <w:r>
                    <w:rPr>
                      <w:rFonts w:hint="eastAsia"/>
                      <w:color w:val="auto"/>
                      <w:szCs w:val="21"/>
                    </w:rPr>
                    <w:t>废</w:t>
                  </w:r>
                  <w:r>
                    <w:rPr>
                      <w:rFonts w:hint="eastAsia"/>
                      <w:color w:val="auto"/>
                      <w:szCs w:val="21"/>
                      <w:lang w:val="en-US" w:eastAsia="zh-CN"/>
                    </w:rPr>
                    <w:t>液压油</w:t>
                  </w:r>
                </w:p>
              </w:tc>
              <w:tc>
                <w:tcPr>
                  <w:tcW w:w="1478" w:type="dxa"/>
                  <w:vAlign w:val="center"/>
                </w:tcPr>
                <w:p w14:paraId="34AB54E3">
                  <w:pPr>
                    <w:jc w:val="center"/>
                    <w:rPr>
                      <w:color w:val="auto"/>
                      <w:szCs w:val="21"/>
                    </w:rPr>
                  </w:pPr>
                  <w:r>
                    <w:rPr>
                      <w:rFonts w:hint="eastAsia"/>
                      <w:color w:val="auto"/>
                    </w:rPr>
                    <w:t>设备维护</w:t>
                  </w:r>
                </w:p>
              </w:tc>
              <w:tc>
                <w:tcPr>
                  <w:tcW w:w="1479" w:type="dxa"/>
                  <w:vAlign w:val="center"/>
                </w:tcPr>
                <w:p w14:paraId="2BE45E7C">
                  <w:pPr>
                    <w:jc w:val="center"/>
                    <w:rPr>
                      <w:color w:val="auto"/>
                      <w:szCs w:val="21"/>
                    </w:rPr>
                  </w:pPr>
                  <w:r>
                    <w:rPr>
                      <w:rFonts w:hint="eastAsia"/>
                      <w:color w:val="auto"/>
                      <w:kern w:val="0"/>
                      <w:szCs w:val="21"/>
                    </w:rPr>
                    <w:t>是</w:t>
                  </w:r>
                </w:p>
              </w:tc>
              <w:tc>
                <w:tcPr>
                  <w:tcW w:w="1479" w:type="dxa"/>
                  <w:vAlign w:val="center"/>
                </w:tcPr>
                <w:p w14:paraId="7309829A">
                  <w:pPr>
                    <w:jc w:val="center"/>
                    <w:rPr>
                      <w:color w:val="auto"/>
                      <w:szCs w:val="21"/>
                    </w:rPr>
                  </w:pPr>
                  <w:r>
                    <w:rPr>
                      <w:rFonts w:hint="eastAsia"/>
                      <w:color w:val="auto"/>
                      <w:kern w:val="0"/>
                      <w:szCs w:val="21"/>
                    </w:rPr>
                    <w:t>HW08</w:t>
                  </w:r>
                </w:p>
              </w:tc>
              <w:tc>
                <w:tcPr>
                  <w:tcW w:w="1479" w:type="dxa"/>
                  <w:vAlign w:val="center"/>
                </w:tcPr>
                <w:p w14:paraId="4EE439B1">
                  <w:pPr>
                    <w:jc w:val="center"/>
                    <w:rPr>
                      <w:color w:val="auto"/>
                      <w:szCs w:val="21"/>
                    </w:rPr>
                  </w:pPr>
                  <w:r>
                    <w:rPr>
                      <w:rFonts w:hint="eastAsia" w:ascii="Times New Roman" w:hAnsi="Times New Roman" w:cs="Times New Roman"/>
                      <w:color w:val="auto"/>
                    </w:rPr>
                    <w:t>900-21</w:t>
                  </w:r>
                  <w:r>
                    <w:rPr>
                      <w:rFonts w:hint="eastAsia" w:cs="Times New Roman"/>
                      <w:color w:val="auto"/>
                      <w:lang w:val="en-US" w:eastAsia="zh-CN"/>
                    </w:rPr>
                    <w:t>8</w:t>
                  </w:r>
                  <w:r>
                    <w:rPr>
                      <w:rFonts w:hint="eastAsia" w:ascii="Times New Roman" w:hAnsi="Times New Roman" w:cs="Times New Roman"/>
                      <w:color w:val="auto"/>
                    </w:rPr>
                    <w:t>-08</w:t>
                  </w:r>
                </w:p>
              </w:tc>
            </w:tr>
            <w:tr w14:paraId="0DD4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4810CA4D">
                  <w:pPr>
                    <w:jc w:val="center"/>
                    <w:rPr>
                      <w:color w:val="auto"/>
                      <w:szCs w:val="21"/>
                    </w:rPr>
                  </w:pPr>
                  <w:r>
                    <w:rPr>
                      <w:rFonts w:hint="eastAsia"/>
                      <w:color w:val="auto"/>
                      <w:kern w:val="0"/>
                      <w:szCs w:val="21"/>
                    </w:rPr>
                    <w:t>5</w:t>
                  </w:r>
                </w:p>
              </w:tc>
              <w:tc>
                <w:tcPr>
                  <w:tcW w:w="1951" w:type="dxa"/>
                  <w:vAlign w:val="center"/>
                </w:tcPr>
                <w:p w14:paraId="472DBEC5">
                  <w:pPr>
                    <w:jc w:val="center"/>
                    <w:rPr>
                      <w:color w:val="auto"/>
                      <w:szCs w:val="21"/>
                    </w:rPr>
                  </w:pPr>
                  <w:r>
                    <w:rPr>
                      <w:rFonts w:hint="eastAsia"/>
                      <w:color w:val="auto"/>
                      <w:szCs w:val="21"/>
                    </w:rPr>
                    <w:t>废包装桶</w:t>
                  </w:r>
                </w:p>
              </w:tc>
              <w:tc>
                <w:tcPr>
                  <w:tcW w:w="1478" w:type="dxa"/>
                  <w:vAlign w:val="center"/>
                </w:tcPr>
                <w:p w14:paraId="40FC5A64">
                  <w:pPr>
                    <w:jc w:val="center"/>
                    <w:rPr>
                      <w:color w:val="auto"/>
                      <w:szCs w:val="21"/>
                    </w:rPr>
                  </w:pPr>
                  <w:r>
                    <w:rPr>
                      <w:rFonts w:hint="eastAsia"/>
                      <w:color w:val="auto"/>
                    </w:rPr>
                    <w:t>原料使用</w:t>
                  </w:r>
                </w:p>
              </w:tc>
              <w:tc>
                <w:tcPr>
                  <w:tcW w:w="1479" w:type="dxa"/>
                  <w:vAlign w:val="center"/>
                </w:tcPr>
                <w:p w14:paraId="2C248B77">
                  <w:pPr>
                    <w:jc w:val="center"/>
                    <w:rPr>
                      <w:color w:val="auto"/>
                      <w:szCs w:val="21"/>
                    </w:rPr>
                  </w:pPr>
                  <w:r>
                    <w:rPr>
                      <w:rFonts w:hint="eastAsia"/>
                      <w:color w:val="auto"/>
                      <w:kern w:val="0"/>
                      <w:szCs w:val="21"/>
                    </w:rPr>
                    <w:t>是</w:t>
                  </w:r>
                </w:p>
              </w:tc>
              <w:tc>
                <w:tcPr>
                  <w:tcW w:w="1479" w:type="dxa"/>
                  <w:vAlign w:val="center"/>
                </w:tcPr>
                <w:p w14:paraId="1107259B">
                  <w:pPr>
                    <w:jc w:val="center"/>
                    <w:rPr>
                      <w:color w:val="auto"/>
                      <w:szCs w:val="21"/>
                    </w:rPr>
                  </w:pPr>
                  <w:r>
                    <w:rPr>
                      <w:color w:val="auto"/>
                    </w:rPr>
                    <w:t>HW08</w:t>
                  </w:r>
                </w:p>
              </w:tc>
              <w:tc>
                <w:tcPr>
                  <w:tcW w:w="1479" w:type="dxa"/>
                  <w:vAlign w:val="center"/>
                </w:tcPr>
                <w:p w14:paraId="5A3A68D3">
                  <w:pPr>
                    <w:jc w:val="center"/>
                    <w:rPr>
                      <w:color w:val="auto"/>
                      <w:szCs w:val="21"/>
                    </w:rPr>
                  </w:pPr>
                  <w:r>
                    <w:rPr>
                      <w:color w:val="auto"/>
                    </w:rPr>
                    <w:t>900-249-08</w:t>
                  </w:r>
                </w:p>
              </w:tc>
            </w:tr>
            <w:tr w14:paraId="7B87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2375CB0B">
                  <w:pPr>
                    <w:jc w:val="center"/>
                    <w:rPr>
                      <w:color w:val="auto"/>
                      <w:szCs w:val="21"/>
                    </w:rPr>
                  </w:pPr>
                  <w:r>
                    <w:rPr>
                      <w:rFonts w:hint="eastAsia"/>
                      <w:color w:val="auto"/>
                      <w:kern w:val="0"/>
                      <w:szCs w:val="21"/>
                    </w:rPr>
                    <w:t>6</w:t>
                  </w:r>
                </w:p>
              </w:tc>
              <w:tc>
                <w:tcPr>
                  <w:tcW w:w="1951" w:type="dxa"/>
                  <w:vAlign w:val="center"/>
                </w:tcPr>
                <w:p w14:paraId="78FB18B2">
                  <w:pPr>
                    <w:jc w:val="center"/>
                    <w:rPr>
                      <w:color w:val="auto"/>
                      <w:szCs w:val="21"/>
                    </w:rPr>
                  </w:pPr>
                  <w:r>
                    <w:rPr>
                      <w:rFonts w:hint="eastAsia"/>
                      <w:color w:val="auto"/>
                      <w:szCs w:val="21"/>
                    </w:rPr>
                    <w:t>废活性炭</w:t>
                  </w:r>
                </w:p>
              </w:tc>
              <w:tc>
                <w:tcPr>
                  <w:tcW w:w="1478" w:type="dxa"/>
                  <w:vAlign w:val="center"/>
                </w:tcPr>
                <w:p w14:paraId="53EF4B3D">
                  <w:pPr>
                    <w:jc w:val="center"/>
                    <w:rPr>
                      <w:color w:val="auto"/>
                      <w:szCs w:val="21"/>
                    </w:rPr>
                  </w:pPr>
                  <w:r>
                    <w:rPr>
                      <w:rFonts w:hint="eastAsia"/>
                      <w:color w:val="auto"/>
                    </w:rPr>
                    <w:t>废气处理</w:t>
                  </w:r>
                </w:p>
              </w:tc>
              <w:tc>
                <w:tcPr>
                  <w:tcW w:w="1479" w:type="dxa"/>
                  <w:vAlign w:val="center"/>
                </w:tcPr>
                <w:p w14:paraId="1E2656A1">
                  <w:pPr>
                    <w:jc w:val="center"/>
                    <w:rPr>
                      <w:color w:val="auto"/>
                      <w:szCs w:val="21"/>
                    </w:rPr>
                  </w:pPr>
                  <w:r>
                    <w:rPr>
                      <w:rFonts w:hint="eastAsia"/>
                      <w:color w:val="auto"/>
                      <w:kern w:val="0"/>
                      <w:szCs w:val="21"/>
                    </w:rPr>
                    <w:t>是</w:t>
                  </w:r>
                </w:p>
              </w:tc>
              <w:tc>
                <w:tcPr>
                  <w:tcW w:w="1479" w:type="dxa"/>
                  <w:vAlign w:val="center"/>
                </w:tcPr>
                <w:p w14:paraId="3FD60E71">
                  <w:pPr>
                    <w:contextualSpacing/>
                    <w:jc w:val="center"/>
                    <w:rPr>
                      <w:color w:val="auto"/>
                      <w:szCs w:val="21"/>
                    </w:rPr>
                  </w:pPr>
                  <w:r>
                    <w:rPr>
                      <w:color w:val="auto"/>
                      <w:szCs w:val="21"/>
                    </w:rPr>
                    <w:t>HW49</w:t>
                  </w:r>
                </w:p>
              </w:tc>
              <w:tc>
                <w:tcPr>
                  <w:tcW w:w="1479" w:type="dxa"/>
                  <w:vAlign w:val="center"/>
                </w:tcPr>
                <w:p w14:paraId="11F4E87C">
                  <w:pPr>
                    <w:contextualSpacing/>
                    <w:jc w:val="center"/>
                    <w:rPr>
                      <w:color w:val="auto"/>
                      <w:szCs w:val="21"/>
                    </w:rPr>
                  </w:pPr>
                  <w:r>
                    <w:rPr>
                      <w:color w:val="auto"/>
                      <w:szCs w:val="21"/>
                    </w:rPr>
                    <w:t>900-039-49</w:t>
                  </w:r>
                </w:p>
              </w:tc>
            </w:tr>
            <w:tr w14:paraId="6538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vAlign w:val="center"/>
                </w:tcPr>
                <w:p w14:paraId="1AF6D3E6">
                  <w:pPr>
                    <w:jc w:val="center"/>
                    <w:rPr>
                      <w:color w:val="auto"/>
                      <w:szCs w:val="21"/>
                    </w:rPr>
                  </w:pPr>
                  <w:r>
                    <w:rPr>
                      <w:rFonts w:hint="eastAsia"/>
                      <w:color w:val="auto"/>
                      <w:kern w:val="0"/>
                      <w:szCs w:val="21"/>
                    </w:rPr>
                    <w:t>7</w:t>
                  </w:r>
                </w:p>
              </w:tc>
              <w:tc>
                <w:tcPr>
                  <w:tcW w:w="1951" w:type="dxa"/>
                  <w:vAlign w:val="center"/>
                </w:tcPr>
                <w:p w14:paraId="0A2BD016">
                  <w:pPr>
                    <w:jc w:val="center"/>
                    <w:rPr>
                      <w:color w:val="auto"/>
                      <w:szCs w:val="21"/>
                    </w:rPr>
                  </w:pPr>
                  <w:r>
                    <w:rPr>
                      <w:rFonts w:hint="eastAsia"/>
                      <w:color w:val="auto"/>
                      <w:szCs w:val="21"/>
                    </w:rPr>
                    <w:t>含油废劳保</w:t>
                  </w:r>
                </w:p>
              </w:tc>
              <w:tc>
                <w:tcPr>
                  <w:tcW w:w="1478" w:type="dxa"/>
                  <w:vAlign w:val="center"/>
                </w:tcPr>
                <w:p w14:paraId="4DDA91F1">
                  <w:pPr>
                    <w:jc w:val="center"/>
                    <w:rPr>
                      <w:color w:val="auto"/>
                      <w:szCs w:val="21"/>
                    </w:rPr>
                  </w:pPr>
                  <w:r>
                    <w:rPr>
                      <w:rFonts w:hint="eastAsia"/>
                      <w:color w:val="auto"/>
                    </w:rPr>
                    <w:t>设备维护</w:t>
                  </w:r>
                </w:p>
              </w:tc>
              <w:tc>
                <w:tcPr>
                  <w:tcW w:w="1479" w:type="dxa"/>
                  <w:vAlign w:val="center"/>
                </w:tcPr>
                <w:p w14:paraId="551D9BFF">
                  <w:pPr>
                    <w:jc w:val="center"/>
                    <w:rPr>
                      <w:color w:val="auto"/>
                      <w:szCs w:val="21"/>
                    </w:rPr>
                  </w:pPr>
                  <w:r>
                    <w:rPr>
                      <w:rFonts w:hint="eastAsia"/>
                      <w:color w:val="auto"/>
                      <w:kern w:val="0"/>
                      <w:szCs w:val="21"/>
                    </w:rPr>
                    <w:t>是</w:t>
                  </w:r>
                </w:p>
              </w:tc>
              <w:tc>
                <w:tcPr>
                  <w:tcW w:w="1479" w:type="dxa"/>
                  <w:vAlign w:val="center"/>
                </w:tcPr>
                <w:p w14:paraId="6BF6707B">
                  <w:pPr>
                    <w:jc w:val="center"/>
                    <w:rPr>
                      <w:color w:val="auto"/>
                      <w:szCs w:val="21"/>
                    </w:rPr>
                  </w:pPr>
                  <w:r>
                    <w:rPr>
                      <w:rFonts w:hint="eastAsia"/>
                      <w:color w:val="auto"/>
                      <w:kern w:val="0"/>
                      <w:szCs w:val="21"/>
                    </w:rPr>
                    <w:t>HW49</w:t>
                  </w:r>
                </w:p>
              </w:tc>
              <w:tc>
                <w:tcPr>
                  <w:tcW w:w="1479" w:type="dxa"/>
                  <w:vAlign w:val="center"/>
                </w:tcPr>
                <w:p w14:paraId="68461FA2">
                  <w:pPr>
                    <w:jc w:val="center"/>
                    <w:rPr>
                      <w:color w:val="auto"/>
                      <w:szCs w:val="21"/>
                    </w:rPr>
                  </w:pPr>
                  <w:r>
                    <w:rPr>
                      <w:rFonts w:hint="eastAsia"/>
                      <w:color w:val="auto"/>
                      <w:kern w:val="0"/>
                      <w:szCs w:val="21"/>
                    </w:rPr>
                    <w:t>900-041-49</w:t>
                  </w:r>
                </w:p>
              </w:tc>
            </w:tr>
            <w:tr w14:paraId="24CF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5" w:type="dxa"/>
                  <w:vAlign w:val="center"/>
                </w:tcPr>
                <w:p w14:paraId="42D066E2">
                  <w:pPr>
                    <w:jc w:val="center"/>
                    <w:rPr>
                      <w:color w:val="auto"/>
                      <w:szCs w:val="21"/>
                    </w:rPr>
                  </w:pPr>
                  <w:r>
                    <w:rPr>
                      <w:rFonts w:hint="eastAsia"/>
                      <w:color w:val="auto"/>
                      <w:kern w:val="0"/>
                      <w:szCs w:val="21"/>
                    </w:rPr>
                    <w:t>8</w:t>
                  </w:r>
                </w:p>
              </w:tc>
              <w:tc>
                <w:tcPr>
                  <w:tcW w:w="1951" w:type="dxa"/>
                  <w:vAlign w:val="center"/>
                </w:tcPr>
                <w:p w14:paraId="5007B9F4">
                  <w:pPr>
                    <w:jc w:val="center"/>
                    <w:rPr>
                      <w:color w:val="auto"/>
                      <w:szCs w:val="21"/>
                    </w:rPr>
                  </w:pPr>
                  <w:r>
                    <w:rPr>
                      <w:rFonts w:hint="eastAsia"/>
                      <w:color w:val="auto"/>
                    </w:rPr>
                    <w:t>生活垃圾</w:t>
                  </w:r>
                </w:p>
              </w:tc>
              <w:tc>
                <w:tcPr>
                  <w:tcW w:w="1478" w:type="dxa"/>
                  <w:vAlign w:val="center"/>
                </w:tcPr>
                <w:p w14:paraId="537594EA">
                  <w:pPr>
                    <w:jc w:val="center"/>
                    <w:rPr>
                      <w:color w:val="auto"/>
                      <w:szCs w:val="21"/>
                    </w:rPr>
                  </w:pPr>
                  <w:r>
                    <w:rPr>
                      <w:rFonts w:hint="eastAsia"/>
                      <w:color w:val="auto"/>
                    </w:rPr>
                    <w:t>员工生活</w:t>
                  </w:r>
                </w:p>
              </w:tc>
              <w:tc>
                <w:tcPr>
                  <w:tcW w:w="1479" w:type="dxa"/>
                  <w:vAlign w:val="center"/>
                </w:tcPr>
                <w:p w14:paraId="60DEB597">
                  <w:pPr>
                    <w:jc w:val="center"/>
                    <w:rPr>
                      <w:color w:val="auto"/>
                      <w:szCs w:val="21"/>
                    </w:rPr>
                  </w:pPr>
                  <w:r>
                    <w:rPr>
                      <w:rFonts w:hint="eastAsia"/>
                      <w:color w:val="auto"/>
                      <w:kern w:val="0"/>
                      <w:szCs w:val="21"/>
                    </w:rPr>
                    <w:t>否</w:t>
                  </w:r>
                </w:p>
              </w:tc>
              <w:tc>
                <w:tcPr>
                  <w:tcW w:w="1479" w:type="dxa"/>
                  <w:vAlign w:val="center"/>
                </w:tcPr>
                <w:p w14:paraId="5AE940DD">
                  <w:pPr>
                    <w:jc w:val="center"/>
                    <w:rPr>
                      <w:color w:val="auto"/>
                      <w:szCs w:val="21"/>
                    </w:rPr>
                  </w:pPr>
                  <w:r>
                    <w:rPr>
                      <w:rFonts w:hint="eastAsia"/>
                      <w:color w:val="auto"/>
                      <w:kern w:val="0"/>
                      <w:szCs w:val="21"/>
                    </w:rPr>
                    <w:t>--</w:t>
                  </w:r>
                </w:p>
              </w:tc>
              <w:tc>
                <w:tcPr>
                  <w:tcW w:w="1479" w:type="dxa"/>
                  <w:vAlign w:val="center"/>
                </w:tcPr>
                <w:p w14:paraId="416A446A">
                  <w:pPr>
                    <w:jc w:val="center"/>
                    <w:rPr>
                      <w:color w:val="auto"/>
                      <w:szCs w:val="21"/>
                    </w:rPr>
                  </w:pPr>
                  <w:r>
                    <w:rPr>
                      <w:rFonts w:hint="eastAsia"/>
                      <w:color w:val="auto"/>
                      <w:kern w:val="0"/>
                      <w:szCs w:val="21"/>
                    </w:rPr>
                    <w:t>--</w:t>
                  </w:r>
                </w:p>
              </w:tc>
            </w:tr>
          </w:tbl>
          <w:p w14:paraId="42A61411">
            <w:pPr>
              <w:spacing w:before="120" w:beforeLines="50" w:line="360" w:lineRule="auto"/>
              <w:ind w:firstLine="480" w:firstLineChars="200"/>
              <w:rPr>
                <w:color w:val="auto"/>
                <w:sz w:val="24"/>
                <w:szCs w:val="21"/>
              </w:rPr>
            </w:pPr>
            <w:r>
              <w:rPr>
                <w:rFonts w:hint="eastAsia"/>
                <w:color w:val="auto"/>
                <w:sz w:val="24"/>
                <w:szCs w:val="21"/>
              </w:rPr>
              <w:t>4、一般固废产生情况与处置方式</w:t>
            </w:r>
          </w:p>
          <w:p w14:paraId="785CB57A">
            <w:pPr>
              <w:adjustRightInd w:val="0"/>
              <w:spacing w:line="360" w:lineRule="auto"/>
              <w:ind w:firstLine="425"/>
              <w:rPr>
                <w:color w:val="auto"/>
                <w:sz w:val="24"/>
              </w:rPr>
            </w:pPr>
            <w:r>
              <w:rPr>
                <w:rFonts w:hint="eastAsia"/>
                <w:color w:val="auto"/>
                <w:sz w:val="24"/>
              </w:rPr>
              <w:t>本项目一般固废产生情况见下表。</w:t>
            </w:r>
          </w:p>
          <w:p w14:paraId="17AAF957">
            <w:pPr>
              <w:numPr>
                <w:ilvl w:val="0"/>
                <w:numId w:val="27"/>
              </w:numPr>
              <w:adjustRightInd w:val="0"/>
              <w:snapToGrid w:val="0"/>
              <w:spacing w:before="48" w:beforeLines="20" w:after="48" w:afterLines="20" w:line="0" w:lineRule="atLeast"/>
              <w:jc w:val="center"/>
              <w:rPr>
                <w:b/>
                <w:bCs/>
                <w:color w:val="auto"/>
              </w:rPr>
            </w:pPr>
            <w:r>
              <w:rPr>
                <w:rFonts w:hint="eastAsia"/>
                <w:b/>
                <w:bCs/>
                <w:color w:val="auto"/>
                <w:sz w:val="24"/>
              </w:rPr>
              <w:t>本项目一般固废产生情况汇总表</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889"/>
              <w:gridCol w:w="1243"/>
              <w:gridCol w:w="869"/>
              <w:gridCol w:w="1728"/>
              <w:gridCol w:w="936"/>
              <w:gridCol w:w="1546"/>
            </w:tblGrid>
            <w:tr w14:paraId="66E8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Align w:val="center"/>
                </w:tcPr>
                <w:p w14:paraId="152C475D">
                  <w:pPr>
                    <w:jc w:val="center"/>
                    <w:rPr>
                      <w:color w:val="auto"/>
                      <w:sz w:val="24"/>
                    </w:rPr>
                  </w:pPr>
                  <w:r>
                    <w:rPr>
                      <w:color w:val="auto"/>
                      <w:szCs w:val="21"/>
                    </w:rPr>
                    <w:t>序号</w:t>
                  </w:r>
                </w:p>
              </w:tc>
              <w:tc>
                <w:tcPr>
                  <w:tcW w:w="1889" w:type="dxa"/>
                  <w:vAlign w:val="center"/>
                </w:tcPr>
                <w:p w14:paraId="5EBA7C92">
                  <w:pPr>
                    <w:jc w:val="center"/>
                    <w:rPr>
                      <w:color w:val="auto"/>
                      <w:sz w:val="24"/>
                    </w:rPr>
                  </w:pPr>
                  <w:r>
                    <w:rPr>
                      <w:color w:val="auto"/>
                      <w:szCs w:val="21"/>
                    </w:rPr>
                    <w:t>名称</w:t>
                  </w:r>
                </w:p>
              </w:tc>
              <w:tc>
                <w:tcPr>
                  <w:tcW w:w="1243" w:type="dxa"/>
                  <w:vAlign w:val="center"/>
                </w:tcPr>
                <w:p w14:paraId="3349D950">
                  <w:pPr>
                    <w:jc w:val="center"/>
                    <w:rPr>
                      <w:color w:val="auto"/>
                      <w:sz w:val="24"/>
                    </w:rPr>
                  </w:pPr>
                  <w:r>
                    <w:rPr>
                      <w:color w:val="auto"/>
                      <w:szCs w:val="21"/>
                    </w:rPr>
                    <w:t>产生工序</w:t>
                  </w:r>
                </w:p>
              </w:tc>
              <w:tc>
                <w:tcPr>
                  <w:tcW w:w="869" w:type="dxa"/>
                  <w:vAlign w:val="center"/>
                </w:tcPr>
                <w:p w14:paraId="33229799">
                  <w:pPr>
                    <w:jc w:val="center"/>
                    <w:rPr>
                      <w:color w:val="auto"/>
                      <w:sz w:val="24"/>
                    </w:rPr>
                  </w:pPr>
                  <w:r>
                    <w:rPr>
                      <w:color w:val="auto"/>
                      <w:szCs w:val="21"/>
                    </w:rPr>
                    <w:t>形态</w:t>
                  </w:r>
                </w:p>
              </w:tc>
              <w:tc>
                <w:tcPr>
                  <w:tcW w:w="1728" w:type="dxa"/>
                  <w:vAlign w:val="center"/>
                </w:tcPr>
                <w:p w14:paraId="511E91A3">
                  <w:pPr>
                    <w:jc w:val="center"/>
                    <w:rPr>
                      <w:color w:val="auto"/>
                      <w:sz w:val="24"/>
                    </w:rPr>
                  </w:pPr>
                  <w:r>
                    <w:rPr>
                      <w:color w:val="auto"/>
                      <w:szCs w:val="21"/>
                    </w:rPr>
                    <w:t>主要成分</w:t>
                  </w:r>
                </w:p>
              </w:tc>
              <w:tc>
                <w:tcPr>
                  <w:tcW w:w="936" w:type="dxa"/>
                  <w:vAlign w:val="center"/>
                </w:tcPr>
                <w:p w14:paraId="1CC5F7E1">
                  <w:pPr>
                    <w:jc w:val="center"/>
                    <w:rPr>
                      <w:color w:val="auto"/>
                      <w:sz w:val="24"/>
                    </w:rPr>
                  </w:pPr>
                  <w:r>
                    <w:rPr>
                      <w:color w:val="auto"/>
                      <w:szCs w:val="21"/>
                    </w:rPr>
                    <w:t>产生量（t/a）</w:t>
                  </w:r>
                </w:p>
              </w:tc>
              <w:tc>
                <w:tcPr>
                  <w:tcW w:w="1546" w:type="dxa"/>
                  <w:vAlign w:val="center"/>
                </w:tcPr>
                <w:p w14:paraId="71C32829">
                  <w:pPr>
                    <w:jc w:val="center"/>
                    <w:rPr>
                      <w:color w:val="auto"/>
                      <w:sz w:val="24"/>
                    </w:rPr>
                  </w:pPr>
                  <w:r>
                    <w:rPr>
                      <w:color w:val="auto"/>
                      <w:szCs w:val="21"/>
                    </w:rPr>
                    <w:t>处置方式</w:t>
                  </w:r>
                </w:p>
              </w:tc>
            </w:tr>
            <w:tr w14:paraId="6D6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Align w:val="center"/>
                </w:tcPr>
                <w:p w14:paraId="7F49FDBE">
                  <w:pPr>
                    <w:jc w:val="center"/>
                    <w:rPr>
                      <w:rFonts w:hint="eastAsia" w:eastAsia="宋体"/>
                      <w:color w:val="auto"/>
                      <w:szCs w:val="21"/>
                      <w:lang w:val="en-US" w:eastAsia="zh-CN"/>
                    </w:rPr>
                  </w:pPr>
                  <w:r>
                    <w:rPr>
                      <w:rFonts w:hint="eastAsia"/>
                      <w:color w:val="auto"/>
                      <w:szCs w:val="21"/>
                      <w:lang w:val="en-US" w:eastAsia="zh-CN"/>
                    </w:rPr>
                    <w:t>1</w:t>
                  </w:r>
                </w:p>
              </w:tc>
              <w:tc>
                <w:tcPr>
                  <w:tcW w:w="1889" w:type="dxa"/>
                  <w:vAlign w:val="center"/>
                </w:tcPr>
                <w:p w14:paraId="52D587F4">
                  <w:pPr>
                    <w:jc w:val="center"/>
                    <w:rPr>
                      <w:rFonts w:hint="eastAsia"/>
                      <w:color w:val="auto"/>
                      <w:szCs w:val="21"/>
                    </w:rPr>
                  </w:pPr>
                  <w:r>
                    <w:rPr>
                      <w:rFonts w:hint="eastAsia"/>
                      <w:color w:val="auto"/>
                      <w:szCs w:val="21"/>
                    </w:rPr>
                    <w:t>收集粉尘</w:t>
                  </w:r>
                </w:p>
              </w:tc>
              <w:tc>
                <w:tcPr>
                  <w:tcW w:w="1243" w:type="dxa"/>
                  <w:vAlign w:val="center"/>
                </w:tcPr>
                <w:p w14:paraId="023863FF">
                  <w:pPr>
                    <w:jc w:val="center"/>
                    <w:rPr>
                      <w:rFonts w:hint="eastAsia"/>
                      <w:color w:val="auto"/>
                    </w:rPr>
                  </w:pPr>
                  <w:r>
                    <w:rPr>
                      <w:rFonts w:hint="eastAsia"/>
                      <w:color w:val="auto"/>
                    </w:rPr>
                    <w:t>废气处理</w:t>
                  </w:r>
                </w:p>
              </w:tc>
              <w:tc>
                <w:tcPr>
                  <w:tcW w:w="869" w:type="dxa"/>
                  <w:vAlign w:val="center"/>
                </w:tcPr>
                <w:p w14:paraId="7236585A">
                  <w:pPr>
                    <w:jc w:val="center"/>
                    <w:rPr>
                      <w:rFonts w:hint="eastAsia"/>
                      <w:color w:val="auto"/>
                      <w:szCs w:val="21"/>
                    </w:rPr>
                  </w:pPr>
                  <w:r>
                    <w:rPr>
                      <w:rFonts w:hint="eastAsia"/>
                      <w:color w:val="auto"/>
                      <w:szCs w:val="21"/>
                    </w:rPr>
                    <w:t>固态</w:t>
                  </w:r>
                </w:p>
              </w:tc>
              <w:tc>
                <w:tcPr>
                  <w:tcW w:w="1728" w:type="dxa"/>
                  <w:vAlign w:val="center"/>
                </w:tcPr>
                <w:p w14:paraId="4282B230">
                  <w:pPr>
                    <w:jc w:val="center"/>
                    <w:rPr>
                      <w:rFonts w:hint="eastAsia"/>
                      <w:color w:val="auto"/>
                    </w:rPr>
                  </w:pPr>
                  <w:r>
                    <w:rPr>
                      <w:rFonts w:hint="eastAsia"/>
                      <w:color w:val="auto"/>
                    </w:rPr>
                    <w:t>混料粉尘</w:t>
                  </w:r>
                </w:p>
              </w:tc>
              <w:tc>
                <w:tcPr>
                  <w:tcW w:w="936" w:type="dxa"/>
                  <w:vAlign w:val="center"/>
                </w:tcPr>
                <w:p w14:paraId="7C6F3A69">
                  <w:pPr>
                    <w:jc w:val="center"/>
                    <w:rPr>
                      <w:rFonts w:hint="default"/>
                      <w:color w:val="auto"/>
                      <w:szCs w:val="21"/>
                      <w:lang w:val="en-US" w:eastAsia="zh-CN"/>
                    </w:rPr>
                  </w:pPr>
                  <w:r>
                    <w:rPr>
                      <w:rFonts w:hint="eastAsia"/>
                      <w:color w:val="auto"/>
                      <w:szCs w:val="21"/>
                      <w:lang w:val="en-US" w:eastAsia="zh-CN"/>
                    </w:rPr>
                    <w:t>37.498</w:t>
                  </w:r>
                </w:p>
              </w:tc>
              <w:tc>
                <w:tcPr>
                  <w:tcW w:w="1546" w:type="dxa"/>
                  <w:vAlign w:val="center"/>
                </w:tcPr>
                <w:p w14:paraId="16D23290">
                  <w:pPr>
                    <w:jc w:val="center"/>
                    <w:rPr>
                      <w:rFonts w:hint="eastAsia"/>
                      <w:color w:val="auto"/>
                      <w:szCs w:val="21"/>
                    </w:rPr>
                  </w:pPr>
                  <w:r>
                    <w:rPr>
                      <w:rFonts w:hint="eastAsia"/>
                      <w:color w:val="auto"/>
                      <w:szCs w:val="21"/>
                    </w:rPr>
                    <w:t>回用于生产</w:t>
                  </w:r>
                </w:p>
              </w:tc>
            </w:tr>
            <w:tr w14:paraId="0736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Align w:val="center"/>
                </w:tcPr>
                <w:p w14:paraId="08397977">
                  <w:pPr>
                    <w:jc w:val="center"/>
                    <w:rPr>
                      <w:color w:val="auto"/>
                      <w:szCs w:val="21"/>
                    </w:rPr>
                  </w:pPr>
                  <w:r>
                    <w:rPr>
                      <w:rFonts w:hint="eastAsia"/>
                      <w:color w:val="auto"/>
                      <w:szCs w:val="21"/>
                    </w:rPr>
                    <w:t>2</w:t>
                  </w:r>
                </w:p>
              </w:tc>
              <w:tc>
                <w:tcPr>
                  <w:tcW w:w="1889" w:type="dxa"/>
                  <w:vAlign w:val="center"/>
                </w:tcPr>
                <w:p w14:paraId="1FF580B5">
                  <w:pPr>
                    <w:jc w:val="center"/>
                    <w:rPr>
                      <w:color w:val="auto"/>
                      <w:szCs w:val="21"/>
                    </w:rPr>
                  </w:pPr>
                  <w:r>
                    <w:rPr>
                      <w:rFonts w:hint="eastAsia"/>
                      <w:color w:val="auto"/>
                      <w:szCs w:val="21"/>
                    </w:rPr>
                    <w:t>边角料、不合格品</w:t>
                  </w:r>
                </w:p>
              </w:tc>
              <w:tc>
                <w:tcPr>
                  <w:tcW w:w="1243" w:type="dxa"/>
                  <w:vAlign w:val="center"/>
                </w:tcPr>
                <w:p w14:paraId="28575541">
                  <w:pPr>
                    <w:jc w:val="center"/>
                    <w:rPr>
                      <w:color w:val="auto"/>
                      <w:szCs w:val="21"/>
                    </w:rPr>
                  </w:pPr>
                  <w:r>
                    <w:rPr>
                      <w:rFonts w:hint="eastAsia"/>
                      <w:color w:val="auto"/>
                    </w:rPr>
                    <w:t>裁切、检验</w:t>
                  </w:r>
                </w:p>
              </w:tc>
              <w:tc>
                <w:tcPr>
                  <w:tcW w:w="869" w:type="dxa"/>
                  <w:vAlign w:val="center"/>
                </w:tcPr>
                <w:p w14:paraId="396E6C9D">
                  <w:pPr>
                    <w:jc w:val="center"/>
                    <w:rPr>
                      <w:color w:val="auto"/>
                      <w:szCs w:val="21"/>
                    </w:rPr>
                  </w:pPr>
                  <w:r>
                    <w:rPr>
                      <w:rFonts w:hint="eastAsia"/>
                      <w:color w:val="auto"/>
                      <w:szCs w:val="21"/>
                    </w:rPr>
                    <w:t>固态</w:t>
                  </w:r>
                </w:p>
              </w:tc>
              <w:tc>
                <w:tcPr>
                  <w:tcW w:w="1728" w:type="dxa"/>
                  <w:vAlign w:val="center"/>
                </w:tcPr>
                <w:p w14:paraId="5C49A03F">
                  <w:pPr>
                    <w:jc w:val="center"/>
                    <w:rPr>
                      <w:color w:val="auto"/>
                      <w:szCs w:val="21"/>
                    </w:rPr>
                  </w:pPr>
                  <w:r>
                    <w:rPr>
                      <w:rFonts w:hint="eastAsia"/>
                      <w:color w:val="auto"/>
                    </w:rPr>
                    <w:t>边角料</w:t>
                  </w:r>
                </w:p>
              </w:tc>
              <w:tc>
                <w:tcPr>
                  <w:tcW w:w="936" w:type="dxa"/>
                  <w:vAlign w:val="center"/>
                </w:tcPr>
                <w:p w14:paraId="0F95693B">
                  <w:pPr>
                    <w:jc w:val="center"/>
                    <w:rPr>
                      <w:rFonts w:hint="default" w:eastAsia="宋体"/>
                      <w:color w:val="auto"/>
                      <w:szCs w:val="21"/>
                      <w:lang w:val="en-US" w:eastAsia="zh-CN"/>
                    </w:rPr>
                  </w:pPr>
                  <w:r>
                    <w:rPr>
                      <w:rFonts w:hint="eastAsia"/>
                      <w:color w:val="auto"/>
                      <w:szCs w:val="21"/>
                      <w:lang w:val="en-US" w:eastAsia="zh-CN"/>
                    </w:rPr>
                    <w:t>121.954</w:t>
                  </w:r>
                </w:p>
              </w:tc>
              <w:tc>
                <w:tcPr>
                  <w:tcW w:w="1546" w:type="dxa"/>
                  <w:vMerge w:val="restart"/>
                  <w:vAlign w:val="center"/>
                </w:tcPr>
                <w:p w14:paraId="4FF9ED36">
                  <w:pPr>
                    <w:jc w:val="center"/>
                    <w:rPr>
                      <w:color w:val="auto"/>
                      <w:szCs w:val="21"/>
                    </w:rPr>
                  </w:pPr>
                  <w:r>
                    <w:rPr>
                      <w:rFonts w:hint="eastAsia"/>
                      <w:color w:val="auto"/>
                      <w:szCs w:val="21"/>
                    </w:rPr>
                    <w:t>出售给回收公司综合利用</w:t>
                  </w:r>
                </w:p>
              </w:tc>
            </w:tr>
            <w:tr w14:paraId="24B7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Align w:val="center"/>
                </w:tcPr>
                <w:p w14:paraId="4CD15D41">
                  <w:pPr>
                    <w:jc w:val="center"/>
                    <w:rPr>
                      <w:color w:val="auto"/>
                      <w:szCs w:val="21"/>
                    </w:rPr>
                  </w:pPr>
                  <w:r>
                    <w:rPr>
                      <w:rFonts w:hint="eastAsia"/>
                      <w:color w:val="auto"/>
                      <w:szCs w:val="21"/>
                    </w:rPr>
                    <w:t>3</w:t>
                  </w:r>
                </w:p>
              </w:tc>
              <w:tc>
                <w:tcPr>
                  <w:tcW w:w="1889" w:type="dxa"/>
                  <w:vAlign w:val="center"/>
                </w:tcPr>
                <w:p w14:paraId="16F3530B">
                  <w:pPr>
                    <w:jc w:val="center"/>
                    <w:rPr>
                      <w:color w:val="auto"/>
                      <w:szCs w:val="21"/>
                    </w:rPr>
                  </w:pPr>
                  <w:r>
                    <w:rPr>
                      <w:rFonts w:hint="eastAsia"/>
                      <w:color w:val="auto"/>
                      <w:szCs w:val="21"/>
                    </w:rPr>
                    <w:t>一般废包装材料</w:t>
                  </w:r>
                </w:p>
              </w:tc>
              <w:tc>
                <w:tcPr>
                  <w:tcW w:w="1243" w:type="dxa"/>
                  <w:vAlign w:val="center"/>
                </w:tcPr>
                <w:p w14:paraId="0FC58AF7">
                  <w:pPr>
                    <w:jc w:val="center"/>
                    <w:rPr>
                      <w:color w:val="auto"/>
                      <w:szCs w:val="21"/>
                    </w:rPr>
                  </w:pPr>
                  <w:r>
                    <w:rPr>
                      <w:rFonts w:hint="eastAsia"/>
                      <w:color w:val="auto"/>
                    </w:rPr>
                    <w:t>原料使用</w:t>
                  </w:r>
                </w:p>
              </w:tc>
              <w:tc>
                <w:tcPr>
                  <w:tcW w:w="869" w:type="dxa"/>
                  <w:vAlign w:val="center"/>
                </w:tcPr>
                <w:p w14:paraId="2870E186">
                  <w:pPr>
                    <w:jc w:val="center"/>
                    <w:rPr>
                      <w:color w:val="auto"/>
                      <w:szCs w:val="21"/>
                    </w:rPr>
                  </w:pPr>
                  <w:r>
                    <w:rPr>
                      <w:rFonts w:hint="eastAsia"/>
                      <w:color w:val="auto"/>
                      <w:szCs w:val="21"/>
                    </w:rPr>
                    <w:t>固态</w:t>
                  </w:r>
                </w:p>
              </w:tc>
              <w:tc>
                <w:tcPr>
                  <w:tcW w:w="1728" w:type="dxa"/>
                  <w:vAlign w:val="center"/>
                </w:tcPr>
                <w:p w14:paraId="0D88A993">
                  <w:pPr>
                    <w:jc w:val="center"/>
                    <w:rPr>
                      <w:color w:val="auto"/>
                      <w:szCs w:val="21"/>
                    </w:rPr>
                  </w:pPr>
                  <w:r>
                    <w:rPr>
                      <w:rFonts w:hint="eastAsia"/>
                      <w:color w:val="auto"/>
                    </w:rPr>
                    <w:t>包装袋</w:t>
                  </w:r>
                  <w:r>
                    <w:rPr>
                      <w:color w:val="auto"/>
                    </w:rPr>
                    <w:t>等</w:t>
                  </w:r>
                </w:p>
              </w:tc>
              <w:tc>
                <w:tcPr>
                  <w:tcW w:w="936" w:type="dxa"/>
                  <w:vAlign w:val="center"/>
                </w:tcPr>
                <w:p w14:paraId="4EDE225A">
                  <w:pPr>
                    <w:jc w:val="center"/>
                    <w:rPr>
                      <w:rFonts w:hint="default" w:eastAsia="宋体"/>
                      <w:color w:val="auto"/>
                      <w:szCs w:val="21"/>
                      <w:lang w:val="en-US" w:eastAsia="zh-CN"/>
                    </w:rPr>
                  </w:pPr>
                  <w:r>
                    <w:rPr>
                      <w:rFonts w:hint="eastAsia"/>
                      <w:color w:val="auto"/>
                      <w:szCs w:val="21"/>
                      <w:lang w:val="en-US" w:eastAsia="zh-CN"/>
                    </w:rPr>
                    <w:t>26.496</w:t>
                  </w:r>
                </w:p>
              </w:tc>
              <w:tc>
                <w:tcPr>
                  <w:tcW w:w="1546" w:type="dxa"/>
                  <w:vMerge w:val="continue"/>
                  <w:vAlign w:val="center"/>
                </w:tcPr>
                <w:p w14:paraId="3AD8A825">
                  <w:pPr>
                    <w:jc w:val="center"/>
                    <w:rPr>
                      <w:color w:val="auto"/>
                      <w:szCs w:val="21"/>
                    </w:rPr>
                  </w:pPr>
                </w:p>
              </w:tc>
            </w:tr>
            <w:tr w14:paraId="6037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vAlign w:val="center"/>
                </w:tcPr>
                <w:p w14:paraId="28B4F9B0">
                  <w:pPr>
                    <w:jc w:val="center"/>
                    <w:rPr>
                      <w:color w:val="auto"/>
                      <w:szCs w:val="21"/>
                    </w:rPr>
                  </w:pPr>
                  <w:r>
                    <w:rPr>
                      <w:rFonts w:hint="eastAsia"/>
                      <w:color w:val="auto"/>
                      <w:szCs w:val="21"/>
                    </w:rPr>
                    <w:t>4</w:t>
                  </w:r>
                </w:p>
              </w:tc>
              <w:tc>
                <w:tcPr>
                  <w:tcW w:w="1889" w:type="dxa"/>
                  <w:vAlign w:val="center"/>
                </w:tcPr>
                <w:p w14:paraId="41DB9F91">
                  <w:pPr>
                    <w:jc w:val="center"/>
                    <w:rPr>
                      <w:color w:val="auto"/>
                      <w:szCs w:val="21"/>
                    </w:rPr>
                  </w:pPr>
                  <w:r>
                    <w:rPr>
                      <w:rFonts w:hint="eastAsia"/>
                      <w:color w:val="auto"/>
                      <w:szCs w:val="21"/>
                    </w:rPr>
                    <w:t>生活垃圾</w:t>
                  </w:r>
                </w:p>
              </w:tc>
              <w:tc>
                <w:tcPr>
                  <w:tcW w:w="1243" w:type="dxa"/>
                  <w:vAlign w:val="center"/>
                </w:tcPr>
                <w:p w14:paraId="21855438">
                  <w:pPr>
                    <w:jc w:val="center"/>
                    <w:rPr>
                      <w:color w:val="auto"/>
                      <w:szCs w:val="21"/>
                    </w:rPr>
                  </w:pPr>
                  <w:r>
                    <w:rPr>
                      <w:rFonts w:hint="eastAsia"/>
                      <w:color w:val="auto"/>
                      <w:szCs w:val="21"/>
                    </w:rPr>
                    <w:t>员工生活</w:t>
                  </w:r>
                </w:p>
              </w:tc>
              <w:tc>
                <w:tcPr>
                  <w:tcW w:w="869" w:type="dxa"/>
                  <w:vAlign w:val="center"/>
                </w:tcPr>
                <w:p w14:paraId="12FCBA52">
                  <w:pPr>
                    <w:jc w:val="center"/>
                    <w:rPr>
                      <w:color w:val="auto"/>
                      <w:szCs w:val="21"/>
                    </w:rPr>
                  </w:pPr>
                  <w:r>
                    <w:rPr>
                      <w:rFonts w:hint="eastAsia"/>
                      <w:color w:val="auto"/>
                      <w:szCs w:val="21"/>
                    </w:rPr>
                    <w:t>固态</w:t>
                  </w:r>
                </w:p>
              </w:tc>
              <w:tc>
                <w:tcPr>
                  <w:tcW w:w="1728" w:type="dxa"/>
                  <w:vAlign w:val="center"/>
                </w:tcPr>
                <w:p w14:paraId="04848454">
                  <w:pPr>
                    <w:jc w:val="center"/>
                    <w:rPr>
                      <w:color w:val="auto"/>
                      <w:szCs w:val="21"/>
                    </w:rPr>
                  </w:pPr>
                  <w:r>
                    <w:rPr>
                      <w:rFonts w:hint="eastAsia"/>
                      <w:color w:val="auto"/>
                      <w:szCs w:val="21"/>
                    </w:rPr>
                    <w:t>果壳、纸张、塑料等</w:t>
                  </w:r>
                </w:p>
              </w:tc>
              <w:tc>
                <w:tcPr>
                  <w:tcW w:w="936" w:type="dxa"/>
                  <w:vAlign w:val="center"/>
                </w:tcPr>
                <w:p w14:paraId="6AD54841">
                  <w:pPr>
                    <w:jc w:val="center"/>
                    <w:rPr>
                      <w:color w:val="auto"/>
                      <w:szCs w:val="21"/>
                    </w:rPr>
                  </w:pPr>
                  <w:r>
                    <w:rPr>
                      <w:rFonts w:hint="eastAsia"/>
                      <w:color w:val="auto"/>
                      <w:szCs w:val="21"/>
                    </w:rPr>
                    <w:t>4.5</w:t>
                  </w:r>
                </w:p>
              </w:tc>
              <w:tc>
                <w:tcPr>
                  <w:tcW w:w="1546" w:type="dxa"/>
                  <w:vAlign w:val="center"/>
                </w:tcPr>
                <w:p w14:paraId="1341D93B">
                  <w:pPr>
                    <w:jc w:val="center"/>
                    <w:rPr>
                      <w:color w:val="auto"/>
                      <w:szCs w:val="21"/>
                    </w:rPr>
                  </w:pPr>
                  <w:r>
                    <w:rPr>
                      <w:rFonts w:hint="eastAsia"/>
                      <w:color w:val="auto"/>
                      <w:kern w:val="0"/>
                      <w:szCs w:val="21"/>
                    </w:rPr>
                    <w:t>环卫部门清运</w:t>
                  </w:r>
                </w:p>
              </w:tc>
            </w:tr>
          </w:tbl>
          <w:p w14:paraId="48F9AD36">
            <w:pPr>
              <w:spacing w:before="120" w:beforeLines="50" w:line="360" w:lineRule="auto"/>
              <w:ind w:firstLine="480" w:firstLineChars="200"/>
              <w:rPr>
                <w:color w:val="auto"/>
                <w:sz w:val="24"/>
                <w:szCs w:val="21"/>
              </w:rPr>
            </w:pPr>
            <w:r>
              <w:rPr>
                <w:rFonts w:hint="eastAsia"/>
                <w:color w:val="auto"/>
                <w:sz w:val="24"/>
                <w:szCs w:val="21"/>
              </w:rPr>
              <w:t>5、危险废物产生情况与处置方式</w:t>
            </w:r>
          </w:p>
          <w:p w14:paraId="2D76C882">
            <w:pPr>
              <w:adjustRightInd w:val="0"/>
              <w:spacing w:line="360" w:lineRule="auto"/>
              <w:ind w:firstLine="425"/>
              <w:rPr>
                <w:color w:val="auto"/>
                <w:sz w:val="24"/>
              </w:rPr>
            </w:pPr>
            <w:r>
              <w:rPr>
                <w:rFonts w:hint="eastAsia"/>
                <w:color w:val="auto"/>
                <w:sz w:val="24"/>
              </w:rPr>
              <w:t>本项目危险废物产生情况见下表。</w:t>
            </w:r>
          </w:p>
          <w:p w14:paraId="40F6FF8A">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本项目危险废物产生情况汇总表</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636"/>
              <w:gridCol w:w="708"/>
              <w:gridCol w:w="1068"/>
              <w:gridCol w:w="711"/>
              <w:gridCol w:w="792"/>
              <w:gridCol w:w="456"/>
              <w:gridCol w:w="792"/>
              <w:gridCol w:w="696"/>
              <w:gridCol w:w="720"/>
              <w:gridCol w:w="768"/>
              <w:gridCol w:w="1135"/>
            </w:tblGrid>
            <w:tr w14:paraId="0365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dxa"/>
                  <w:vAlign w:val="center"/>
                </w:tcPr>
                <w:p w14:paraId="5EB62294">
                  <w:pPr>
                    <w:topLinePunct/>
                    <w:adjustRightInd w:val="0"/>
                    <w:snapToGrid w:val="0"/>
                    <w:jc w:val="center"/>
                    <w:rPr>
                      <w:color w:val="auto"/>
                      <w:sz w:val="18"/>
                      <w:szCs w:val="18"/>
                    </w:rPr>
                  </w:pPr>
                  <w:r>
                    <w:rPr>
                      <w:color w:val="auto"/>
                      <w:kern w:val="0"/>
                      <w:sz w:val="18"/>
                      <w:szCs w:val="18"/>
                    </w:rPr>
                    <w:t>序号</w:t>
                  </w:r>
                </w:p>
              </w:tc>
              <w:tc>
                <w:tcPr>
                  <w:tcW w:w="636" w:type="dxa"/>
                  <w:vAlign w:val="center"/>
                </w:tcPr>
                <w:p w14:paraId="0C59729E">
                  <w:pPr>
                    <w:topLinePunct/>
                    <w:adjustRightInd w:val="0"/>
                    <w:snapToGrid w:val="0"/>
                    <w:jc w:val="center"/>
                    <w:rPr>
                      <w:color w:val="auto"/>
                      <w:kern w:val="0"/>
                      <w:sz w:val="18"/>
                      <w:szCs w:val="18"/>
                    </w:rPr>
                  </w:pPr>
                  <w:r>
                    <w:rPr>
                      <w:color w:val="auto"/>
                      <w:kern w:val="0"/>
                      <w:sz w:val="18"/>
                      <w:szCs w:val="18"/>
                    </w:rPr>
                    <w:t>危险废物</w:t>
                  </w:r>
                </w:p>
                <w:p w14:paraId="5E8ECB9F">
                  <w:pPr>
                    <w:topLinePunct/>
                    <w:adjustRightInd w:val="0"/>
                    <w:snapToGrid w:val="0"/>
                    <w:jc w:val="center"/>
                    <w:rPr>
                      <w:color w:val="auto"/>
                      <w:sz w:val="18"/>
                      <w:szCs w:val="18"/>
                    </w:rPr>
                  </w:pPr>
                  <w:r>
                    <w:rPr>
                      <w:color w:val="auto"/>
                      <w:kern w:val="0"/>
                      <w:sz w:val="18"/>
                      <w:szCs w:val="18"/>
                    </w:rPr>
                    <w:t>名称</w:t>
                  </w:r>
                </w:p>
              </w:tc>
              <w:tc>
                <w:tcPr>
                  <w:tcW w:w="708" w:type="dxa"/>
                  <w:vAlign w:val="center"/>
                </w:tcPr>
                <w:p w14:paraId="272683C1">
                  <w:pPr>
                    <w:topLinePunct/>
                    <w:adjustRightInd w:val="0"/>
                    <w:snapToGrid w:val="0"/>
                    <w:jc w:val="center"/>
                    <w:rPr>
                      <w:color w:val="auto"/>
                      <w:sz w:val="18"/>
                      <w:szCs w:val="18"/>
                    </w:rPr>
                  </w:pPr>
                  <w:r>
                    <w:rPr>
                      <w:color w:val="auto"/>
                      <w:kern w:val="0"/>
                      <w:sz w:val="18"/>
                      <w:szCs w:val="18"/>
                    </w:rPr>
                    <w:t>危险废物类别</w:t>
                  </w:r>
                </w:p>
              </w:tc>
              <w:tc>
                <w:tcPr>
                  <w:tcW w:w="1068" w:type="dxa"/>
                  <w:vAlign w:val="center"/>
                </w:tcPr>
                <w:p w14:paraId="0B9959A9">
                  <w:pPr>
                    <w:topLinePunct/>
                    <w:adjustRightInd w:val="0"/>
                    <w:snapToGrid w:val="0"/>
                    <w:jc w:val="center"/>
                    <w:rPr>
                      <w:color w:val="auto"/>
                      <w:kern w:val="0"/>
                      <w:sz w:val="18"/>
                      <w:szCs w:val="18"/>
                    </w:rPr>
                  </w:pPr>
                  <w:r>
                    <w:rPr>
                      <w:color w:val="auto"/>
                      <w:kern w:val="0"/>
                      <w:sz w:val="18"/>
                      <w:szCs w:val="18"/>
                    </w:rPr>
                    <w:t>危险废物</w:t>
                  </w:r>
                </w:p>
                <w:p w14:paraId="15115401">
                  <w:pPr>
                    <w:topLinePunct/>
                    <w:adjustRightInd w:val="0"/>
                    <w:snapToGrid w:val="0"/>
                    <w:jc w:val="center"/>
                    <w:rPr>
                      <w:color w:val="auto"/>
                      <w:sz w:val="18"/>
                      <w:szCs w:val="18"/>
                    </w:rPr>
                  </w:pPr>
                  <w:r>
                    <w:rPr>
                      <w:color w:val="auto"/>
                      <w:kern w:val="0"/>
                      <w:sz w:val="18"/>
                      <w:szCs w:val="18"/>
                    </w:rPr>
                    <w:t>代码</w:t>
                  </w:r>
                </w:p>
              </w:tc>
              <w:tc>
                <w:tcPr>
                  <w:tcW w:w="711" w:type="dxa"/>
                  <w:vAlign w:val="center"/>
                </w:tcPr>
                <w:p w14:paraId="54D07943">
                  <w:pPr>
                    <w:topLinePunct/>
                    <w:adjustRightInd w:val="0"/>
                    <w:snapToGrid w:val="0"/>
                    <w:jc w:val="center"/>
                    <w:rPr>
                      <w:color w:val="auto"/>
                      <w:sz w:val="18"/>
                      <w:szCs w:val="18"/>
                    </w:rPr>
                  </w:pPr>
                  <w:r>
                    <w:rPr>
                      <w:color w:val="auto"/>
                      <w:kern w:val="0"/>
                      <w:sz w:val="18"/>
                      <w:szCs w:val="18"/>
                    </w:rPr>
                    <w:t>产生量（t/a）</w:t>
                  </w:r>
                </w:p>
              </w:tc>
              <w:tc>
                <w:tcPr>
                  <w:tcW w:w="792" w:type="dxa"/>
                  <w:vAlign w:val="center"/>
                </w:tcPr>
                <w:p w14:paraId="5CC8E371">
                  <w:pPr>
                    <w:topLinePunct/>
                    <w:adjustRightInd w:val="0"/>
                    <w:snapToGrid w:val="0"/>
                    <w:jc w:val="center"/>
                    <w:rPr>
                      <w:color w:val="auto"/>
                      <w:sz w:val="18"/>
                      <w:szCs w:val="18"/>
                    </w:rPr>
                  </w:pPr>
                  <w:r>
                    <w:rPr>
                      <w:color w:val="auto"/>
                      <w:kern w:val="0"/>
                      <w:sz w:val="18"/>
                      <w:szCs w:val="18"/>
                    </w:rPr>
                    <w:t>产生工序及装置</w:t>
                  </w:r>
                </w:p>
              </w:tc>
              <w:tc>
                <w:tcPr>
                  <w:tcW w:w="456" w:type="dxa"/>
                  <w:vAlign w:val="center"/>
                </w:tcPr>
                <w:p w14:paraId="21CA59AB">
                  <w:pPr>
                    <w:topLinePunct/>
                    <w:adjustRightInd w:val="0"/>
                    <w:snapToGrid w:val="0"/>
                    <w:jc w:val="center"/>
                    <w:rPr>
                      <w:color w:val="auto"/>
                      <w:sz w:val="18"/>
                      <w:szCs w:val="18"/>
                    </w:rPr>
                  </w:pPr>
                  <w:r>
                    <w:rPr>
                      <w:color w:val="auto"/>
                      <w:kern w:val="0"/>
                      <w:sz w:val="18"/>
                      <w:szCs w:val="18"/>
                    </w:rPr>
                    <w:t>形态</w:t>
                  </w:r>
                </w:p>
              </w:tc>
              <w:tc>
                <w:tcPr>
                  <w:tcW w:w="792" w:type="dxa"/>
                  <w:vAlign w:val="center"/>
                </w:tcPr>
                <w:p w14:paraId="6ADEB302">
                  <w:pPr>
                    <w:topLinePunct/>
                    <w:adjustRightInd w:val="0"/>
                    <w:snapToGrid w:val="0"/>
                    <w:jc w:val="center"/>
                    <w:rPr>
                      <w:color w:val="auto"/>
                      <w:sz w:val="18"/>
                      <w:szCs w:val="18"/>
                    </w:rPr>
                  </w:pPr>
                  <w:r>
                    <w:rPr>
                      <w:color w:val="auto"/>
                      <w:kern w:val="0"/>
                      <w:sz w:val="18"/>
                      <w:szCs w:val="18"/>
                    </w:rPr>
                    <w:t>主要成分</w:t>
                  </w:r>
                </w:p>
              </w:tc>
              <w:tc>
                <w:tcPr>
                  <w:tcW w:w="696" w:type="dxa"/>
                  <w:vAlign w:val="center"/>
                </w:tcPr>
                <w:p w14:paraId="7C865546">
                  <w:pPr>
                    <w:topLinePunct/>
                    <w:adjustRightInd w:val="0"/>
                    <w:snapToGrid w:val="0"/>
                    <w:jc w:val="center"/>
                    <w:rPr>
                      <w:color w:val="auto"/>
                      <w:sz w:val="18"/>
                      <w:szCs w:val="18"/>
                    </w:rPr>
                  </w:pPr>
                  <w:r>
                    <w:rPr>
                      <w:color w:val="auto"/>
                      <w:kern w:val="0"/>
                      <w:sz w:val="18"/>
                      <w:szCs w:val="18"/>
                    </w:rPr>
                    <w:t>有害成分</w:t>
                  </w:r>
                </w:p>
              </w:tc>
              <w:tc>
                <w:tcPr>
                  <w:tcW w:w="720" w:type="dxa"/>
                  <w:vAlign w:val="center"/>
                </w:tcPr>
                <w:p w14:paraId="488260E1">
                  <w:pPr>
                    <w:topLinePunct/>
                    <w:adjustRightInd w:val="0"/>
                    <w:snapToGrid w:val="0"/>
                    <w:jc w:val="center"/>
                    <w:rPr>
                      <w:color w:val="auto"/>
                      <w:sz w:val="18"/>
                      <w:szCs w:val="18"/>
                    </w:rPr>
                  </w:pPr>
                  <w:r>
                    <w:rPr>
                      <w:color w:val="auto"/>
                      <w:kern w:val="0"/>
                      <w:sz w:val="18"/>
                      <w:szCs w:val="18"/>
                    </w:rPr>
                    <w:t>产废周期</w:t>
                  </w:r>
                </w:p>
              </w:tc>
              <w:tc>
                <w:tcPr>
                  <w:tcW w:w="768" w:type="dxa"/>
                  <w:vAlign w:val="center"/>
                </w:tcPr>
                <w:p w14:paraId="4CCB7AB8">
                  <w:pPr>
                    <w:topLinePunct/>
                    <w:adjustRightInd w:val="0"/>
                    <w:snapToGrid w:val="0"/>
                    <w:jc w:val="center"/>
                    <w:rPr>
                      <w:color w:val="auto"/>
                      <w:sz w:val="18"/>
                      <w:szCs w:val="18"/>
                    </w:rPr>
                  </w:pPr>
                  <w:r>
                    <w:rPr>
                      <w:color w:val="auto"/>
                      <w:kern w:val="0"/>
                      <w:sz w:val="18"/>
                      <w:szCs w:val="18"/>
                    </w:rPr>
                    <w:t>危险特性</w:t>
                  </w:r>
                </w:p>
              </w:tc>
              <w:tc>
                <w:tcPr>
                  <w:tcW w:w="1135" w:type="dxa"/>
                  <w:vAlign w:val="center"/>
                </w:tcPr>
                <w:p w14:paraId="352FBCA9">
                  <w:pPr>
                    <w:topLinePunct/>
                    <w:adjustRightInd w:val="0"/>
                    <w:snapToGrid w:val="0"/>
                    <w:jc w:val="center"/>
                    <w:rPr>
                      <w:color w:val="auto"/>
                      <w:kern w:val="0"/>
                      <w:sz w:val="18"/>
                      <w:szCs w:val="18"/>
                    </w:rPr>
                  </w:pPr>
                  <w:r>
                    <w:rPr>
                      <w:color w:val="auto"/>
                      <w:kern w:val="0"/>
                      <w:sz w:val="18"/>
                      <w:szCs w:val="18"/>
                    </w:rPr>
                    <w:t>污染防治措施</w:t>
                  </w:r>
                </w:p>
              </w:tc>
            </w:tr>
            <w:tr w14:paraId="7F14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89" w:type="dxa"/>
                  <w:vAlign w:val="center"/>
                </w:tcPr>
                <w:p w14:paraId="663C4C3A">
                  <w:pPr>
                    <w:snapToGrid w:val="0"/>
                    <w:jc w:val="center"/>
                    <w:rPr>
                      <w:color w:val="auto"/>
                      <w:sz w:val="18"/>
                      <w:szCs w:val="18"/>
                    </w:rPr>
                  </w:pPr>
                  <w:r>
                    <w:rPr>
                      <w:color w:val="auto"/>
                      <w:kern w:val="0"/>
                      <w:sz w:val="18"/>
                      <w:szCs w:val="18"/>
                    </w:rPr>
                    <w:t>1</w:t>
                  </w:r>
                </w:p>
              </w:tc>
              <w:tc>
                <w:tcPr>
                  <w:tcW w:w="636" w:type="dxa"/>
                  <w:vAlign w:val="center"/>
                </w:tcPr>
                <w:p w14:paraId="3245378B">
                  <w:pPr>
                    <w:snapToGrid w:val="0"/>
                    <w:jc w:val="center"/>
                    <w:rPr>
                      <w:rFonts w:hint="eastAsia" w:eastAsia="宋体"/>
                      <w:color w:val="auto"/>
                      <w:kern w:val="0"/>
                      <w:sz w:val="18"/>
                      <w:szCs w:val="18"/>
                      <w:lang w:eastAsia="zh-CN"/>
                    </w:rPr>
                  </w:pPr>
                  <w:r>
                    <w:rPr>
                      <w:rFonts w:hint="eastAsia"/>
                      <w:color w:val="auto"/>
                      <w:kern w:val="0"/>
                      <w:sz w:val="18"/>
                      <w:szCs w:val="18"/>
                    </w:rPr>
                    <w:t>废</w:t>
                  </w:r>
                  <w:r>
                    <w:rPr>
                      <w:rFonts w:hint="eastAsia"/>
                      <w:color w:val="auto"/>
                      <w:kern w:val="0"/>
                      <w:sz w:val="18"/>
                      <w:szCs w:val="18"/>
                      <w:lang w:val="en-US" w:eastAsia="zh-CN"/>
                    </w:rPr>
                    <w:t>液压油</w:t>
                  </w:r>
                </w:p>
              </w:tc>
              <w:tc>
                <w:tcPr>
                  <w:tcW w:w="708" w:type="dxa"/>
                  <w:vAlign w:val="center"/>
                </w:tcPr>
                <w:p w14:paraId="2470AD9C">
                  <w:pPr>
                    <w:snapToGrid w:val="0"/>
                    <w:jc w:val="center"/>
                    <w:rPr>
                      <w:color w:val="auto"/>
                      <w:kern w:val="0"/>
                      <w:sz w:val="18"/>
                      <w:szCs w:val="18"/>
                    </w:rPr>
                  </w:pPr>
                  <w:r>
                    <w:rPr>
                      <w:rFonts w:hint="eastAsia"/>
                      <w:color w:val="auto"/>
                      <w:kern w:val="0"/>
                      <w:sz w:val="18"/>
                      <w:szCs w:val="18"/>
                    </w:rPr>
                    <w:t>HW08</w:t>
                  </w:r>
                </w:p>
              </w:tc>
              <w:tc>
                <w:tcPr>
                  <w:tcW w:w="1068" w:type="dxa"/>
                  <w:vAlign w:val="center"/>
                </w:tcPr>
                <w:p w14:paraId="11C0F28C">
                  <w:pPr>
                    <w:snapToGrid w:val="0"/>
                    <w:jc w:val="center"/>
                    <w:rPr>
                      <w:color w:val="auto"/>
                      <w:kern w:val="0"/>
                      <w:sz w:val="18"/>
                      <w:szCs w:val="18"/>
                    </w:rPr>
                  </w:pPr>
                  <w:r>
                    <w:rPr>
                      <w:rFonts w:hint="eastAsia"/>
                      <w:color w:val="auto"/>
                      <w:kern w:val="0"/>
                      <w:sz w:val="18"/>
                      <w:szCs w:val="18"/>
                    </w:rPr>
                    <w:t>900-218-08</w:t>
                  </w:r>
                </w:p>
              </w:tc>
              <w:tc>
                <w:tcPr>
                  <w:tcW w:w="711" w:type="dxa"/>
                  <w:vAlign w:val="center"/>
                </w:tcPr>
                <w:p w14:paraId="3225932B">
                  <w:pPr>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0.2</w:t>
                  </w:r>
                </w:p>
              </w:tc>
              <w:tc>
                <w:tcPr>
                  <w:tcW w:w="792" w:type="dxa"/>
                  <w:vAlign w:val="center"/>
                </w:tcPr>
                <w:p w14:paraId="668B95D6">
                  <w:pPr>
                    <w:snapToGrid w:val="0"/>
                    <w:jc w:val="center"/>
                    <w:rPr>
                      <w:color w:val="auto"/>
                      <w:kern w:val="0"/>
                      <w:sz w:val="18"/>
                      <w:szCs w:val="18"/>
                    </w:rPr>
                  </w:pPr>
                  <w:r>
                    <w:rPr>
                      <w:rFonts w:hint="eastAsia"/>
                      <w:color w:val="auto"/>
                      <w:kern w:val="0"/>
                      <w:sz w:val="18"/>
                      <w:szCs w:val="18"/>
                    </w:rPr>
                    <w:t>设备维护</w:t>
                  </w:r>
                </w:p>
              </w:tc>
              <w:tc>
                <w:tcPr>
                  <w:tcW w:w="456" w:type="dxa"/>
                  <w:vAlign w:val="center"/>
                </w:tcPr>
                <w:p w14:paraId="14001BF2">
                  <w:pPr>
                    <w:snapToGrid w:val="0"/>
                    <w:jc w:val="center"/>
                    <w:rPr>
                      <w:color w:val="auto"/>
                      <w:kern w:val="0"/>
                      <w:sz w:val="18"/>
                      <w:szCs w:val="18"/>
                    </w:rPr>
                  </w:pPr>
                  <w:r>
                    <w:rPr>
                      <w:rFonts w:hint="eastAsia"/>
                      <w:color w:val="auto"/>
                      <w:kern w:val="0"/>
                      <w:sz w:val="18"/>
                      <w:szCs w:val="18"/>
                    </w:rPr>
                    <w:t>液态</w:t>
                  </w:r>
                </w:p>
              </w:tc>
              <w:tc>
                <w:tcPr>
                  <w:tcW w:w="792" w:type="dxa"/>
                  <w:vAlign w:val="center"/>
                </w:tcPr>
                <w:p w14:paraId="633CC74A">
                  <w:pPr>
                    <w:snapToGrid w:val="0"/>
                    <w:jc w:val="center"/>
                    <w:rPr>
                      <w:rFonts w:hint="eastAsia" w:eastAsia="宋体"/>
                      <w:color w:val="auto"/>
                      <w:kern w:val="0"/>
                      <w:sz w:val="18"/>
                      <w:szCs w:val="18"/>
                      <w:lang w:eastAsia="zh-CN"/>
                    </w:rPr>
                  </w:pPr>
                  <w:r>
                    <w:rPr>
                      <w:rFonts w:hint="eastAsia"/>
                      <w:color w:val="auto"/>
                      <w:kern w:val="0"/>
                      <w:sz w:val="18"/>
                      <w:szCs w:val="18"/>
                      <w:lang w:val="en-US" w:eastAsia="zh-CN"/>
                    </w:rPr>
                    <w:t>液压油</w:t>
                  </w:r>
                </w:p>
              </w:tc>
              <w:tc>
                <w:tcPr>
                  <w:tcW w:w="696" w:type="dxa"/>
                  <w:vAlign w:val="center"/>
                </w:tcPr>
                <w:p w14:paraId="2DB63A73">
                  <w:pPr>
                    <w:snapToGrid w:val="0"/>
                    <w:jc w:val="center"/>
                    <w:rPr>
                      <w:rFonts w:hint="eastAsia" w:eastAsia="宋体"/>
                      <w:color w:val="auto"/>
                      <w:kern w:val="0"/>
                      <w:sz w:val="18"/>
                      <w:szCs w:val="18"/>
                      <w:lang w:eastAsia="zh-CN"/>
                    </w:rPr>
                  </w:pPr>
                  <w:r>
                    <w:rPr>
                      <w:rFonts w:hint="eastAsia"/>
                      <w:color w:val="auto"/>
                      <w:kern w:val="0"/>
                      <w:sz w:val="18"/>
                      <w:szCs w:val="18"/>
                      <w:lang w:val="en-US" w:eastAsia="zh-CN"/>
                    </w:rPr>
                    <w:t>液压油</w:t>
                  </w:r>
                </w:p>
              </w:tc>
              <w:tc>
                <w:tcPr>
                  <w:tcW w:w="720" w:type="dxa"/>
                  <w:vAlign w:val="center"/>
                </w:tcPr>
                <w:p w14:paraId="42ED1C14">
                  <w:pPr>
                    <w:snapToGrid w:val="0"/>
                    <w:jc w:val="center"/>
                    <w:rPr>
                      <w:color w:val="auto"/>
                      <w:kern w:val="0"/>
                      <w:sz w:val="18"/>
                      <w:szCs w:val="18"/>
                    </w:rPr>
                  </w:pPr>
                  <w:r>
                    <w:rPr>
                      <w:rFonts w:hint="eastAsia"/>
                      <w:color w:val="auto"/>
                      <w:kern w:val="0"/>
                      <w:sz w:val="18"/>
                      <w:szCs w:val="18"/>
                    </w:rPr>
                    <w:t>每天</w:t>
                  </w:r>
                </w:p>
              </w:tc>
              <w:tc>
                <w:tcPr>
                  <w:tcW w:w="768" w:type="dxa"/>
                  <w:vAlign w:val="center"/>
                </w:tcPr>
                <w:p w14:paraId="1D5AFDFD">
                  <w:pPr>
                    <w:snapToGrid w:val="0"/>
                    <w:jc w:val="center"/>
                    <w:rPr>
                      <w:color w:val="auto"/>
                      <w:kern w:val="0"/>
                      <w:sz w:val="18"/>
                      <w:szCs w:val="18"/>
                    </w:rPr>
                  </w:pPr>
                  <w:r>
                    <w:rPr>
                      <w:rFonts w:hint="eastAsia"/>
                      <w:color w:val="auto"/>
                      <w:kern w:val="0"/>
                      <w:sz w:val="18"/>
                      <w:szCs w:val="18"/>
                    </w:rPr>
                    <w:t>T，I</w:t>
                  </w:r>
                </w:p>
              </w:tc>
              <w:tc>
                <w:tcPr>
                  <w:tcW w:w="1135" w:type="dxa"/>
                  <w:vMerge w:val="restart"/>
                  <w:vAlign w:val="center"/>
                </w:tcPr>
                <w:p w14:paraId="46CE9AC4">
                  <w:pPr>
                    <w:adjustRightInd w:val="0"/>
                    <w:spacing w:line="360" w:lineRule="auto"/>
                    <w:jc w:val="center"/>
                    <w:rPr>
                      <w:color w:val="auto"/>
                      <w:sz w:val="18"/>
                      <w:szCs w:val="18"/>
                    </w:rPr>
                  </w:pPr>
                  <w:r>
                    <w:rPr>
                      <w:color w:val="auto"/>
                      <w:kern w:val="0"/>
                      <w:sz w:val="18"/>
                      <w:szCs w:val="18"/>
                    </w:rPr>
                    <w:t>暂存于危废暂存库，委托有资质的危险废物处置单位进行处置</w:t>
                  </w:r>
                </w:p>
              </w:tc>
            </w:tr>
            <w:tr w14:paraId="3530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dxa"/>
                  <w:vAlign w:val="center"/>
                </w:tcPr>
                <w:p w14:paraId="44E0A9DD">
                  <w:pPr>
                    <w:snapToGrid w:val="0"/>
                    <w:jc w:val="center"/>
                    <w:rPr>
                      <w:color w:val="auto"/>
                      <w:sz w:val="18"/>
                      <w:szCs w:val="18"/>
                    </w:rPr>
                  </w:pPr>
                  <w:r>
                    <w:rPr>
                      <w:rFonts w:hint="eastAsia"/>
                      <w:color w:val="auto"/>
                      <w:kern w:val="0"/>
                      <w:sz w:val="18"/>
                      <w:szCs w:val="18"/>
                    </w:rPr>
                    <w:t>2</w:t>
                  </w:r>
                </w:p>
              </w:tc>
              <w:tc>
                <w:tcPr>
                  <w:tcW w:w="636" w:type="dxa"/>
                  <w:vAlign w:val="center"/>
                </w:tcPr>
                <w:p w14:paraId="79E16AC2">
                  <w:pPr>
                    <w:snapToGrid w:val="0"/>
                    <w:jc w:val="center"/>
                    <w:rPr>
                      <w:color w:val="auto"/>
                      <w:kern w:val="0"/>
                      <w:sz w:val="18"/>
                      <w:szCs w:val="18"/>
                    </w:rPr>
                  </w:pPr>
                  <w:r>
                    <w:rPr>
                      <w:rFonts w:hint="eastAsia"/>
                      <w:color w:val="auto"/>
                      <w:kern w:val="0"/>
                      <w:sz w:val="18"/>
                      <w:szCs w:val="18"/>
                    </w:rPr>
                    <w:t>废包装桶</w:t>
                  </w:r>
                </w:p>
              </w:tc>
              <w:tc>
                <w:tcPr>
                  <w:tcW w:w="708" w:type="dxa"/>
                  <w:vAlign w:val="center"/>
                </w:tcPr>
                <w:p w14:paraId="57C98EC2">
                  <w:pPr>
                    <w:snapToGrid w:val="0"/>
                    <w:jc w:val="center"/>
                    <w:rPr>
                      <w:color w:val="auto"/>
                      <w:kern w:val="0"/>
                      <w:sz w:val="18"/>
                      <w:szCs w:val="18"/>
                    </w:rPr>
                  </w:pPr>
                  <w:r>
                    <w:rPr>
                      <w:rFonts w:hint="eastAsia"/>
                      <w:color w:val="auto"/>
                      <w:kern w:val="0"/>
                      <w:sz w:val="18"/>
                      <w:szCs w:val="18"/>
                    </w:rPr>
                    <w:t>HW08</w:t>
                  </w:r>
                </w:p>
              </w:tc>
              <w:tc>
                <w:tcPr>
                  <w:tcW w:w="1068" w:type="dxa"/>
                  <w:vAlign w:val="center"/>
                </w:tcPr>
                <w:p w14:paraId="6A769319">
                  <w:pPr>
                    <w:snapToGrid w:val="0"/>
                    <w:jc w:val="center"/>
                    <w:rPr>
                      <w:color w:val="auto"/>
                      <w:kern w:val="0"/>
                      <w:sz w:val="18"/>
                      <w:szCs w:val="18"/>
                    </w:rPr>
                  </w:pPr>
                  <w:r>
                    <w:rPr>
                      <w:rFonts w:hint="eastAsia"/>
                      <w:color w:val="auto"/>
                      <w:kern w:val="0"/>
                      <w:sz w:val="18"/>
                      <w:szCs w:val="18"/>
                    </w:rPr>
                    <w:t>900-249-08</w:t>
                  </w:r>
                </w:p>
              </w:tc>
              <w:tc>
                <w:tcPr>
                  <w:tcW w:w="711" w:type="dxa"/>
                  <w:vAlign w:val="center"/>
                </w:tcPr>
                <w:p w14:paraId="61F61220">
                  <w:pPr>
                    <w:snapToGrid w:val="0"/>
                    <w:jc w:val="center"/>
                    <w:rPr>
                      <w:color w:val="auto"/>
                      <w:kern w:val="0"/>
                      <w:sz w:val="18"/>
                      <w:szCs w:val="18"/>
                    </w:rPr>
                  </w:pPr>
                  <w:r>
                    <w:rPr>
                      <w:rFonts w:hint="eastAsia"/>
                      <w:color w:val="auto"/>
                      <w:kern w:val="0"/>
                      <w:sz w:val="18"/>
                      <w:szCs w:val="18"/>
                    </w:rPr>
                    <w:t>0.06</w:t>
                  </w:r>
                </w:p>
              </w:tc>
              <w:tc>
                <w:tcPr>
                  <w:tcW w:w="792" w:type="dxa"/>
                  <w:vAlign w:val="center"/>
                </w:tcPr>
                <w:p w14:paraId="382252FB">
                  <w:pPr>
                    <w:snapToGrid w:val="0"/>
                    <w:jc w:val="center"/>
                    <w:rPr>
                      <w:color w:val="auto"/>
                      <w:kern w:val="0"/>
                      <w:sz w:val="18"/>
                      <w:szCs w:val="18"/>
                    </w:rPr>
                  </w:pPr>
                  <w:r>
                    <w:rPr>
                      <w:rFonts w:hint="eastAsia"/>
                      <w:color w:val="auto"/>
                      <w:kern w:val="0"/>
                      <w:sz w:val="18"/>
                      <w:szCs w:val="18"/>
                    </w:rPr>
                    <w:t>原料使用</w:t>
                  </w:r>
                </w:p>
              </w:tc>
              <w:tc>
                <w:tcPr>
                  <w:tcW w:w="456" w:type="dxa"/>
                  <w:vAlign w:val="center"/>
                </w:tcPr>
                <w:p w14:paraId="17D63C9B">
                  <w:pPr>
                    <w:snapToGrid w:val="0"/>
                    <w:jc w:val="center"/>
                    <w:rPr>
                      <w:color w:val="auto"/>
                      <w:kern w:val="0"/>
                      <w:sz w:val="18"/>
                      <w:szCs w:val="18"/>
                    </w:rPr>
                  </w:pPr>
                  <w:r>
                    <w:rPr>
                      <w:rFonts w:hint="eastAsia"/>
                      <w:color w:val="auto"/>
                      <w:kern w:val="0"/>
                      <w:sz w:val="18"/>
                      <w:szCs w:val="18"/>
                    </w:rPr>
                    <w:t>固态</w:t>
                  </w:r>
                </w:p>
              </w:tc>
              <w:tc>
                <w:tcPr>
                  <w:tcW w:w="792" w:type="dxa"/>
                  <w:vAlign w:val="center"/>
                </w:tcPr>
                <w:p w14:paraId="10DFBC7C">
                  <w:pPr>
                    <w:snapToGrid w:val="0"/>
                    <w:jc w:val="center"/>
                    <w:rPr>
                      <w:color w:val="auto"/>
                      <w:kern w:val="0"/>
                      <w:sz w:val="18"/>
                      <w:szCs w:val="18"/>
                    </w:rPr>
                  </w:pPr>
                  <w:r>
                    <w:rPr>
                      <w:rFonts w:hint="eastAsia"/>
                      <w:color w:val="auto"/>
                      <w:kern w:val="0"/>
                      <w:sz w:val="18"/>
                      <w:szCs w:val="18"/>
                      <w:lang w:val="en-US" w:eastAsia="zh-CN"/>
                    </w:rPr>
                    <w:t>液压油</w:t>
                  </w:r>
                  <w:r>
                    <w:rPr>
                      <w:rFonts w:hint="eastAsia"/>
                      <w:color w:val="auto"/>
                      <w:kern w:val="0"/>
                      <w:sz w:val="18"/>
                      <w:szCs w:val="18"/>
                    </w:rPr>
                    <w:t>包装桶</w:t>
                  </w:r>
                </w:p>
              </w:tc>
              <w:tc>
                <w:tcPr>
                  <w:tcW w:w="696" w:type="dxa"/>
                  <w:vAlign w:val="center"/>
                </w:tcPr>
                <w:p w14:paraId="724EA108">
                  <w:pPr>
                    <w:snapToGrid w:val="0"/>
                    <w:jc w:val="center"/>
                    <w:rPr>
                      <w:rFonts w:hint="eastAsia" w:eastAsia="宋体"/>
                      <w:color w:val="auto"/>
                      <w:kern w:val="0"/>
                      <w:sz w:val="18"/>
                      <w:szCs w:val="18"/>
                      <w:lang w:eastAsia="zh-CN"/>
                    </w:rPr>
                  </w:pPr>
                  <w:r>
                    <w:rPr>
                      <w:rFonts w:hint="eastAsia"/>
                      <w:color w:val="auto"/>
                      <w:kern w:val="0"/>
                      <w:sz w:val="18"/>
                      <w:szCs w:val="18"/>
                      <w:lang w:val="en-US" w:eastAsia="zh-CN"/>
                    </w:rPr>
                    <w:t>液压油</w:t>
                  </w:r>
                </w:p>
              </w:tc>
              <w:tc>
                <w:tcPr>
                  <w:tcW w:w="720" w:type="dxa"/>
                  <w:vAlign w:val="center"/>
                </w:tcPr>
                <w:p w14:paraId="4D84B4C1">
                  <w:pPr>
                    <w:snapToGrid w:val="0"/>
                    <w:jc w:val="center"/>
                    <w:rPr>
                      <w:color w:val="auto"/>
                      <w:kern w:val="0"/>
                      <w:sz w:val="18"/>
                      <w:szCs w:val="18"/>
                    </w:rPr>
                  </w:pPr>
                  <w:r>
                    <w:rPr>
                      <w:rFonts w:hint="eastAsia"/>
                      <w:color w:val="auto"/>
                      <w:kern w:val="0"/>
                      <w:sz w:val="18"/>
                      <w:szCs w:val="18"/>
                    </w:rPr>
                    <w:t>半年</w:t>
                  </w:r>
                </w:p>
              </w:tc>
              <w:tc>
                <w:tcPr>
                  <w:tcW w:w="768" w:type="dxa"/>
                  <w:vAlign w:val="center"/>
                </w:tcPr>
                <w:p w14:paraId="77172BE6">
                  <w:pPr>
                    <w:snapToGrid w:val="0"/>
                    <w:jc w:val="center"/>
                    <w:rPr>
                      <w:color w:val="auto"/>
                      <w:kern w:val="0"/>
                      <w:sz w:val="18"/>
                      <w:szCs w:val="18"/>
                    </w:rPr>
                  </w:pPr>
                  <w:r>
                    <w:rPr>
                      <w:rFonts w:hint="eastAsia"/>
                      <w:color w:val="auto"/>
                      <w:kern w:val="0"/>
                      <w:sz w:val="18"/>
                      <w:szCs w:val="18"/>
                    </w:rPr>
                    <w:t>T，I</w:t>
                  </w:r>
                </w:p>
              </w:tc>
              <w:tc>
                <w:tcPr>
                  <w:tcW w:w="1135" w:type="dxa"/>
                  <w:vMerge w:val="continue"/>
                  <w:vAlign w:val="center"/>
                </w:tcPr>
                <w:p w14:paraId="4EFC03F3">
                  <w:pPr>
                    <w:adjustRightInd w:val="0"/>
                    <w:spacing w:line="360" w:lineRule="auto"/>
                    <w:jc w:val="center"/>
                    <w:rPr>
                      <w:color w:val="auto"/>
                      <w:sz w:val="24"/>
                    </w:rPr>
                  </w:pPr>
                </w:p>
              </w:tc>
            </w:tr>
            <w:tr w14:paraId="2C3D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dxa"/>
                  <w:vAlign w:val="center"/>
                </w:tcPr>
                <w:p w14:paraId="1C43D2A4">
                  <w:pPr>
                    <w:snapToGrid w:val="0"/>
                    <w:jc w:val="center"/>
                    <w:rPr>
                      <w:color w:val="auto"/>
                      <w:sz w:val="18"/>
                      <w:szCs w:val="18"/>
                    </w:rPr>
                  </w:pPr>
                  <w:r>
                    <w:rPr>
                      <w:rFonts w:hint="eastAsia"/>
                      <w:color w:val="auto"/>
                      <w:kern w:val="0"/>
                      <w:sz w:val="18"/>
                      <w:szCs w:val="18"/>
                    </w:rPr>
                    <w:t>3</w:t>
                  </w:r>
                </w:p>
              </w:tc>
              <w:tc>
                <w:tcPr>
                  <w:tcW w:w="636" w:type="dxa"/>
                  <w:vAlign w:val="center"/>
                </w:tcPr>
                <w:p w14:paraId="70F49A7E">
                  <w:pPr>
                    <w:snapToGrid w:val="0"/>
                    <w:jc w:val="center"/>
                    <w:rPr>
                      <w:color w:val="auto"/>
                      <w:kern w:val="0"/>
                      <w:sz w:val="18"/>
                      <w:szCs w:val="18"/>
                    </w:rPr>
                  </w:pPr>
                  <w:r>
                    <w:rPr>
                      <w:rFonts w:hint="eastAsia"/>
                      <w:color w:val="auto"/>
                      <w:kern w:val="0"/>
                      <w:sz w:val="18"/>
                      <w:szCs w:val="18"/>
                    </w:rPr>
                    <w:t>废活性炭</w:t>
                  </w:r>
                </w:p>
              </w:tc>
              <w:tc>
                <w:tcPr>
                  <w:tcW w:w="708" w:type="dxa"/>
                  <w:vAlign w:val="center"/>
                </w:tcPr>
                <w:p w14:paraId="72D7C776">
                  <w:pPr>
                    <w:snapToGrid w:val="0"/>
                    <w:jc w:val="center"/>
                    <w:rPr>
                      <w:color w:val="auto"/>
                      <w:kern w:val="0"/>
                      <w:sz w:val="18"/>
                      <w:szCs w:val="18"/>
                    </w:rPr>
                  </w:pPr>
                  <w:r>
                    <w:rPr>
                      <w:color w:val="auto"/>
                      <w:kern w:val="0"/>
                      <w:sz w:val="18"/>
                      <w:szCs w:val="18"/>
                    </w:rPr>
                    <w:t>HW49</w:t>
                  </w:r>
                </w:p>
              </w:tc>
              <w:tc>
                <w:tcPr>
                  <w:tcW w:w="1068" w:type="dxa"/>
                  <w:vAlign w:val="center"/>
                </w:tcPr>
                <w:p w14:paraId="5B0BE517">
                  <w:pPr>
                    <w:snapToGrid w:val="0"/>
                    <w:jc w:val="center"/>
                    <w:rPr>
                      <w:color w:val="auto"/>
                      <w:kern w:val="0"/>
                      <w:sz w:val="18"/>
                      <w:szCs w:val="18"/>
                    </w:rPr>
                  </w:pPr>
                  <w:r>
                    <w:rPr>
                      <w:color w:val="auto"/>
                      <w:kern w:val="0"/>
                      <w:sz w:val="18"/>
                      <w:szCs w:val="18"/>
                    </w:rPr>
                    <w:t>900-039-49</w:t>
                  </w:r>
                </w:p>
              </w:tc>
              <w:tc>
                <w:tcPr>
                  <w:tcW w:w="711" w:type="dxa"/>
                  <w:vAlign w:val="center"/>
                </w:tcPr>
                <w:p w14:paraId="72607A7F">
                  <w:pPr>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8.957</w:t>
                  </w:r>
                </w:p>
              </w:tc>
              <w:tc>
                <w:tcPr>
                  <w:tcW w:w="792" w:type="dxa"/>
                  <w:vAlign w:val="center"/>
                </w:tcPr>
                <w:p w14:paraId="7A483D7D">
                  <w:pPr>
                    <w:snapToGrid w:val="0"/>
                    <w:jc w:val="center"/>
                    <w:rPr>
                      <w:color w:val="auto"/>
                      <w:kern w:val="0"/>
                      <w:sz w:val="18"/>
                      <w:szCs w:val="18"/>
                    </w:rPr>
                  </w:pPr>
                  <w:r>
                    <w:rPr>
                      <w:rFonts w:hint="eastAsia"/>
                      <w:color w:val="auto"/>
                      <w:kern w:val="0"/>
                      <w:sz w:val="18"/>
                      <w:szCs w:val="18"/>
                    </w:rPr>
                    <w:t>废气处理</w:t>
                  </w:r>
                </w:p>
              </w:tc>
              <w:tc>
                <w:tcPr>
                  <w:tcW w:w="456" w:type="dxa"/>
                  <w:vAlign w:val="center"/>
                </w:tcPr>
                <w:p w14:paraId="406BDF38">
                  <w:pPr>
                    <w:snapToGrid w:val="0"/>
                    <w:jc w:val="center"/>
                    <w:rPr>
                      <w:color w:val="auto"/>
                      <w:kern w:val="0"/>
                      <w:sz w:val="18"/>
                      <w:szCs w:val="18"/>
                    </w:rPr>
                  </w:pPr>
                  <w:r>
                    <w:rPr>
                      <w:rFonts w:hint="eastAsia"/>
                      <w:color w:val="auto"/>
                      <w:kern w:val="0"/>
                      <w:sz w:val="18"/>
                      <w:szCs w:val="18"/>
                    </w:rPr>
                    <w:t>固态</w:t>
                  </w:r>
                </w:p>
              </w:tc>
              <w:tc>
                <w:tcPr>
                  <w:tcW w:w="792" w:type="dxa"/>
                  <w:vAlign w:val="center"/>
                </w:tcPr>
                <w:p w14:paraId="055F3619">
                  <w:pPr>
                    <w:snapToGrid w:val="0"/>
                    <w:jc w:val="center"/>
                    <w:rPr>
                      <w:color w:val="auto"/>
                      <w:kern w:val="0"/>
                      <w:sz w:val="18"/>
                      <w:szCs w:val="18"/>
                    </w:rPr>
                  </w:pPr>
                  <w:r>
                    <w:rPr>
                      <w:rFonts w:hint="eastAsia"/>
                      <w:color w:val="auto"/>
                      <w:kern w:val="0"/>
                      <w:sz w:val="18"/>
                      <w:szCs w:val="18"/>
                    </w:rPr>
                    <w:t>废活性炭</w:t>
                  </w:r>
                </w:p>
              </w:tc>
              <w:tc>
                <w:tcPr>
                  <w:tcW w:w="696" w:type="dxa"/>
                  <w:vAlign w:val="center"/>
                </w:tcPr>
                <w:p w14:paraId="30AB0CE3">
                  <w:pPr>
                    <w:snapToGrid w:val="0"/>
                    <w:jc w:val="center"/>
                    <w:rPr>
                      <w:color w:val="auto"/>
                      <w:kern w:val="0"/>
                      <w:sz w:val="18"/>
                      <w:szCs w:val="18"/>
                    </w:rPr>
                  </w:pPr>
                  <w:r>
                    <w:rPr>
                      <w:rFonts w:hint="eastAsia"/>
                      <w:color w:val="auto"/>
                      <w:kern w:val="0"/>
                      <w:sz w:val="18"/>
                      <w:szCs w:val="18"/>
                    </w:rPr>
                    <w:t>有机废气</w:t>
                  </w:r>
                </w:p>
              </w:tc>
              <w:tc>
                <w:tcPr>
                  <w:tcW w:w="720" w:type="dxa"/>
                  <w:vAlign w:val="center"/>
                </w:tcPr>
                <w:p w14:paraId="2D1A35F6">
                  <w:pPr>
                    <w:snapToGrid w:val="0"/>
                    <w:jc w:val="center"/>
                    <w:rPr>
                      <w:color w:val="auto"/>
                      <w:kern w:val="0"/>
                      <w:sz w:val="18"/>
                      <w:szCs w:val="18"/>
                    </w:rPr>
                  </w:pPr>
                  <w:r>
                    <w:rPr>
                      <w:rFonts w:hint="eastAsia"/>
                      <w:color w:val="auto"/>
                      <w:kern w:val="0"/>
                      <w:sz w:val="18"/>
                      <w:szCs w:val="18"/>
                    </w:rPr>
                    <w:t>每月</w:t>
                  </w:r>
                </w:p>
              </w:tc>
              <w:tc>
                <w:tcPr>
                  <w:tcW w:w="768" w:type="dxa"/>
                  <w:vAlign w:val="center"/>
                </w:tcPr>
                <w:p w14:paraId="6194DB82">
                  <w:pPr>
                    <w:snapToGrid w:val="0"/>
                    <w:jc w:val="center"/>
                    <w:rPr>
                      <w:color w:val="auto"/>
                      <w:kern w:val="0"/>
                      <w:sz w:val="18"/>
                      <w:szCs w:val="18"/>
                    </w:rPr>
                  </w:pPr>
                  <w:r>
                    <w:rPr>
                      <w:rFonts w:hint="eastAsia"/>
                      <w:color w:val="auto"/>
                      <w:kern w:val="0"/>
                      <w:sz w:val="18"/>
                      <w:szCs w:val="18"/>
                    </w:rPr>
                    <w:t>T</w:t>
                  </w:r>
                </w:p>
              </w:tc>
              <w:tc>
                <w:tcPr>
                  <w:tcW w:w="1135" w:type="dxa"/>
                  <w:vMerge w:val="continue"/>
                  <w:vAlign w:val="center"/>
                </w:tcPr>
                <w:p w14:paraId="26B5EC76">
                  <w:pPr>
                    <w:adjustRightInd w:val="0"/>
                    <w:spacing w:line="360" w:lineRule="auto"/>
                    <w:jc w:val="center"/>
                    <w:rPr>
                      <w:color w:val="auto"/>
                      <w:sz w:val="24"/>
                    </w:rPr>
                  </w:pPr>
                </w:p>
              </w:tc>
            </w:tr>
            <w:tr w14:paraId="1CF4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9" w:type="dxa"/>
                  <w:vAlign w:val="center"/>
                </w:tcPr>
                <w:p w14:paraId="40827EFA">
                  <w:pPr>
                    <w:snapToGrid w:val="0"/>
                    <w:jc w:val="center"/>
                    <w:rPr>
                      <w:color w:val="auto"/>
                      <w:sz w:val="18"/>
                      <w:szCs w:val="18"/>
                    </w:rPr>
                  </w:pPr>
                  <w:r>
                    <w:rPr>
                      <w:rFonts w:hint="eastAsia"/>
                      <w:color w:val="auto"/>
                      <w:kern w:val="0"/>
                      <w:sz w:val="18"/>
                      <w:szCs w:val="18"/>
                    </w:rPr>
                    <w:t>4</w:t>
                  </w:r>
                </w:p>
              </w:tc>
              <w:tc>
                <w:tcPr>
                  <w:tcW w:w="636" w:type="dxa"/>
                  <w:vAlign w:val="center"/>
                </w:tcPr>
                <w:p w14:paraId="694E0EA4">
                  <w:pPr>
                    <w:snapToGrid w:val="0"/>
                    <w:jc w:val="center"/>
                    <w:rPr>
                      <w:color w:val="auto"/>
                      <w:kern w:val="0"/>
                      <w:sz w:val="18"/>
                      <w:szCs w:val="18"/>
                    </w:rPr>
                  </w:pPr>
                  <w:r>
                    <w:rPr>
                      <w:rFonts w:hint="eastAsia"/>
                      <w:color w:val="auto"/>
                      <w:kern w:val="0"/>
                      <w:sz w:val="18"/>
                      <w:szCs w:val="18"/>
                    </w:rPr>
                    <w:t>含油废劳保</w:t>
                  </w:r>
                </w:p>
              </w:tc>
              <w:tc>
                <w:tcPr>
                  <w:tcW w:w="708" w:type="dxa"/>
                  <w:vAlign w:val="center"/>
                </w:tcPr>
                <w:p w14:paraId="729490E7">
                  <w:pPr>
                    <w:snapToGrid w:val="0"/>
                    <w:jc w:val="center"/>
                    <w:rPr>
                      <w:color w:val="auto"/>
                      <w:kern w:val="0"/>
                      <w:sz w:val="18"/>
                      <w:szCs w:val="18"/>
                    </w:rPr>
                  </w:pPr>
                  <w:r>
                    <w:rPr>
                      <w:rFonts w:hint="eastAsia"/>
                      <w:color w:val="auto"/>
                      <w:kern w:val="0"/>
                      <w:sz w:val="18"/>
                      <w:szCs w:val="18"/>
                    </w:rPr>
                    <w:t>HW49</w:t>
                  </w:r>
                </w:p>
              </w:tc>
              <w:tc>
                <w:tcPr>
                  <w:tcW w:w="1068" w:type="dxa"/>
                  <w:vAlign w:val="center"/>
                </w:tcPr>
                <w:p w14:paraId="4887DA44">
                  <w:pPr>
                    <w:snapToGrid w:val="0"/>
                    <w:jc w:val="center"/>
                    <w:rPr>
                      <w:color w:val="auto"/>
                      <w:kern w:val="0"/>
                      <w:sz w:val="18"/>
                      <w:szCs w:val="18"/>
                    </w:rPr>
                  </w:pPr>
                  <w:r>
                    <w:rPr>
                      <w:rFonts w:hint="eastAsia"/>
                      <w:color w:val="auto"/>
                      <w:kern w:val="0"/>
                      <w:sz w:val="18"/>
                      <w:szCs w:val="18"/>
                    </w:rPr>
                    <w:t>900-041-49</w:t>
                  </w:r>
                </w:p>
              </w:tc>
              <w:tc>
                <w:tcPr>
                  <w:tcW w:w="711" w:type="dxa"/>
                  <w:vAlign w:val="center"/>
                </w:tcPr>
                <w:p w14:paraId="1ECD2F5B">
                  <w:pPr>
                    <w:snapToGrid w:val="0"/>
                    <w:jc w:val="center"/>
                    <w:rPr>
                      <w:color w:val="auto"/>
                      <w:kern w:val="0"/>
                      <w:sz w:val="18"/>
                      <w:szCs w:val="18"/>
                    </w:rPr>
                  </w:pPr>
                  <w:r>
                    <w:rPr>
                      <w:rFonts w:hint="eastAsia"/>
                      <w:color w:val="auto"/>
                      <w:kern w:val="0"/>
                      <w:sz w:val="18"/>
                      <w:szCs w:val="18"/>
                    </w:rPr>
                    <w:t>0.05</w:t>
                  </w:r>
                </w:p>
              </w:tc>
              <w:tc>
                <w:tcPr>
                  <w:tcW w:w="792" w:type="dxa"/>
                  <w:vAlign w:val="center"/>
                </w:tcPr>
                <w:p w14:paraId="409E88EE">
                  <w:pPr>
                    <w:snapToGrid w:val="0"/>
                    <w:jc w:val="center"/>
                    <w:rPr>
                      <w:color w:val="auto"/>
                      <w:kern w:val="0"/>
                      <w:sz w:val="18"/>
                      <w:szCs w:val="18"/>
                    </w:rPr>
                  </w:pPr>
                  <w:r>
                    <w:rPr>
                      <w:rFonts w:hint="eastAsia"/>
                      <w:color w:val="auto"/>
                      <w:kern w:val="0"/>
                      <w:sz w:val="18"/>
                      <w:szCs w:val="18"/>
                    </w:rPr>
                    <w:t>设备维护</w:t>
                  </w:r>
                </w:p>
              </w:tc>
              <w:tc>
                <w:tcPr>
                  <w:tcW w:w="456" w:type="dxa"/>
                  <w:vAlign w:val="center"/>
                </w:tcPr>
                <w:p w14:paraId="1CF7E842">
                  <w:pPr>
                    <w:snapToGrid w:val="0"/>
                    <w:jc w:val="center"/>
                    <w:rPr>
                      <w:color w:val="auto"/>
                      <w:kern w:val="0"/>
                      <w:sz w:val="18"/>
                      <w:szCs w:val="18"/>
                    </w:rPr>
                  </w:pPr>
                  <w:r>
                    <w:rPr>
                      <w:rFonts w:hint="eastAsia"/>
                      <w:color w:val="auto"/>
                      <w:kern w:val="0"/>
                      <w:sz w:val="18"/>
                      <w:szCs w:val="18"/>
                    </w:rPr>
                    <w:t>固态</w:t>
                  </w:r>
                </w:p>
              </w:tc>
              <w:tc>
                <w:tcPr>
                  <w:tcW w:w="792" w:type="dxa"/>
                  <w:vAlign w:val="center"/>
                </w:tcPr>
                <w:p w14:paraId="6D95DEA0">
                  <w:pPr>
                    <w:snapToGrid w:val="0"/>
                    <w:jc w:val="center"/>
                    <w:rPr>
                      <w:color w:val="auto"/>
                      <w:kern w:val="0"/>
                      <w:sz w:val="18"/>
                      <w:szCs w:val="18"/>
                    </w:rPr>
                  </w:pPr>
                  <w:r>
                    <w:rPr>
                      <w:rFonts w:hint="eastAsia"/>
                      <w:color w:val="auto"/>
                      <w:kern w:val="0"/>
                      <w:sz w:val="18"/>
                      <w:szCs w:val="18"/>
                    </w:rPr>
                    <w:t>含油抹布、含油手套</w:t>
                  </w:r>
                </w:p>
              </w:tc>
              <w:tc>
                <w:tcPr>
                  <w:tcW w:w="696" w:type="dxa"/>
                  <w:vAlign w:val="center"/>
                </w:tcPr>
                <w:p w14:paraId="298A983D">
                  <w:pPr>
                    <w:snapToGrid w:val="0"/>
                    <w:jc w:val="center"/>
                    <w:rPr>
                      <w:rFonts w:hint="eastAsia" w:eastAsia="宋体"/>
                      <w:color w:val="auto"/>
                      <w:kern w:val="0"/>
                      <w:sz w:val="18"/>
                      <w:szCs w:val="18"/>
                      <w:lang w:eastAsia="zh-CN"/>
                    </w:rPr>
                  </w:pPr>
                  <w:r>
                    <w:rPr>
                      <w:rFonts w:hint="eastAsia"/>
                      <w:color w:val="auto"/>
                      <w:kern w:val="0"/>
                      <w:sz w:val="18"/>
                      <w:szCs w:val="18"/>
                      <w:lang w:val="en-US" w:eastAsia="zh-CN"/>
                    </w:rPr>
                    <w:t>液压油</w:t>
                  </w:r>
                </w:p>
              </w:tc>
              <w:tc>
                <w:tcPr>
                  <w:tcW w:w="720" w:type="dxa"/>
                  <w:vAlign w:val="center"/>
                </w:tcPr>
                <w:p w14:paraId="44FF163B">
                  <w:pPr>
                    <w:snapToGrid w:val="0"/>
                    <w:jc w:val="center"/>
                    <w:rPr>
                      <w:color w:val="auto"/>
                      <w:kern w:val="0"/>
                      <w:sz w:val="18"/>
                      <w:szCs w:val="18"/>
                    </w:rPr>
                  </w:pPr>
                  <w:r>
                    <w:rPr>
                      <w:rFonts w:hint="eastAsia"/>
                      <w:color w:val="auto"/>
                      <w:kern w:val="0"/>
                      <w:sz w:val="18"/>
                      <w:szCs w:val="18"/>
                    </w:rPr>
                    <w:t>每天</w:t>
                  </w:r>
                </w:p>
              </w:tc>
              <w:tc>
                <w:tcPr>
                  <w:tcW w:w="768" w:type="dxa"/>
                  <w:vAlign w:val="center"/>
                </w:tcPr>
                <w:p w14:paraId="0904A682">
                  <w:pPr>
                    <w:snapToGrid w:val="0"/>
                    <w:jc w:val="center"/>
                    <w:rPr>
                      <w:color w:val="auto"/>
                      <w:kern w:val="0"/>
                      <w:sz w:val="18"/>
                      <w:szCs w:val="18"/>
                    </w:rPr>
                  </w:pPr>
                  <w:r>
                    <w:rPr>
                      <w:rFonts w:hint="eastAsia"/>
                      <w:color w:val="auto"/>
                      <w:kern w:val="0"/>
                      <w:sz w:val="18"/>
                      <w:szCs w:val="18"/>
                    </w:rPr>
                    <w:t>T/In</w:t>
                  </w:r>
                </w:p>
              </w:tc>
              <w:tc>
                <w:tcPr>
                  <w:tcW w:w="1135" w:type="dxa"/>
                  <w:vMerge w:val="continue"/>
                  <w:vAlign w:val="center"/>
                </w:tcPr>
                <w:p w14:paraId="1274913C">
                  <w:pPr>
                    <w:adjustRightInd w:val="0"/>
                    <w:spacing w:line="360" w:lineRule="auto"/>
                    <w:jc w:val="center"/>
                    <w:rPr>
                      <w:color w:val="auto"/>
                      <w:sz w:val="24"/>
                    </w:rPr>
                  </w:pPr>
                </w:p>
              </w:tc>
            </w:tr>
          </w:tbl>
          <w:p w14:paraId="6904B03E">
            <w:pPr>
              <w:spacing w:before="120" w:beforeLines="50" w:line="360" w:lineRule="auto"/>
              <w:ind w:firstLine="480" w:firstLineChars="200"/>
              <w:rPr>
                <w:color w:val="auto"/>
                <w:sz w:val="24"/>
                <w:szCs w:val="21"/>
              </w:rPr>
            </w:pPr>
            <w:r>
              <w:rPr>
                <w:rFonts w:hint="eastAsia"/>
                <w:color w:val="auto"/>
                <w:sz w:val="24"/>
                <w:szCs w:val="21"/>
              </w:rPr>
              <w:t>6、固体废物贮存及处置情况汇总</w:t>
            </w:r>
          </w:p>
          <w:p w14:paraId="73EA22AC">
            <w:pPr>
              <w:adjustRightInd w:val="0"/>
              <w:spacing w:line="360" w:lineRule="auto"/>
              <w:ind w:firstLine="425"/>
              <w:rPr>
                <w:color w:val="auto"/>
                <w:sz w:val="24"/>
              </w:rPr>
            </w:pPr>
            <w:r>
              <w:rPr>
                <w:rFonts w:hint="eastAsia"/>
                <w:color w:val="auto"/>
                <w:sz w:val="24"/>
              </w:rPr>
              <w:t>本项目固体废物贮存及处置情况汇总见下表。</w:t>
            </w:r>
          </w:p>
          <w:p w14:paraId="78410CC1">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项目固体废物贮存及处置情况一览表</w:t>
            </w:r>
          </w:p>
          <w:tbl>
            <w:tblPr>
              <w:tblStyle w:val="8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34"/>
              <w:gridCol w:w="811"/>
              <w:gridCol w:w="816"/>
              <w:gridCol w:w="696"/>
              <w:gridCol w:w="1289"/>
              <w:gridCol w:w="866"/>
              <w:gridCol w:w="793"/>
              <w:gridCol w:w="984"/>
              <w:gridCol w:w="671"/>
              <w:gridCol w:w="1490"/>
            </w:tblGrid>
            <w:tr w14:paraId="6A0B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tcBorders>
                    <w:tl2br w:val="nil"/>
                    <w:tr2bl w:val="nil"/>
                  </w:tcBorders>
                  <w:vAlign w:val="center"/>
                </w:tcPr>
                <w:p w14:paraId="72933415">
                  <w:pPr>
                    <w:jc w:val="center"/>
                    <w:rPr>
                      <w:color w:val="auto"/>
                      <w:szCs w:val="21"/>
                    </w:rPr>
                  </w:pPr>
                  <w:r>
                    <w:rPr>
                      <w:color w:val="auto"/>
                      <w:szCs w:val="21"/>
                    </w:rPr>
                    <w:t>类别</w:t>
                  </w:r>
                </w:p>
              </w:tc>
              <w:tc>
                <w:tcPr>
                  <w:tcW w:w="458" w:type="pct"/>
                  <w:tcBorders>
                    <w:tl2br w:val="nil"/>
                    <w:tr2bl w:val="nil"/>
                  </w:tcBorders>
                  <w:vAlign w:val="center"/>
                </w:tcPr>
                <w:p w14:paraId="14420018">
                  <w:pPr>
                    <w:jc w:val="center"/>
                    <w:rPr>
                      <w:color w:val="auto"/>
                      <w:szCs w:val="21"/>
                    </w:rPr>
                  </w:pPr>
                  <w:r>
                    <w:rPr>
                      <w:color w:val="auto"/>
                      <w:szCs w:val="21"/>
                    </w:rPr>
                    <w:t>临时贮存场所</w:t>
                  </w:r>
                </w:p>
              </w:tc>
              <w:tc>
                <w:tcPr>
                  <w:tcW w:w="461" w:type="pct"/>
                  <w:tcBorders>
                    <w:tl2br w:val="nil"/>
                    <w:tr2bl w:val="nil"/>
                  </w:tcBorders>
                  <w:vAlign w:val="center"/>
                </w:tcPr>
                <w:p w14:paraId="430A52F0">
                  <w:pPr>
                    <w:jc w:val="center"/>
                    <w:rPr>
                      <w:color w:val="auto"/>
                      <w:szCs w:val="21"/>
                    </w:rPr>
                  </w:pPr>
                  <w:r>
                    <w:rPr>
                      <w:color w:val="auto"/>
                      <w:szCs w:val="21"/>
                    </w:rPr>
                    <w:t>所在位置</w:t>
                  </w:r>
                </w:p>
              </w:tc>
              <w:tc>
                <w:tcPr>
                  <w:tcW w:w="393" w:type="pct"/>
                  <w:tcBorders>
                    <w:tl2br w:val="nil"/>
                    <w:tr2bl w:val="nil"/>
                  </w:tcBorders>
                  <w:vAlign w:val="center"/>
                </w:tcPr>
                <w:p w14:paraId="7E1CA031">
                  <w:pPr>
                    <w:jc w:val="center"/>
                    <w:rPr>
                      <w:color w:val="auto"/>
                      <w:szCs w:val="21"/>
                    </w:rPr>
                  </w:pPr>
                  <w:r>
                    <w:rPr>
                      <w:color w:val="auto"/>
                      <w:szCs w:val="21"/>
                    </w:rPr>
                    <w:t>贮存面积/m</w:t>
                  </w:r>
                  <w:r>
                    <w:rPr>
                      <w:color w:val="auto"/>
                      <w:szCs w:val="21"/>
                      <w:vertAlign w:val="superscript"/>
                    </w:rPr>
                    <w:t>2</w:t>
                  </w:r>
                </w:p>
              </w:tc>
              <w:tc>
                <w:tcPr>
                  <w:tcW w:w="728" w:type="pct"/>
                  <w:tcBorders>
                    <w:tl2br w:val="nil"/>
                    <w:tr2bl w:val="nil"/>
                  </w:tcBorders>
                  <w:vAlign w:val="center"/>
                </w:tcPr>
                <w:p w14:paraId="2B3A844B">
                  <w:pPr>
                    <w:jc w:val="center"/>
                    <w:rPr>
                      <w:color w:val="auto"/>
                      <w:szCs w:val="21"/>
                    </w:rPr>
                  </w:pPr>
                  <w:r>
                    <w:rPr>
                      <w:color w:val="auto"/>
                      <w:szCs w:val="21"/>
                    </w:rPr>
                    <w:t>固体废物名称</w:t>
                  </w:r>
                </w:p>
              </w:tc>
              <w:tc>
                <w:tcPr>
                  <w:tcW w:w="489" w:type="pct"/>
                  <w:tcBorders>
                    <w:tl2br w:val="nil"/>
                    <w:tr2bl w:val="nil"/>
                  </w:tcBorders>
                  <w:vAlign w:val="center"/>
                </w:tcPr>
                <w:p w14:paraId="7EF1FAE6">
                  <w:pPr>
                    <w:jc w:val="center"/>
                    <w:rPr>
                      <w:color w:val="auto"/>
                      <w:szCs w:val="21"/>
                    </w:rPr>
                  </w:pPr>
                  <w:r>
                    <w:rPr>
                      <w:color w:val="auto"/>
                      <w:szCs w:val="21"/>
                    </w:rPr>
                    <w:t>产生量</w:t>
                  </w:r>
                </w:p>
                <w:p w14:paraId="2433389A">
                  <w:pPr>
                    <w:jc w:val="center"/>
                    <w:rPr>
                      <w:color w:val="auto"/>
                      <w:szCs w:val="21"/>
                    </w:rPr>
                  </w:pPr>
                  <w:r>
                    <w:rPr>
                      <w:color w:val="auto"/>
                      <w:szCs w:val="21"/>
                    </w:rPr>
                    <w:t>t/a</w:t>
                  </w:r>
                </w:p>
              </w:tc>
              <w:tc>
                <w:tcPr>
                  <w:tcW w:w="448" w:type="pct"/>
                  <w:tcBorders>
                    <w:tl2br w:val="nil"/>
                    <w:tr2bl w:val="nil"/>
                  </w:tcBorders>
                  <w:vAlign w:val="center"/>
                </w:tcPr>
                <w:p w14:paraId="5C0F26EA">
                  <w:pPr>
                    <w:jc w:val="center"/>
                    <w:rPr>
                      <w:color w:val="auto"/>
                      <w:szCs w:val="21"/>
                    </w:rPr>
                  </w:pPr>
                  <w:r>
                    <w:rPr>
                      <w:color w:val="auto"/>
                      <w:szCs w:val="21"/>
                    </w:rPr>
                    <w:t>贮存</w:t>
                  </w:r>
                </w:p>
                <w:p w14:paraId="4C54B6F9">
                  <w:pPr>
                    <w:jc w:val="center"/>
                    <w:rPr>
                      <w:color w:val="auto"/>
                      <w:szCs w:val="21"/>
                    </w:rPr>
                  </w:pPr>
                  <w:r>
                    <w:rPr>
                      <w:color w:val="auto"/>
                      <w:szCs w:val="21"/>
                    </w:rPr>
                    <w:t>方式</w:t>
                  </w:r>
                </w:p>
              </w:tc>
              <w:tc>
                <w:tcPr>
                  <w:tcW w:w="555" w:type="pct"/>
                  <w:tcBorders>
                    <w:tl2br w:val="nil"/>
                    <w:tr2bl w:val="nil"/>
                  </w:tcBorders>
                  <w:vAlign w:val="center"/>
                </w:tcPr>
                <w:p w14:paraId="68FC51BC">
                  <w:pPr>
                    <w:jc w:val="center"/>
                    <w:rPr>
                      <w:color w:val="auto"/>
                      <w:szCs w:val="21"/>
                    </w:rPr>
                  </w:pPr>
                  <w:r>
                    <w:rPr>
                      <w:color w:val="auto"/>
                      <w:szCs w:val="21"/>
                    </w:rPr>
                    <w:t>贮存周期月</w:t>
                  </w:r>
                </w:p>
              </w:tc>
              <w:tc>
                <w:tcPr>
                  <w:tcW w:w="379" w:type="pct"/>
                  <w:tcBorders>
                    <w:tl2br w:val="nil"/>
                    <w:tr2bl w:val="nil"/>
                  </w:tcBorders>
                  <w:vAlign w:val="center"/>
                </w:tcPr>
                <w:p w14:paraId="32D88CFD">
                  <w:pPr>
                    <w:jc w:val="center"/>
                    <w:rPr>
                      <w:color w:val="auto"/>
                      <w:szCs w:val="21"/>
                    </w:rPr>
                  </w:pPr>
                  <w:r>
                    <w:rPr>
                      <w:color w:val="auto"/>
                      <w:szCs w:val="21"/>
                    </w:rPr>
                    <w:t>贮存能力</w:t>
                  </w:r>
                </w:p>
                <w:p w14:paraId="38A58AC5">
                  <w:pPr>
                    <w:jc w:val="center"/>
                    <w:rPr>
                      <w:color w:val="auto"/>
                      <w:szCs w:val="21"/>
                    </w:rPr>
                  </w:pPr>
                  <w:r>
                    <w:rPr>
                      <w:color w:val="auto"/>
                      <w:szCs w:val="21"/>
                    </w:rPr>
                    <w:t>t</w:t>
                  </w:r>
                </w:p>
              </w:tc>
              <w:tc>
                <w:tcPr>
                  <w:tcW w:w="841" w:type="pct"/>
                  <w:tcBorders>
                    <w:tl2br w:val="nil"/>
                    <w:tr2bl w:val="nil"/>
                  </w:tcBorders>
                  <w:vAlign w:val="center"/>
                </w:tcPr>
                <w:p w14:paraId="41C97EA2">
                  <w:pPr>
                    <w:jc w:val="center"/>
                    <w:rPr>
                      <w:color w:val="auto"/>
                      <w:szCs w:val="21"/>
                    </w:rPr>
                  </w:pPr>
                  <w:r>
                    <w:rPr>
                      <w:color w:val="auto"/>
                      <w:szCs w:val="21"/>
                    </w:rPr>
                    <w:t>处置去向</w:t>
                  </w:r>
                </w:p>
              </w:tc>
            </w:tr>
            <w:tr w14:paraId="3B26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restart"/>
                  <w:tcBorders>
                    <w:tl2br w:val="nil"/>
                    <w:tr2bl w:val="nil"/>
                  </w:tcBorders>
                  <w:vAlign w:val="center"/>
                </w:tcPr>
                <w:p w14:paraId="65FFA193">
                  <w:pPr>
                    <w:adjustRightInd w:val="0"/>
                    <w:snapToGrid w:val="0"/>
                    <w:jc w:val="center"/>
                    <w:rPr>
                      <w:color w:val="auto"/>
                      <w:szCs w:val="21"/>
                    </w:rPr>
                  </w:pPr>
                  <w:r>
                    <w:rPr>
                      <w:color w:val="auto"/>
                      <w:szCs w:val="21"/>
                    </w:rPr>
                    <w:t>一般</w:t>
                  </w:r>
                </w:p>
                <w:p w14:paraId="1AE66B22">
                  <w:pPr>
                    <w:adjustRightInd w:val="0"/>
                    <w:snapToGrid w:val="0"/>
                    <w:jc w:val="center"/>
                    <w:rPr>
                      <w:color w:val="auto"/>
                      <w:szCs w:val="21"/>
                    </w:rPr>
                  </w:pPr>
                  <w:r>
                    <w:rPr>
                      <w:color w:val="auto"/>
                      <w:szCs w:val="21"/>
                    </w:rPr>
                    <w:t>固废</w:t>
                  </w:r>
                </w:p>
              </w:tc>
              <w:tc>
                <w:tcPr>
                  <w:tcW w:w="458" w:type="pct"/>
                  <w:tcBorders>
                    <w:tl2br w:val="nil"/>
                    <w:tr2bl w:val="nil"/>
                  </w:tcBorders>
                  <w:vAlign w:val="center"/>
                </w:tcPr>
                <w:p w14:paraId="14A8ABF4">
                  <w:pPr>
                    <w:adjustRightInd w:val="0"/>
                    <w:snapToGrid w:val="0"/>
                    <w:jc w:val="center"/>
                    <w:rPr>
                      <w:color w:val="auto"/>
                      <w:szCs w:val="21"/>
                    </w:rPr>
                  </w:pPr>
                  <w:r>
                    <w:rPr>
                      <w:color w:val="auto"/>
                      <w:szCs w:val="21"/>
                    </w:rPr>
                    <w:t>垃圾桶</w:t>
                  </w:r>
                </w:p>
              </w:tc>
              <w:tc>
                <w:tcPr>
                  <w:tcW w:w="461" w:type="pct"/>
                  <w:tcBorders>
                    <w:tl2br w:val="nil"/>
                    <w:tr2bl w:val="nil"/>
                  </w:tcBorders>
                  <w:vAlign w:val="center"/>
                </w:tcPr>
                <w:p w14:paraId="25D976C0">
                  <w:pPr>
                    <w:adjustRightInd w:val="0"/>
                    <w:snapToGrid w:val="0"/>
                    <w:jc w:val="center"/>
                    <w:rPr>
                      <w:color w:val="auto"/>
                      <w:szCs w:val="21"/>
                    </w:rPr>
                  </w:pPr>
                  <w:r>
                    <w:rPr>
                      <w:color w:val="auto"/>
                      <w:szCs w:val="21"/>
                    </w:rPr>
                    <w:t>办公区</w:t>
                  </w:r>
                </w:p>
              </w:tc>
              <w:tc>
                <w:tcPr>
                  <w:tcW w:w="393" w:type="pct"/>
                  <w:tcBorders>
                    <w:tl2br w:val="nil"/>
                    <w:tr2bl w:val="nil"/>
                  </w:tcBorders>
                  <w:vAlign w:val="center"/>
                </w:tcPr>
                <w:p w14:paraId="22AD65B0">
                  <w:pPr>
                    <w:adjustRightInd w:val="0"/>
                    <w:snapToGrid w:val="0"/>
                    <w:jc w:val="center"/>
                    <w:rPr>
                      <w:color w:val="auto"/>
                      <w:szCs w:val="21"/>
                    </w:rPr>
                  </w:pPr>
                  <w:r>
                    <w:rPr>
                      <w:color w:val="auto"/>
                      <w:szCs w:val="21"/>
                    </w:rPr>
                    <w:t>/</w:t>
                  </w:r>
                </w:p>
              </w:tc>
              <w:tc>
                <w:tcPr>
                  <w:tcW w:w="728" w:type="pct"/>
                  <w:tcBorders>
                    <w:tl2br w:val="nil"/>
                    <w:tr2bl w:val="nil"/>
                  </w:tcBorders>
                  <w:vAlign w:val="center"/>
                </w:tcPr>
                <w:p w14:paraId="7122E4C8">
                  <w:pPr>
                    <w:adjustRightInd w:val="0"/>
                    <w:snapToGrid w:val="0"/>
                    <w:jc w:val="center"/>
                    <w:rPr>
                      <w:color w:val="auto"/>
                      <w:kern w:val="18"/>
                      <w:szCs w:val="21"/>
                    </w:rPr>
                  </w:pPr>
                  <w:r>
                    <w:rPr>
                      <w:color w:val="auto"/>
                      <w:szCs w:val="21"/>
                    </w:rPr>
                    <w:t>生活垃圾</w:t>
                  </w:r>
                </w:p>
              </w:tc>
              <w:tc>
                <w:tcPr>
                  <w:tcW w:w="489" w:type="pct"/>
                  <w:tcBorders>
                    <w:tl2br w:val="nil"/>
                    <w:tr2bl w:val="nil"/>
                  </w:tcBorders>
                  <w:vAlign w:val="center"/>
                </w:tcPr>
                <w:p w14:paraId="62AFB04F">
                  <w:pPr>
                    <w:jc w:val="center"/>
                    <w:rPr>
                      <w:color w:val="auto"/>
                      <w:szCs w:val="21"/>
                    </w:rPr>
                  </w:pPr>
                  <w:r>
                    <w:rPr>
                      <w:rFonts w:hint="eastAsia"/>
                      <w:color w:val="auto"/>
                      <w:szCs w:val="21"/>
                    </w:rPr>
                    <w:t>4.5</w:t>
                  </w:r>
                </w:p>
              </w:tc>
              <w:tc>
                <w:tcPr>
                  <w:tcW w:w="448" w:type="pct"/>
                  <w:tcBorders>
                    <w:tl2br w:val="nil"/>
                    <w:tr2bl w:val="nil"/>
                  </w:tcBorders>
                  <w:vAlign w:val="center"/>
                </w:tcPr>
                <w:p w14:paraId="090BB705">
                  <w:pPr>
                    <w:jc w:val="center"/>
                    <w:rPr>
                      <w:color w:val="auto"/>
                      <w:szCs w:val="21"/>
                    </w:rPr>
                  </w:pPr>
                  <w:r>
                    <w:rPr>
                      <w:color w:val="auto"/>
                      <w:szCs w:val="21"/>
                    </w:rPr>
                    <w:t>桶装</w:t>
                  </w:r>
                </w:p>
              </w:tc>
              <w:tc>
                <w:tcPr>
                  <w:tcW w:w="555" w:type="pct"/>
                  <w:tcBorders>
                    <w:tl2br w:val="nil"/>
                    <w:tr2bl w:val="nil"/>
                  </w:tcBorders>
                  <w:vAlign w:val="center"/>
                </w:tcPr>
                <w:p w14:paraId="2178F902">
                  <w:pPr>
                    <w:jc w:val="center"/>
                    <w:rPr>
                      <w:color w:val="auto"/>
                      <w:szCs w:val="21"/>
                    </w:rPr>
                  </w:pPr>
                  <w:r>
                    <w:rPr>
                      <w:color w:val="auto"/>
                      <w:szCs w:val="21"/>
                    </w:rPr>
                    <w:t>每日</w:t>
                  </w:r>
                </w:p>
              </w:tc>
              <w:tc>
                <w:tcPr>
                  <w:tcW w:w="379" w:type="pct"/>
                  <w:tcBorders>
                    <w:tl2br w:val="nil"/>
                    <w:tr2bl w:val="nil"/>
                  </w:tcBorders>
                  <w:vAlign w:val="center"/>
                </w:tcPr>
                <w:p w14:paraId="38F5926D">
                  <w:pPr>
                    <w:jc w:val="center"/>
                    <w:rPr>
                      <w:color w:val="auto"/>
                      <w:szCs w:val="21"/>
                    </w:rPr>
                  </w:pPr>
                  <w:r>
                    <w:rPr>
                      <w:color w:val="auto"/>
                      <w:szCs w:val="21"/>
                    </w:rPr>
                    <w:t>1</w:t>
                  </w:r>
                </w:p>
              </w:tc>
              <w:tc>
                <w:tcPr>
                  <w:tcW w:w="841" w:type="pct"/>
                  <w:tcBorders>
                    <w:tl2br w:val="nil"/>
                    <w:tr2bl w:val="nil"/>
                  </w:tcBorders>
                  <w:vAlign w:val="center"/>
                </w:tcPr>
                <w:p w14:paraId="3FFF2B20">
                  <w:pPr>
                    <w:jc w:val="center"/>
                    <w:rPr>
                      <w:color w:val="auto"/>
                      <w:szCs w:val="21"/>
                    </w:rPr>
                  </w:pPr>
                  <w:r>
                    <w:rPr>
                      <w:color w:val="auto"/>
                      <w:szCs w:val="21"/>
                    </w:rPr>
                    <w:t>环卫部门清运</w:t>
                  </w:r>
                </w:p>
              </w:tc>
            </w:tr>
            <w:tr w14:paraId="1DA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continue"/>
                  <w:tcBorders>
                    <w:tl2br w:val="nil"/>
                    <w:tr2bl w:val="nil"/>
                  </w:tcBorders>
                  <w:vAlign w:val="center"/>
                </w:tcPr>
                <w:p w14:paraId="46A754B2">
                  <w:pPr>
                    <w:adjustRightInd w:val="0"/>
                    <w:snapToGrid w:val="0"/>
                    <w:jc w:val="center"/>
                    <w:rPr>
                      <w:color w:val="auto"/>
                      <w:szCs w:val="21"/>
                    </w:rPr>
                  </w:pPr>
                </w:p>
              </w:tc>
              <w:tc>
                <w:tcPr>
                  <w:tcW w:w="458" w:type="pct"/>
                  <w:vMerge w:val="restart"/>
                  <w:tcBorders>
                    <w:tl2br w:val="nil"/>
                    <w:tr2bl w:val="nil"/>
                  </w:tcBorders>
                  <w:vAlign w:val="center"/>
                </w:tcPr>
                <w:p w14:paraId="1C690410">
                  <w:pPr>
                    <w:adjustRightInd w:val="0"/>
                    <w:snapToGrid w:val="0"/>
                    <w:jc w:val="center"/>
                    <w:rPr>
                      <w:color w:val="auto"/>
                      <w:szCs w:val="21"/>
                    </w:rPr>
                  </w:pPr>
                  <w:r>
                    <w:rPr>
                      <w:color w:val="auto"/>
                      <w:szCs w:val="21"/>
                    </w:rPr>
                    <w:t>一般固废仓库</w:t>
                  </w:r>
                </w:p>
              </w:tc>
              <w:tc>
                <w:tcPr>
                  <w:tcW w:w="461" w:type="pct"/>
                  <w:vMerge w:val="restart"/>
                  <w:tcBorders>
                    <w:tl2br w:val="nil"/>
                    <w:tr2bl w:val="nil"/>
                  </w:tcBorders>
                  <w:vAlign w:val="center"/>
                </w:tcPr>
                <w:p w14:paraId="03CD93A9">
                  <w:pPr>
                    <w:adjustRightInd w:val="0"/>
                    <w:snapToGrid w:val="0"/>
                    <w:jc w:val="center"/>
                    <w:rPr>
                      <w:color w:val="auto"/>
                      <w:szCs w:val="21"/>
                    </w:rPr>
                  </w:pPr>
                  <w:r>
                    <w:rPr>
                      <w:color w:val="auto"/>
                      <w:szCs w:val="21"/>
                    </w:rPr>
                    <w:t>厂房</w:t>
                  </w:r>
                  <w:r>
                    <w:rPr>
                      <w:rFonts w:hint="eastAsia"/>
                      <w:color w:val="auto"/>
                      <w:szCs w:val="21"/>
                    </w:rPr>
                    <w:t>1F</w:t>
                  </w:r>
                </w:p>
              </w:tc>
              <w:tc>
                <w:tcPr>
                  <w:tcW w:w="393" w:type="pct"/>
                  <w:vMerge w:val="restart"/>
                  <w:tcBorders>
                    <w:tl2br w:val="nil"/>
                    <w:tr2bl w:val="nil"/>
                  </w:tcBorders>
                  <w:vAlign w:val="center"/>
                </w:tcPr>
                <w:p w14:paraId="00A67691">
                  <w:pPr>
                    <w:adjustRightInd w:val="0"/>
                    <w:snapToGrid w:val="0"/>
                    <w:jc w:val="center"/>
                    <w:rPr>
                      <w:rFonts w:hint="default" w:eastAsia="宋体"/>
                      <w:color w:val="auto"/>
                      <w:szCs w:val="21"/>
                      <w:lang w:val="en-US" w:eastAsia="zh-CN"/>
                    </w:rPr>
                  </w:pPr>
                  <w:r>
                    <w:rPr>
                      <w:rFonts w:hint="eastAsia"/>
                      <w:color w:val="auto"/>
                      <w:szCs w:val="21"/>
                      <w:lang w:val="en-US" w:eastAsia="zh-CN"/>
                    </w:rPr>
                    <w:t>40</w:t>
                  </w:r>
                </w:p>
              </w:tc>
              <w:tc>
                <w:tcPr>
                  <w:tcW w:w="728" w:type="pct"/>
                  <w:tcBorders>
                    <w:tl2br w:val="nil"/>
                    <w:tr2bl w:val="nil"/>
                  </w:tcBorders>
                  <w:vAlign w:val="center"/>
                </w:tcPr>
                <w:p w14:paraId="0D1F46AF">
                  <w:pPr>
                    <w:jc w:val="center"/>
                    <w:rPr>
                      <w:color w:val="auto"/>
                      <w:szCs w:val="21"/>
                    </w:rPr>
                  </w:pPr>
                  <w:r>
                    <w:rPr>
                      <w:rFonts w:hint="eastAsia"/>
                      <w:color w:val="auto"/>
                      <w:szCs w:val="21"/>
                    </w:rPr>
                    <w:t>收集粉尘</w:t>
                  </w:r>
                </w:p>
              </w:tc>
              <w:tc>
                <w:tcPr>
                  <w:tcW w:w="489" w:type="pct"/>
                  <w:tcBorders>
                    <w:tl2br w:val="nil"/>
                    <w:tr2bl w:val="nil"/>
                  </w:tcBorders>
                  <w:vAlign w:val="center"/>
                </w:tcPr>
                <w:p w14:paraId="50325349">
                  <w:pPr>
                    <w:jc w:val="center"/>
                    <w:rPr>
                      <w:rFonts w:hint="default"/>
                      <w:color w:val="auto"/>
                      <w:kern w:val="18"/>
                      <w:szCs w:val="21"/>
                      <w:lang w:val="en-US" w:eastAsia="zh-CN"/>
                    </w:rPr>
                  </w:pPr>
                  <w:r>
                    <w:rPr>
                      <w:rFonts w:hint="eastAsia"/>
                      <w:color w:val="auto"/>
                      <w:kern w:val="18"/>
                      <w:szCs w:val="21"/>
                      <w:lang w:val="en-US" w:eastAsia="zh-CN"/>
                    </w:rPr>
                    <w:t>37.498</w:t>
                  </w:r>
                </w:p>
              </w:tc>
              <w:tc>
                <w:tcPr>
                  <w:tcW w:w="448" w:type="pct"/>
                  <w:tcBorders>
                    <w:tl2br w:val="nil"/>
                    <w:tr2bl w:val="nil"/>
                  </w:tcBorders>
                  <w:vAlign w:val="center"/>
                </w:tcPr>
                <w:p w14:paraId="60A4FBFA">
                  <w:pPr>
                    <w:adjustRightInd w:val="0"/>
                    <w:snapToGrid w:val="0"/>
                    <w:jc w:val="center"/>
                    <w:rPr>
                      <w:color w:val="auto"/>
                      <w:kern w:val="18"/>
                      <w:szCs w:val="21"/>
                    </w:rPr>
                  </w:pPr>
                  <w:r>
                    <w:rPr>
                      <w:color w:val="auto"/>
                      <w:szCs w:val="21"/>
                    </w:rPr>
                    <w:t>袋装</w:t>
                  </w:r>
                </w:p>
              </w:tc>
              <w:tc>
                <w:tcPr>
                  <w:tcW w:w="555" w:type="pct"/>
                  <w:tcBorders>
                    <w:tl2br w:val="nil"/>
                    <w:tr2bl w:val="nil"/>
                  </w:tcBorders>
                  <w:vAlign w:val="center"/>
                </w:tcPr>
                <w:p w14:paraId="34638DB6">
                  <w:pPr>
                    <w:jc w:val="center"/>
                    <w:rPr>
                      <w:color w:val="auto"/>
                      <w:szCs w:val="21"/>
                    </w:rPr>
                  </w:pPr>
                  <w:r>
                    <w:rPr>
                      <w:rFonts w:hint="eastAsia"/>
                      <w:color w:val="auto"/>
                      <w:szCs w:val="21"/>
                    </w:rPr>
                    <w:t>1个月</w:t>
                  </w:r>
                </w:p>
              </w:tc>
              <w:tc>
                <w:tcPr>
                  <w:tcW w:w="379" w:type="pct"/>
                  <w:vMerge w:val="restart"/>
                  <w:tcBorders>
                    <w:tl2br w:val="nil"/>
                    <w:tr2bl w:val="nil"/>
                  </w:tcBorders>
                  <w:vAlign w:val="center"/>
                </w:tcPr>
                <w:p w14:paraId="6A403FDA">
                  <w:pPr>
                    <w:jc w:val="center"/>
                    <w:rPr>
                      <w:rFonts w:hint="default" w:eastAsia="宋体"/>
                      <w:color w:val="auto"/>
                      <w:szCs w:val="21"/>
                      <w:lang w:val="en-US" w:eastAsia="zh-CN"/>
                    </w:rPr>
                  </w:pPr>
                  <w:r>
                    <w:rPr>
                      <w:rFonts w:hint="eastAsia"/>
                      <w:color w:val="auto"/>
                      <w:szCs w:val="21"/>
                      <w:lang w:val="en-US" w:eastAsia="zh-CN"/>
                    </w:rPr>
                    <w:t>60</w:t>
                  </w:r>
                </w:p>
              </w:tc>
              <w:tc>
                <w:tcPr>
                  <w:tcW w:w="841" w:type="pct"/>
                  <w:tcBorders>
                    <w:tl2br w:val="nil"/>
                    <w:tr2bl w:val="nil"/>
                  </w:tcBorders>
                  <w:vAlign w:val="center"/>
                </w:tcPr>
                <w:p w14:paraId="3DDE8C00">
                  <w:pPr>
                    <w:contextualSpacing/>
                    <w:jc w:val="center"/>
                    <w:rPr>
                      <w:color w:val="auto"/>
                      <w:szCs w:val="21"/>
                    </w:rPr>
                  </w:pPr>
                  <w:r>
                    <w:rPr>
                      <w:rFonts w:hint="eastAsia"/>
                      <w:color w:val="auto"/>
                      <w:szCs w:val="21"/>
                    </w:rPr>
                    <w:t>回用于生产</w:t>
                  </w:r>
                </w:p>
              </w:tc>
            </w:tr>
            <w:tr w14:paraId="1182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continue"/>
                  <w:tcBorders>
                    <w:tl2br w:val="nil"/>
                    <w:tr2bl w:val="nil"/>
                  </w:tcBorders>
                  <w:vAlign w:val="center"/>
                </w:tcPr>
                <w:p w14:paraId="3A40D877">
                  <w:pPr>
                    <w:adjustRightInd w:val="0"/>
                    <w:snapToGrid w:val="0"/>
                    <w:jc w:val="center"/>
                    <w:rPr>
                      <w:color w:val="auto"/>
                      <w:szCs w:val="21"/>
                    </w:rPr>
                  </w:pPr>
                </w:p>
              </w:tc>
              <w:tc>
                <w:tcPr>
                  <w:tcW w:w="458" w:type="pct"/>
                  <w:vMerge w:val="continue"/>
                  <w:tcBorders>
                    <w:tl2br w:val="nil"/>
                    <w:tr2bl w:val="nil"/>
                  </w:tcBorders>
                  <w:vAlign w:val="center"/>
                </w:tcPr>
                <w:p w14:paraId="274DAD1B">
                  <w:pPr>
                    <w:adjustRightInd w:val="0"/>
                    <w:snapToGrid w:val="0"/>
                    <w:jc w:val="center"/>
                    <w:rPr>
                      <w:color w:val="auto"/>
                      <w:szCs w:val="21"/>
                    </w:rPr>
                  </w:pPr>
                </w:p>
              </w:tc>
              <w:tc>
                <w:tcPr>
                  <w:tcW w:w="461" w:type="pct"/>
                  <w:vMerge w:val="continue"/>
                  <w:tcBorders>
                    <w:tl2br w:val="nil"/>
                    <w:tr2bl w:val="nil"/>
                  </w:tcBorders>
                  <w:vAlign w:val="center"/>
                </w:tcPr>
                <w:p w14:paraId="69F6AE29">
                  <w:pPr>
                    <w:adjustRightInd w:val="0"/>
                    <w:snapToGrid w:val="0"/>
                    <w:jc w:val="center"/>
                    <w:rPr>
                      <w:color w:val="auto"/>
                      <w:szCs w:val="21"/>
                    </w:rPr>
                  </w:pPr>
                </w:p>
              </w:tc>
              <w:tc>
                <w:tcPr>
                  <w:tcW w:w="393" w:type="pct"/>
                  <w:vMerge w:val="continue"/>
                  <w:tcBorders>
                    <w:tl2br w:val="nil"/>
                    <w:tr2bl w:val="nil"/>
                  </w:tcBorders>
                  <w:vAlign w:val="center"/>
                </w:tcPr>
                <w:p w14:paraId="3784546E">
                  <w:pPr>
                    <w:adjustRightInd w:val="0"/>
                    <w:snapToGrid w:val="0"/>
                    <w:jc w:val="center"/>
                    <w:rPr>
                      <w:color w:val="auto"/>
                      <w:szCs w:val="21"/>
                    </w:rPr>
                  </w:pPr>
                </w:p>
              </w:tc>
              <w:tc>
                <w:tcPr>
                  <w:tcW w:w="728" w:type="pct"/>
                  <w:tcBorders>
                    <w:tl2br w:val="nil"/>
                    <w:tr2bl w:val="nil"/>
                  </w:tcBorders>
                  <w:vAlign w:val="center"/>
                </w:tcPr>
                <w:p w14:paraId="6AA7CB43">
                  <w:pPr>
                    <w:jc w:val="center"/>
                    <w:rPr>
                      <w:color w:val="auto"/>
                      <w:szCs w:val="21"/>
                    </w:rPr>
                  </w:pPr>
                  <w:r>
                    <w:rPr>
                      <w:rFonts w:hint="eastAsia"/>
                      <w:color w:val="auto"/>
                      <w:szCs w:val="21"/>
                    </w:rPr>
                    <w:t>边角料、不合格品</w:t>
                  </w:r>
                </w:p>
              </w:tc>
              <w:tc>
                <w:tcPr>
                  <w:tcW w:w="489" w:type="pct"/>
                  <w:tcBorders>
                    <w:tl2br w:val="nil"/>
                    <w:tr2bl w:val="nil"/>
                  </w:tcBorders>
                  <w:vAlign w:val="center"/>
                </w:tcPr>
                <w:p w14:paraId="422DB83C">
                  <w:pPr>
                    <w:jc w:val="center"/>
                    <w:rPr>
                      <w:rFonts w:hint="default" w:eastAsia="宋体"/>
                      <w:color w:val="auto"/>
                      <w:kern w:val="18"/>
                      <w:szCs w:val="21"/>
                      <w:lang w:val="en-US" w:eastAsia="zh-CN"/>
                    </w:rPr>
                  </w:pPr>
                  <w:r>
                    <w:rPr>
                      <w:rFonts w:hint="eastAsia"/>
                      <w:color w:val="auto"/>
                      <w:kern w:val="18"/>
                      <w:szCs w:val="21"/>
                      <w:lang w:val="en-US" w:eastAsia="zh-CN"/>
                    </w:rPr>
                    <w:t>121.954</w:t>
                  </w:r>
                </w:p>
              </w:tc>
              <w:tc>
                <w:tcPr>
                  <w:tcW w:w="448" w:type="pct"/>
                  <w:tcBorders>
                    <w:tl2br w:val="nil"/>
                    <w:tr2bl w:val="nil"/>
                  </w:tcBorders>
                  <w:vAlign w:val="center"/>
                </w:tcPr>
                <w:p w14:paraId="6F01A90A">
                  <w:pPr>
                    <w:adjustRightInd w:val="0"/>
                    <w:snapToGrid w:val="0"/>
                    <w:jc w:val="center"/>
                    <w:rPr>
                      <w:color w:val="auto"/>
                      <w:szCs w:val="21"/>
                    </w:rPr>
                  </w:pPr>
                  <w:r>
                    <w:rPr>
                      <w:color w:val="auto"/>
                      <w:szCs w:val="21"/>
                    </w:rPr>
                    <w:t>袋装</w:t>
                  </w:r>
                </w:p>
              </w:tc>
              <w:tc>
                <w:tcPr>
                  <w:tcW w:w="555" w:type="pct"/>
                  <w:tcBorders>
                    <w:tl2br w:val="nil"/>
                    <w:tr2bl w:val="nil"/>
                  </w:tcBorders>
                  <w:vAlign w:val="center"/>
                </w:tcPr>
                <w:p w14:paraId="2DBEDD45">
                  <w:pPr>
                    <w:jc w:val="center"/>
                    <w:rPr>
                      <w:color w:val="auto"/>
                      <w:szCs w:val="21"/>
                    </w:rPr>
                  </w:pPr>
                  <w:r>
                    <w:rPr>
                      <w:rFonts w:hint="eastAsia"/>
                      <w:color w:val="auto"/>
                      <w:szCs w:val="21"/>
                    </w:rPr>
                    <w:t>1个月</w:t>
                  </w:r>
                </w:p>
              </w:tc>
              <w:tc>
                <w:tcPr>
                  <w:tcW w:w="379" w:type="pct"/>
                  <w:vMerge w:val="continue"/>
                  <w:tcBorders>
                    <w:tl2br w:val="nil"/>
                    <w:tr2bl w:val="nil"/>
                  </w:tcBorders>
                  <w:vAlign w:val="center"/>
                </w:tcPr>
                <w:p w14:paraId="0E3B64A1">
                  <w:pPr>
                    <w:jc w:val="center"/>
                    <w:rPr>
                      <w:color w:val="auto"/>
                      <w:szCs w:val="21"/>
                    </w:rPr>
                  </w:pPr>
                </w:p>
              </w:tc>
              <w:tc>
                <w:tcPr>
                  <w:tcW w:w="841" w:type="pct"/>
                  <w:vMerge w:val="restart"/>
                  <w:tcBorders>
                    <w:tl2br w:val="nil"/>
                    <w:tr2bl w:val="nil"/>
                  </w:tcBorders>
                  <w:vAlign w:val="center"/>
                </w:tcPr>
                <w:p w14:paraId="69B29221">
                  <w:pPr>
                    <w:contextualSpacing/>
                    <w:jc w:val="center"/>
                    <w:rPr>
                      <w:color w:val="auto"/>
                      <w:szCs w:val="21"/>
                    </w:rPr>
                  </w:pPr>
                  <w:r>
                    <w:rPr>
                      <w:rFonts w:hint="eastAsia"/>
                      <w:color w:val="auto"/>
                      <w:szCs w:val="21"/>
                    </w:rPr>
                    <w:t>出售给回收公司综合利用</w:t>
                  </w:r>
                </w:p>
              </w:tc>
            </w:tr>
            <w:tr w14:paraId="2696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continue"/>
                  <w:tcBorders>
                    <w:tl2br w:val="nil"/>
                    <w:tr2bl w:val="nil"/>
                  </w:tcBorders>
                  <w:vAlign w:val="center"/>
                </w:tcPr>
                <w:p w14:paraId="4622E38C">
                  <w:pPr>
                    <w:adjustRightInd w:val="0"/>
                    <w:snapToGrid w:val="0"/>
                    <w:jc w:val="center"/>
                    <w:rPr>
                      <w:color w:val="auto"/>
                      <w:szCs w:val="21"/>
                    </w:rPr>
                  </w:pPr>
                </w:p>
              </w:tc>
              <w:tc>
                <w:tcPr>
                  <w:tcW w:w="458" w:type="pct"/>
                  <w:vMerge w:val="continue"/>
                  <w:tcBorders>
                    <w:tl2br w:val="nil"/>
                    <w:tr2bl w:val="nil"/>
                  </w:tcBorders>
                  <w:vAlign w:val="center"/>
                </w:tcPr>
                <w:p w14:paraId="4380404F">
                  <w:pPr>
                    <w:adjustRightInd w:val="0"/>
                    <w:snapToGrid w:val="0"/>
                    <w:jc w:val="center"/>
                    <w:rPr>
                      <w:color w:val="auto"/>
                      <w:szCs w:val="21"/>
                    </w:rPr>
                  </w:pPr>
                </w:p>
              </w:tc>
              <w:tc>
                <w:tcPr>
                  <w:tcW w:w="461" w:type="pct"/>
                  <w:vMerge w:val="continue"/>
                  <w:tcBorders>
                    <w:tl2br w:val="nil"/>
                    <w:tr2bl w:val="nil"/>
                  </w:tcBorders>
                  <w:vAlign w:val="center"/>
                </w:tcPr>
                <w:p w14:paraId="2A2FF75C">
                  <w:pPr>
                    <w:adjustRightInd w:val="0"/>
                    <w:snapToGrid w:val="0"/>
                    <w:jc w:val="center"/>
                    <w:rPr>
                      <w:color w:val="auto"/>
                      <w:szCs w:val="21"/>
                    </w:rPr>
                  </w:pPr>
                </w:p>
              </w:tc>
              <w:tc>
                <w:tcPr>
                  <w:tcW w:w="393" w:type="pct"/>
                  <w:vMerge w:val="continue"/>
                  <w:tcBorders>
                    <w:tl2br w:val="nil"/>
                    <w:tr2bl w:val="nil"/>
                  </w:tcBorders>
                  <w:vAlign w:val="center"/>
                </w:tcPr>
                <w:p w14:paraId="0D31440A">
                  <w:pPr>
                    <w:adjustRightInd w:val="0"/>
                    <w:snapToGrid w:val="0"/>
                    <w:jc w:val="center"/>
                    <w:rPr>
                      <w:color w:val="auto"/>
                      <w:szCs w:val="21"/>
                    </w:rPr>
                  </w:pPr>
                </w:p>
              </w:tc>
              <w:tc>
                <w:tcPr>
                  <w:tcW w:w="728" w:type="pct"/>
                  <w:tcBorders>
                    <w:tl2br w:val="nil"/>
                    <w:tr2bl w:val="nil"/>
                  </w:tcBorders>
                  <w:vAlign w:val="center"/>
                </w:tcPr>
                <w:p w14:paraId="360BEF47">
                  <w:pPr>
                    <w:jc w:val="center"/>
                    <w:rPr>
                      <w:color w:val="auto"/>
                      <w:szCs w:val="21"/>
                    </w:rPr>
                  </w:pPr>
                  <w:r>
                    <w:rPr>
                      <w:rFonts w:hint="eastAsia"/>
                      <w:color w:val="auto"/>
                      <w:szCs w:val="21"/>
                    </w:rPr>
                    <w:t>一般废包装材料</w:t>
                  </w:r>
                </w:p>
              </w:tc>
              <w:tc>
                <w:tcPr>
                  <w:tcW w:w="489" w:type="pct"/>
                  <w:tcBorders>
                    <w:tl2br w:val="nil"/>
                    <w:tr2bl w:val="nil"/>
                  </w:tcBorders>
                  <w:vAlign w:val="center"/>
                </w:tcPr>
                <w:p w14:paraId="02E740C0">
                  <w:pPr>
                    <w:adjustRightInd w:val="0"/>
                    <w:snapToGrid w:val="0"/>
                    <w:jc w:val="center"/>
                    <w:rPr>
                      <w:rFonts w:hint="default" w:eastAsia="宋体"/>
                      <w:color w:val="auto"/>
                      <w:szCs w:val="21"/>
                      <w:lang w:val="en-US" w:eastAsia="zh-CN"/>
                    </w:rPr>
                  </w:pPr>
                  <w:r>
                    <w:rPr>
                      <w:rFonts w:hint="eastAsia"/>
                      <w:color w:val="auto"/>
                      <w:szCs w:val="21"/>
                      <w:lang w:val="en-US" w:eastAsia="zh-CN"/>
                    </w:rPr>
                    <w:t>26.496</w:t>
                  </w:r>
                </w:p>
              </w:tc>
              <w:tc>
                <w:tcPr>
                  <w:tcW w:w="448" w:type="pct"/>
                  <w:tcBorders>
                    <w:tl2br w:val="nil"/>
                    <w:tr2bl w:val="nil"/>
                  </w:tcBorders>
                  <w:vAlign w:val="center"/>
                </w:tcPr>
                <w:p w14:paraId="7CABC3F0">
                  <w:pPr>
                    <w:jc w:val="center"/>
                    <w:rPr>
                      <w:color w:val="auto"/>
                      <w:szCs w:val="21"/>
                    </w:rPr>
                  </w:pPr>
                  <w:r>
                    <w:rPr>
                      <w:color w:val="auto"/>
                      <w:szCs w:val="21"/>
                    </w:rPr>
                    <w:t>袋装</w:t>
                  </w:r>
                </w:p>
              </w:tc>
              <w:tc>
                <w:tcPr>
                  <w:tcW w:w="555" w:type="pct"/>
                  <w:tcBorders>
                    <w:tl2br w:val="nil"/>
                    <w:tr2bl w:val="nil"/>
                  </w:tcBorders>
                  <w:vAlign w:val="center"/>
                </w:tcPr>
                <w:p w14:paraId="6488C540">
                  <w:pPr>
                    <w:jc w:val="center"/>
                    <w:rPr>
                      <w:color w:val="auto"/>
                      <w:szCs w:val="21"/>
                    </w:rPr>
                  </w:pPr>
                  <w:r>
                    <w:rPr>
                      <w:rFonts w:hint="eastAsia"/>
                      <w:color w:val="auto"/>
                      <w:szCs w:val="21"/>
                    </w:rPr>
                    <w:t>1个月</w:t>
                  </w:r>
                </w:p>
              </w:tc>
              <w:tc>
                <w:tcPr>
                  <w:tcW w:w="379" w:type="pct"/>
                  <w:vMerge w:val="continue"/>
                  <w:tcBorders>
                    <w:tl2br w:val="nil"/>
                    <w:tr2bl w:val="nil"/>
                  </w:tcBorders>
                  <w:vAlign w:val="center"/>
                </w:tcPr>
                <w:p w14:paraId="6E040AC7">
                  <w:pPr>
                    <w:jc w:val="center"/>
                    <w:rPr>
                      <w:color w:val="auto"/>
                      <w:szCs w:val="21"/>
                    </w:rPr>
                  </w:pPr>
                </w:p>
              </w:tc>
              <w:tc>
                <w:tcPr>
                  <w:tcW w:w="841" w:type="pct"/>
                  <w:vMerge w:val="continue"/>
                  <w:tcBorders>
                    <w:tl2br w:val="nil"/>
                    <w:tr2bl w:val="nil"/>
                  </w:tcBorders>
                  <w:vAlign w:val="center"/>
                </w:tcPr>
                <w:p w14:paraId="2C1E6F07">
                  <w:pPr>
                    <w:contextualSpacing/>
                    <w:jc w:val="center"/>
                    <w:rPr>
                      <w:color w:val="auto"/>
                      <w:szCs w:val="21"/>
                    </w:rPr>
                  </w:pPr>
                </w:p>
              </w:tc>
            </w:tr>
            <w:tr w14:paraId="3EEC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5" w:type="pct"/>
                  <w:vMerge w:val="restart"/>
                  <w:tcBorders>
                    <w:tl2br w:val="nil"/>
                    <w:tr2bl w:val="nil"/>
                  </w:tcBorders>
                  <w:vAlign w:val="center"/>
                </w:tcPr>
                <w:p w14:paraId="6972554F">
                  <w:pPr>
                    <w:adjustRightInd w:val="0"/>
                    <w:snapToGrid w:val="0"/>
                    <w:jc w:val="center"/>
                    <w:rPr>
                      <w:color w:val="auto"/>
                      <w:szCs w:val="21"/>
                    </w:rPr>
                  </w:pPr>
                  <w:r>
                    <w:rPr>
                      <w:rFonts w:hint="eastAsia"/>
                      <w:color w:val="auto"/>
                      <w:szCs w:val="21"/>
                    </w:rPr>
                    <w:t>危废</w:t>
                  </w:r>
                </w:p>
              </w:tc>
              <w:tc>
                <w:tcPr>
                  <w:tcW w:w="458" w:type="pct"/>
                  <w:vMerge w:val="restart"/>
                  <w:tcBorders>
                    <w:tl2br w:val="nil"/>
                    <w:tr2bl w:val="nil"/>
                  </w:tcBorders>
                  <w:vAlign w:val="center"/>
                </w:tcPr>
                <w:p w14:paraId="623FAF0F">
                  <w:pPr>
                    <w:adjustRightInd w:val="0"/>
                    <w:snapToGrid w:val="0"/>
                    <w:jc w:val="center"/>
                    <w:rPr>
                      <w:color w:val="auto"/>
                      <w:szCs w:val="21"/>
                    </w:rPr>
                  </w:pPr>
                  <w:r>
                    <w:rPr>
                      <w:rFonts w:hint="eastAsia"/>
                      <w:color w:val="auto"/>
                      <w:szCs w:val="21"/>
                    </w:rPr>
                    <w:t>危废贮存库</w:t>
                  </w:r>
                </w:p>
              </w:tc>
              <w:tc>
                <w:tcPr>
                  <w:tcW w:w="461" w:type="pct"/>
                  <w:vMerge w:val="restart"/>
                  <w:tcBorders>
                    <w:tl2br w:val="nil"/>
                    <w:tr2bl w:val="nil"/>
                  </w:tcBorders>
                  <w:vAlign w:val="center"/>
                </w:tcPr>
                <w:p w14:paraId="402BB9DA">
                  <w:pPr>
                    <w:adjustRightInd w:val="0"/>
                    <w:snapToGrid w:val="0"/>
                    <w:jc w:val="center"/>
                    <w:rPr>
                      <w:color w:val="auto"/>
                      <w:szCs w:val="21"/>
                    </w:rPr>
                  </w:pPr>
                  <w:r>
                    <w:rPr>
                      <w:rFonts w:hint="eastAsia"/>
                      <w:color w:val="auto"/>
                      <w:szCs w:val="21"/>
                    </w:rPr>
                    <w:t>厂房1F</w:t>
                  </w:r>
                </w:p>
              </w:tc>
              <w:tc>
                <w:tcPr>
                  <w:tcW w:w="393" w:type="pct"/>
                  <w:vMerge w:val="restart"/>
                  <w:tcBorders>
                    <w:tl2br w:val="nil"/>
                    <w:tr2bl w:val="nil"/>
                  </w:tcBorders>
                  <w:vAlign w:val="center"/>
                </w:tcPr>
                <w:p w14:paraId="6885AD25">
                  <w:pPr>
                    <w:adjustRightInd w:val="0"/>
                    <w:snapToGrid w:val="0"/>
                    <w:jc w:val="center"/>
                    <w:rPr>
                      <w:color w:val="auto"/>
                      <w:szCs w:val="21"/>
                    </w:rPr>
                  </w:pPr>
                  <w:r>
                    <w:rPr>
                      <w:rFonts w:hint="eastAsia"/>
                      <w:color w:val="auto"/>
                      <w:szCs w:val="21"/>
                    </w:rPr>
                    <w:t>20</w:t>
                  </w:r>
                </w:p>
              </w:tc>
              <w:tc>
                <w:tcPr>
                  <w:tcW w:w="728" w:type="pct"/>
                  <w:tcBorders>
                    <w:tl2br w:val="nil"/>
                    <w:tr2bl w:val="nil"/>
                  </w:tcBorders>
                  <w:vAlign w:val="center"/>
                </w:tcPr>
                <w:p w14:paraId="6B50532F">
                  <w:pPr>
                    <w:jc w:val="center"/>
                    <w:rPr>
                      <w:rFonts w:hint="eastAsia" w:eastAsia="宋体"/>
                      <w:color w:val="auto"/>
                      <w:szCs w:val="21"/>
                      <w:lang w:eastAsia="zh-CN"/>
                    </w:rPr>
                  </w:pPr>
                  <w:r>
                    <w:rPr>
                      <w:rFonts w:hint="eastAsia"/>
                      <w:color w:val="auto"/>
                      <w:szCs w:val="21"/>
                    </w:rPr>
                    <w:t>废</w:t>
                  </w:r>
                  <w:r>
                    <w:rPr>
                      <w:rFonts w:hint="eastAsia"/>
                      <w:color w:val="auto"/>
                      <w:szCs w:val="21"/>
                      <w:lang w:val="en-US" w:eastAsia="zh-CN"/>
                    </w:rPr>
                    <w:t>液压油</w:t>
                  </w:r>
                </w:p>
              </w:tc>
              <w:tc>
                <w:tcPr>
                  <w:tcW w:w="489" w:type="pct"/>
                  <w:tcBorders>
                    <w:tl2br w:val="nil"/>
                    <w:tr2bl w:val="nil"/>
                  </w:tcBorders>
                  <w:vAlign w:val="center"/>
                </w:tcPr>
                <w:p w14:paraId="03941DC0">
                  <w:pPr>
                    <w:adjustRightInd w:val="0"/>
                    <w:snapToGrid w:val="0"/>
                    <w:jc w:val="center"/>
                    <w:rPr>
                      <w:rFonts w:hint="eastAsia" w:eastAsia="宋体"/>
                      <w:color w:val="auto"/>
                      <w:kern w:val="18"/>
                      <w:szCs w:val="21"/>
                      <w:lang w:val="en-US" w:eastAsia="zh-CN"/>
                    </w:rPr>
                  </w:pPr>
                  <w:r>
                    <w:rPr>
                      <w:color w:val="auto"/>
                      <w:kern w:val="18"/>
                      <w:szCs w:val="21"/>
                    </w:rPr>
                    <w:t>0.</w:t>
                  </w:r>
                  <w:r>
                    <w:rPr>
                      <w:rFonts w:hint="eastAsia"/>
                      <w:color w:val="auto"/>
                      <w:kern w:val="18"/>
                      <w:szCs w:val="21"/>
                      <w:lang w:val="en-US" w:eastAsia="zh-CN"/>
                    </w:rPr>
                    <w:t>2</w:t>
                  </w:r>
                </w:p>
              </w:tc>
              <w:tc>
                <w:tcPr>
                  <w:tcW w:w="448" w:type="pct"/>
                  <w:tcBorders>
                    <w:tl2br w:val="nil"/>
                    <w:tr2bl w:val="nil"/>
                  </w:tcBorders>
                  <w:vAlign w:val="center"/>
                </w:tcPr>
                <w:p w14:paraId="644602F9">
                  <w:pPr>
                    <w:jc w:val="center"/>
                    <w:rPr>
                      <w:color w:val="auto"/>
                      <w:szCs w:val="21"/>
                    </w:rPr>
                  </w:pPr>
                  <w:r>
                    <w:rPr>
                      <w:color w:val="auto"/>
                      <w:szCs w:val="21"/>
                    </w:rPr>
                    <w:t>桶装</w:t>
                  </w:r>
                </w:p>
              </w:tc>
              <w:tc>
                <w:tcPr>
                  <w:tcW w:w="555" w:type="pct"/>
                  <w:tcBorders>
                    <w:tl2br w:val="nil"/>
                    <w:tr2bl w:val="nil"/>
                  </w:tcBorders>
                  <w:vAlign w:val="center"/>
                </w:tcPr>
                <w:p w14:paraId="6CECFB72">
                  <w:pPr>
                    <w:jc w:val="center"/>
                    <w:rPr>
                      <w:color w:val="auto"/>
                      <w:szCs w:val="21"/>
                    </w:rPr>
                  </w:pPr>
                  <w:r>
                    <w:rPr>
                      <w:rFonts w:hint="eastAsia"/>
                      <w:color w:val="auto"/>
                      <w:szCs w:val="21"/>
                    </w:rPr>
                    <w:t>3个月</w:t>
                  </w:r>
                </w:p>
              </w:tc>
              <w:tc>
                <w:tcPr>
                  <w:tcW w:w="379" w:type="pct"/>
                  <w:vMerge w:val="restart"/>
                  <w:tcBorders>
                    <w:tl2br w:val="nil"/>
                    <w:tr2bl w:val="nil"/>
                  </w:tcBorders>
                  <w:vAlign w:val="center"/>
                </w:tcPr>
                <w:p w14:paraId="5A774151">
                  <w:pPr>
                    <w:jc w:val="center"/>
                    <w:rPr>
                      <w:color w:val="auto"/>
                      <w:szCs w:val="21"/>
                    </w:rPr>
                  </w:pPr>
                  <w:r>
                    <w:rPr>
                      <w:rFonts w:hint="eastAsia"/>
                      <w:color w:val="auto"/>
                      <w:szCs w:val="21"/>
                    </w:rPr>
                    <w:t>30</w:t>
                  </w:r>
                </w:p>
              </w:tc>
              <w:tc>
                <w:tcPr>
                  <w:tcW w:w="841" w:type="pct"/>
                  <w:vMerge w:val="restart"/>
                  <w:tcBorders>
                    <w:tl2br w:val="nil"/>
                    <w:tr2bl w:val="nil"/>
                  </w:tcBorders>
                  <w:vAlign w:val="center"/>
                </w:tcPr>
                <w:p w14:paraId="2C11B8D6">
                  <w:pPr>
                    <w:contextualSpacing/>
                    <w:jc w:val="center"/>
                    <w:rPr>
                      <w:color w:val="auto"/>
                      <w:szCs w:val="21"/>
                    </w:rPr>
                  </w:pPr>
                  <w:r>
                    <w:rPr>
                      <w:color w:val="auto"/>
                      <w:szCs w:val="21"/>
                    </w:rPr>
                    <w:t>委托有资质的公司处置</w:t>
                  </w:r>
                </w:p>
              </w:tc>
            </w:tr>
            <w:tr w14:paraId="7FB8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continue"/>
                  <w:tcBorders>
                    <w:tl2br w:val="nil"/>
                    <w:tr2bl w:val="nil"/>
                  </w:tcBorders>
                  <w:vAlign w:val="center"/>
                </w:tcPr>
                <w:p w14:paraId="1B7FA3A8">
                  <w:pPr>
                    <w:adjustRightInd w:val="0"/>
                    <w:snapToGrid w:val="0"/>
                    <w:jc w:val="center"/>
                    <w:rPr>
                      <w:color w:val="auto"/>
                      <w:szCs w:val="21"/>
                    </w:rPr>
                  </w:pPr>
                </w:p>
              </w:tc>
              <w:tc>
                <w:tcPr>
                  <w:tcW w:w="458" w:type="pct"/>
                  <w:vMerge w:val="continue"/>
                  <w:tcBorders>
                    <w:tl2br w:val="nil"/>
                    <w:tr2bl w:val="nil"/>
                  </w:tcBorders>
                  <w:vAlign w:val="center"/>
                </w:tcPr>
                <w:p w14:paraId="0AB631A9">
                  <w:pPr>
                    <w:adjustRightInd w:val="0"/>
                    <w:snapToGrid w:val="0"/>
                    <w:jc w:val="center"/>
                    <w:rPr>
                      <w:color w:val="auto"/>
                      <w:szCs w:val="21"/>
                    </w:rPr>
                  </w:pPr>
                </w:p>
              </w:tc>
              <w:tc>
                <w:tcPr>
                  <w:tcW w:w="461" w:type="pct"/>
                  <w:vMerge w:val="continue"/>
                  <w:tcBorders>
                    <w:tl2br w:val="nil"/>
                    <w:tr2bl w:val="nil"/>
                  </w:tcBorders>
                  <w:vAlign w:val="center"/>
                </w:tcPr>
                <w:p w14:paraId="0A9BDAC4">
                  <w:pPr>
                    <w:adjustRightInd w:val="0"/>
                    <w:snapToGrid w:val="0"/>
                    <w:jc w:val="center"/>
                    <w:rPr>
                      <w:color w:val="auto"/>
                      <w:szCs w:val="21"/>
                    </w:rPr>
                  </w:pPr>
                </w:p>
              </w:tc>
              <w:tc>
                <w:tcPr>
                  <w:tcW w:w="393" w:type="pct"/>
                  <w:vMerge w:val="continue"/>
                  <w:tcBorders>
                    <w:tl2br w:val="nil"/>
                    <w:tr2bl w:val="nil"/>
                  </w:tcBorders>
                  <w:vAlign w:val="center"/>
                </w:tcPr>
                <w:p w14:paraId="182457CA">
                  <w:pPr>
                    <w:adjustRightInd w:val="0"/>
                    <w:snapToGrid w:val="0"/>
                    <w:jc w:val="center"/>
                    <w:rPr>
                      <w:color w:val="auto"/>
                      <w:szCs w:val="21"/>
                    </w:rPr>
                  </w:pPr>
                </w:p>
              </w:tc>
              <w:tc>
                <w:tcPr>
                  <w:tcW w:w="728" w:type="pct"/>
                  <w:tcBorders>
                    <w:tl2br w:val="nil"/>
                    <w:tr2bl w:val="nil"/>
                  </w:tcBorders>
                  <w:vAlign w:val="center"/>
                </w:tcPr>
                <w:p w14:paraId="454897E8">
                  <w:pPr>
                    <w:jc w:val="center"/>
                    <w:rPr>
                      <w:color w:val="auto"/>
                      <w:szCs w:val="21"/>
                    </w:rPr>
                  </w:pPr>
                  <w:r>
                    <w:rPr>
                      <w:rFonts w:hint="eastAsia"/>
                      <w:color w:val="auto"/>
                      <w:szCs w:val="21"/>
                    </w:rPr>
                    <w:t>废包装桶</w:t>
                  </w:r>
                </w:p>
              </w:tc>
              <w:tc>
                <w:tcPr>
                  <w:tcW w:w="489" w:type="pct"/>
                  <w:tcBorders>
                    <w:tl2br w:val="nil"/>
                    <w:tr2bl w:val="nil"/>
                  </w:tcBorders>
                  <w:vAlign w:val="center"/>
                </w:tcPr>
                <w:p w14:paraId="0CF8699D">
                  <w:pPr>
                    <w:jc w:val="center"/>
                    <w:rPr>
                      <w:color w:val="auto"/>
                      <w:kern w:val="18"/>
                      <w:szCs w:val="21"/>
                    </w:rPr>
                  </w:pPr>
                  <w:r>
                    <w:rPr>
                      <w:rFonts w:hint="eastAsia"/>
                      <w:color w:val="auto"/>
                      <w:kern w:val="18"/>
                      <w:szCs w:val="21"/>
                    </w:rPr>
                    <w:t>0.06</w:t>
                  </w:r>
                </w:p>
              </w:tc>
              <w:tc>
                <w:tcPr>
                  <w:tcW w:w="448" w:type="pct"/>
                  <w:tcBorders>
                    <w:tl2br w:val="nil"/>
                    <w:tr2bl w:val="nil"/>
                  </w:tcBorders>
                  <w:vAlign w:val="center"/>
                </w:tcPr>
                <w:p w14:paraId="30F866B5">
                  <w:pPr>
                    <w:jc w:val="center"/>
                    <w:rPr>
                      <w:color w:val="auto"/>
                      <w:szCs w:val="21"/>
                    </w:rPr>
                  </w:pPr>
                  <w:r>
                    <w:rPr>
                      <w:color w:val="auto"/>
                      <w:szCs w:val="21"/>
                    </w:rPr>
                    <w:t>桶装</w:t>
                  </w:r>
                </w:p>
              </w:tc>
              <w:tc>
                <w:tcPr>
                  <w:tcW w:w="555" w:type="pct"/>
                  <w:tcBorders>
                    <w:tl2br w:val="nil"/>
                    <w:tr2bl w:val="nil"/>
                  </w:tcBorders>
                  <w:vAlign w:val="center"/>
                </w:tcPr>
                <w:p w14:paraId="4488E9D9">
                  <w:pPr>
                    <w:jc w:val="center"/>
                    <w:rPr>
                      <w:color w:val="auto"/>
                      <w:szCs w:val="21"/>
                    </w:rPr>
                  </w:pPr>
                  <w:r>
                    <w:rPr>
                      <w:rFonts w:hint="eastAsia"/>
                      <w:color w:val="auto"/>
                      <w:szCs w:val="21"/>
                    </w:rPr>
                    <w:t>3个月</w:t>
                  </w:r>
                </w:p>
              </w:tc>
              <w:tc>
                <w:tcPr>
                  <w:tcW w:w="379" w:type="pct"/>
                  <w:vMerge w:val="continue"/>
                  <w:tcBorders>
                    <w:tl2br w:val="nil"/>
                    <w:tr2bl w:val="nil"/>
                  </w:tcBorders>
                  <w:vAlign w:val="center"/>
                </w:tcPr>
                <w:p w14:paraId="537FF73B">
                  <w:pPr>
                    <w:jc w:val="center"/>
                    <w:rPr>
                      <w:color w:val="auto"/>
                      <w:szCs w:val="21"/>
                    </w:rPr>
                  </w:pPr>
                </w:p>
              </w:tc>
              <w:tc>
                <w:tcPr>
                  <w:tcW w:w="841" w:type="pct"/>
                  <w:vMerge w:val="continue"/>
                  <w:tcBorders>
                    <w:tl2br w:val="nil"/>
                    <w:tr2bl w:val="nil"/>
                  </w:tcBorders>
                  <w:vAlign w:val="center"/>
                </w:tcPr>
                <w:p w14:paraId="6F3C849F">
                  <w:pPr>
                    <w:contextualSpacing/>
                    <w:jc w:val="center"/>
                    <w:rPr>
                      <w:color w:val="auto"/>
                      <w:szCs w:val="21"/>
                    </w:rPr>
                  </w:pPr>
                </w:p>
              </w:tc>
            </w:tr>
            <w:tr w14:paraId="72ED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45" w:type="pct"/>
                  <w:vMerge w:val="continue"/>
                  <w:tcBorders>
                    <w:tl2br w:val="nil"/>
                    <w:tr2bl w:val="nil"/>
                  </w:tcBorders>
                  <w:vAlign w:val="center"/>
                </w:tcPr>
                <w:p w14:paraId="6DD3AC5F">
                  <w:pPr>
                    <w:adjustRightInd w:val="0"/>
                    <w:snapToGrid w:val="0"/>
                    <w:jc w:val="center"/>
                    <w:rPr>
                      <w:color w:val="auto"/>
                      <w:szCs w:val="21"/>
                    </w:rPr>
                  </w:pPr>
                </w:p>
              </w:tc>
              <w:tc>
                <w:tcPr>
                  <w:tcW w:w="458" w:type="pct"/>
                  <w:vMerge w:val="continue"/>
                  <w:tcBorders>
                    <w:tl2br w:val="nil"/>
                    <w:tr2bl w:val="nil"/>
                  </w:tcBorders>
                  <w:vAlign w:val="center"/>
                </w:tcPr>
                <w:p w14:paraId="6C88BACF">
                  <w:pPr>
                    <w:adjustRightInd w:val="0"/>
                    <w:snapToGrid w:val="0"/>
                    <w:jc w:val="center"/>
                    <w:rPr>
                      <w:color w:val="auto"/>
                      <w:szCs w:val="21"/>
                    </w:rPr>
                  </w:pPr>
                </w:p>
              </w:tc>
              <w:tc>
                <w:tcPr>
                  <w:tcW w:w="461" w:type="pct"/>
                  <w:vMerge w:val="continue"/>
                  <w:tcBorders>
                    <w:tl2br w:val="nil"/>
                    <w:tr2bl w:val="nil"/>
                  </w:tcBorders>
                  <w:vAlign w:val="center"/>
                </w:tcPr>
                <w:p w14:paraId="5473929B">
                  <w:pPr>
                    <w:adjustRightInd w:val="0"/>
                    <w:snapToGrid w:val="0"/>
                    <w:jc w:val="center"/>
                    <w:rPr>
                      <w:color w:val="auto"/>
                      <w:szCs w:val="21"/>
                    </w:rPr>
                  </w:pPr>
                </w:p>
              </w:tc>
              <w:tc>
                <w:tcPr>
                  <w:tcW w:w="393" w:type="pct"/>
                  <w:vMerge w:val="continue"/>
                  <w:tcBorders>
                    <w:tl2br w:val="nil"/>
                    <w:tr2bl w:val="nil"/>
                  </w:tcBorders>
                  <w:vAlign w:val="center"/>
                </w:tcPr>
                <w:p w14:paraId="70CC2470">
                  <w:pPr>
                    <w:adjustRightInd w:val="0"/>
                    <w:snapToGrid w:val="0"/>
                    <w:jc w:val="center"/>
                    <w:rPr>
                      <w:color w:val="auto"/>
                      <w:szCs w:val="21"/>
                    </w:rPr>
                  </w:pPr>
                </w:p>
              </w:tc>
              <w:tc>
                <w:tcPr>
                  <w:tcW w:w="728" w:type="pct"/>
                  <w:tcBorders>
                    <w:tl2br w:val="nil"/>
                    <w:tr2bl w:val="nil"/>
                  </w:tcBorders>
                  <w:vAlign w:val="center"/>
                </w:tcPr>
                <w:p w14:paraId="629EDE9D">
                  <w:pPr>
                    <w:jc w:val="center"/>
                    <w:rPr>
                      <w:color w:val="auto"/>
                      <w:szCs w:val="21"/>
                    </w:rPr>
                  </w:pPr>
                  <w:r>
                    <w:rPr>
                      <w:rFonts w:hint="eastAsia"/>
                      <w:color w:val="auto"/>
                      <w:szCs w:val="21"/>
                    </w:rPr>
                    <w:t>废活性炭</w:t>
                  </w:r>
                </w:p>
              </w:tc>
              <w:tc>
                <w:tcPr>
                  <w:tcW w:w="489" w:type="pct"/>
                  <w:tcBorders>
                    <w:tl2br w:val="nil"/>
                    <w:tr2bl w:val="nil"/>
                  </w:tcBorders>
                  <w:vAlign w:val="center"/>
                </w:tcPr>
                <w:p w14:paraId="03CF05AE">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8.957</w:t>
                  </w:r>
                </w:p>
              </w:tc>
              <w:tc>
                <w:tcPr>
                  <w:tcW w:w="448" w:type="pct"/>
                  <w:tcBorders>
                    <w:tl2br w:val="nil"/>
                    <w:tr2bl w:val="nil"/>
                  </w:tcBorders>
                  <w:vAlign w:val="center"/>
                </w:tcPr>
                <w:p w14:paraId="3819931E">
                  <w:pPr>
                    <w:jc w:val="center"/>
                    <w:rPr>
                      <w:color w:val="auto"/>
                      <w:kern w:val="18"/>
                      <w:szCs w:val="21"/>
                    </w:rPr>
                  </w:pPr>
                  <w:r>
                    <w:rPr>
                      <w:rFonts w:hint="eastAsia"/>
                      <w:color w:val="auto"/>
                      <w:kern w:val="18"/>
                      <w:szCs w:val="21"/>
                    </w:rPr>
                    <w:t>袋装</w:t>
                  </w:r>
                </w:p>
              </w:tc>
              <w:tc>
                <w:tcPr>
                  <w:tcW w:w="555" w:type="pct"/>
                  <w:tcBorders>
                    <w:tl2br w:val="nil"/>
                    <w:tr2bl w:val="nil"/>
                  </w:tcBorders>
                  <w:vAlign w:val="center"/>
                </w:tcPr>
                <w:p w14:paraId="482DB47F">
                  <w:pPr>
                    <w:jc w:val="center"/>
                    <w:rPr>
                      <w:color w:val="auto"/>
                      <w:szCs w:val="21"/>
                    </w:rPr>
                  </w:pPr>
                  <w:r>
                    <w:rPr>
                      <w:rFonts w:hint="eastAsia"/>
                      <w:color w:val="auto"/>
                      <w:szCs w:val="21"/>
                    </w:rPr>
                    <w:t>3个月</w:t>
                  </w:r>
                </w:p>
              </w:tc>
              <w:tc>
                <w:tcPr>
                  <w:tcW w:w="379" w:type="pct"/>
                  <w:vMerge w:val="continue"/>
                  <w:tcBorders>
                    <w:tl2br w:val="nil"/>
                    <w:tr2bl w:val="nil"/>
                  </w:tcBorders>
                  <w:vAlign w:val="center"/>
                </w:tcPr>
                <w:p w14:paraId="1C725ABC">
                  <w:pPr>
                    <w:jc w:val="center"/>
                    <w:rPr>
                      <w:color w:val="auto"/>
                      <w:szCs w:val="21"/>
                    </w:rPr>
                  </w:pPr>
                </w:p>
              </w:tc>
              <w:tc>
                <w:tcPr>
                  <w:tcW w:w="841" w:type="pct"/>
                  <w:vMerge w:val="continue"/>
                  <w:tcBorders>
                    <w:tl2br w:val="nil"/>
                    <w:tr2bl w:val="nil"/>
                  </w:tcBorders>
                  <w:vAlign w:val="center"/>
                </w:tcPr>
                <w:p w14:paraId="6A0F95AB">
                  <w:pPr>
                    <w:contextualSpacing/>
                    <w:jc w:val="center"/>
                    <w:rPr>
                      <w:color w:val="auto"/>
                      <w:szCs w:val="21"/>
                    </w:rPr>
                  </w:pPr>
                </w:p>
              </w:tc>
            </w:tr>
            <w:tr w14:paraId="3A04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5" w:type="pct"/>
                  <w:vMerge w:val="continue"/>
                  <w:tcBorders>
                    <w:tl2br w:val="nil"/>
                    <w:tr2bl w:val="nil"/>
                  </w:tcBorders>
                  <w:vAlign w:val="center"/>
                </w:tcPr>
                <w:p w14:paraId="21B4B1A7">
                  <w:pPr>
                    <w:adjustRightInd w:val="0"/>
                    <w:snapToGrid w:val="0"/>
                    <w:jc w:val="center"/>
                    <w:rPr>
                      <w:color w:val="auto"/>
                      <w:szCs w:val="21"/>
                    </w:rPr>
                  </w:pPr>
                </w:p>
              </w:tc>
              <w:tc>
                <w:tcPr>
                  <w:tcW w:w="458" w:type="pct"/>
                  <w:vMerge w:val="continue"/>
                  <w:tcBorders>
                    <w:tl2br w:val="nil"/>
                    <w:tr2bl w:val="nil"/>
                  </w:tcBorders>
                  <w:vAlign w:val="center"/>
                </w:tcPr>
                <w:p w14:paraId="2C100F16">
                  <w:pPr>
                    <w:adjustRightInd w:val="0"/>
                    <w:snapToGrid w:val="0"/>
                    <w:jc w:val="center"/>
                    <w:rPr>
                      <w:color w:val="auto"/>
                      <w:szCs w:val="21"/>
                    </w:rPr>
                  </w:pPr>
                </w:p>
              </w:tc>
              <w:tc>
                <w:tcPr>
                  <w:tcW w:w="461" w:type="pct"/>
                  <w:vMerge w:val="continue"/>
                  <w:tcBorders>
                    <w:tl2br w:val="nil"/>
                    <w:tr2bl w:val="nil"/>
                  </w:tcBorders>
                  <w:vAlign w:val="center"/>
                </w:tcPr>
                <w:p w14:paraId="7F1F9A67">
                  <w:pPr>
                    <w:adjustRightInd w:val="0"/>
                    <w:snapToGrid w:val="0"/>
                    <w:jc w:val="center"/>
                    <w:rPr>
                      <w:color w:val="auto"/>
                      <w:szCs w:val="21"/>
                    </w:rPr>
                  </w:pPr>
                </w:p>
              </w:tc>
              <w:tc>
                <w:tcPr>
                  <w:tcW w:w="393" w:type="pct"/>
                  <w:vMerge w:val="continue"/>
                  <w:tcBorders>
                    <w:tl2br w:val="nil"/>
                    <w:tr2bl w:val="nil"/>
                  </w:tcBorders>
                  <w:vAlign w:val="center"/>
                </w:tcPr>
                <w:p w14:paraId="7A735255">
                  <w:pPr>
                    <w:adjustRightInd w:val="0"/>
                    <w:snapToGrid w:val="0"/>
                    <w:jc w:val="center"/>
                    <w:rPr>
                      <w:color w:val="auto"/>
                      <w:szCs w:val="21"/>
                    </w:rPr>
                  </w:pPr>
                </w:p>
              </w:tc>
              <w:tc>
                <w:tcPr>
                  <w:tcW w:w="728" w:type="pct"/>
                  <w:tcBorders>
                    <w:tl2br w:val="nil"/>
                    <w:tr2bl w:val="nil"/>
                  </w:tcBorders>
                  <w:vAlign w:val="center"/>
                </w:tcPr>
                <w:p w14:paraId="352A7CE4">
                  <w:pPr>
                    <w:jc w:val="center"/>
                    <w:rPr>
                      <w:color w:val="auto"/>
                      <w:szCs w:val="21"/>
                    </w:rPr>
                  </w:pPr>
                  <w:r>
                    <w:rPr>
                      <w:rFonts w:hint="eastAsia"/>
                      <w:color w:val="auto"/>
                      <w:szCs w:val="21"/>
                    </w:rPr>
                    <w:t>含油废劳保</w:t>
                  </w:r>
                </w:p>
              </w:tc>
              <w:tc>
                <w:tcPr>
                  <w:tcW w:w="489" w:type="pct"/>
                  <w:tcBorders>
                    <w:tl2br w:val="nil"/>
                    <w:tr2bl w:val="nil"/>
                  </w:tcBorders>
                  <w:vAlign w:val="center"/>
                </w:tcPr>
                <w:p w14:paraId="3A0613F7">
                  <w:pPr>
                    <w:adjustRightInd w:val="0"/>
                    <w:snapToGrid w:val="0"/>
                    <w:jc w:val="center"/>
                    <w:rPr>
                      <w:color w:val="auto"/>
                      <w:kern w:val="0"/>
                      <w:szCs w:val="21"/>
                    </w:rPr>
                  </w:pPr>
                  <w:r>
                    <w:rPr>
                      <w:rFonts w:hint="eastAsia"/>
                      <w:color w:val="auto"/>
                      <w:kern w:val="0"/>
                      <w:szCs w:val="21"/>
                    </w:rPr>
                    <w:t>0.05</w:t>
                  </w:r>
                </w:p>
              </w:tc>
              <w:tc>
                <w:tcPr>
                  <w:tcW w:w="448" w:type="pct"/>
                  <w:tcBorders>
                    <w:tl2br w:val="nil"/>
                    <w:tr2bl w:val="nil"/>
                  </w:tcBorders>
                  <w:vAlign w:val="center"/>
                </w:tcPr>
                <w:p w14:paraId="1638BC1B">
                  <w:pPr>
                    <w:jc w:val="center"/>
                    <w:rPr>
                      <w:color w:val="auto"/>
                      <w:kern w:val="18"/>
                      <w:szCs w:val="21"/>
                    </w:rPr>
                  </w:pPr>
                  <w:r>
                    <w:rPr>
                      <w:rFonts w:hint="eastAsia"/>
                      <w:color w:val="auto"/>
                      <w:kern w:val="18"/>
                      <w:szCs w:val="21"/>
                    </w:rPr>
                    <w:t>袋装</w:t>
                  </w:r>
                </w:p>
              </w:tc>
              <w:tc>
                <w:tcPr>
                  <w:tcW w:w="555" w:type="pct"/>
                  <w:tcBorders>
                    <w:tl2br w:val="nil"/>
                    <w:tr2bl w:val="nil"/>
                  </w:tcBorders>
                  <w:vAlign w:val="center"/>
                </w:tcPr>
                <w:p w14:paraId="19951554">
                  <w:pPr>
                    <w:jc w:val="center"/>
                    <w:rPr>
                      <w:color w:val="auto"/>
                      <w:szCs w:val="21"/>
                    </w:rPr>
                  </w:pPr>
                  <w:r>
                    <w:rPr>
                      <w:rFonts w:hint="eastAsia"/>
                      <w:color w:val="auto"/>
                      <w:szCs w:val="21"/>
                    </w:rPr>
                    <w:t>3个月</w:t>
                  </w:r>
                </w:p>
              </w:tc>
              <w:tc>
                <w:tcPr>
                  <w:tcW w:w="379" w:type="pct"/>
                  <w:vMerge w:val="continue"/>
                  <w:tcBorders>
                    <w:tl2br w:val="nil"/>
                    <w:tr2bl w:val="nil"/>
                  </w:tcBorders>
                  <w:vAlign w:val="center"/>
                </w:tcPr>
                <w:p w14:paraId="075FEFDE">
                  <w:pPr>
                    <w:jc w:val="center"/>
                    <w:rPr>
                      <w:color w:val="auto"/>
                      <w:szCs w:val="21"/>
                    </w:rPr>
                  </w:pPr>
                </w:p>
              </w:tc>
              <w:tc>
                <w:tcPr>
                  <w:tcW w:w="841" w:type="pct"/>
                  <w:vMerge w:val="continue"/>
                  <w:tcBorders>
                    <w:tl2br w:val="nil"/>
                    <w:tr2bl w:val="nil"/>
                  </w:tcBorders>
                  <w:vAlign w:val="center"/>
                </w:tcPr>
                <w:p w14:paraId="0681BB8B">
                  <w:pPr>
                    <w:contextualSpacing/>
                    <w:jc w:val="center"/>
                    <w:rPr>
                      <w:color w:val="auto"/>
                      <w:szCs w:val="21"/>
                    </w:rPr>
                  </w:pPr>
                </w:p>
              </w:tc>
            </w:tr>
          </w:tbl>
          <w:p w14:paraId="585D9FBD">
            <w:pPr>
              <w:spacing w:before="120" w:beforeLines="50" w:line="360" w:lineRule="auto"/>
              <w:ind w:firstLine="480" w:firstLineChars="200"/>
              <w:rPr>
                <w:color w:val="auto"/>
                <w:sz w:val="24"/>
                <w:szCs w:val="21"/>
              </w:rPr>
            </w:pPr>
            <w:r>
              <w:rPr>
                <w:color w:val="auto"/>
                <w:sz w:val="24"/>
              </w:rPr>
              <w:t>4、环境管理要求</w:t>
            </w:r>
          </w:p>
          <w:p w14:paraId="1AC6090D">
            <w:pPr>
              <w:adjustRightInd w:val="0"/>
              <w:spacing w:line="360" w:lineRule="auto"/>
              <w:ind w:firstLine="425"/>
              <w:rPr>
                <w:color w:val="auto"/>
                <w:sz w:val="24"/>
              </w:rPr>
            </w:pPr>
            <w:r>
              <w:rPr>
                <w:color w:val="auto"/>
                <w:sz w:val="24"/>
              </w:rPr>
              <w:t>固废贮存必须有固定的场地，必须设置规范的固废堆场或固废仓库。固废堆场或仓库分一般固体</w:t>
            </w:r>
            <w:r>
              <w:rPr>
                <w:rFonts w:hint="eastAsia"/>
                <w:color w:val="auto"/>
                <w:sz w:val="24"/>
              </w:rPr>
              <w:t>废物</w:t>
            </w:r>
            <w:r>
              <w:rPr>
                <w:color w:val="auto"/>
                <w:sz w:val="24"/>
              </w:rPr>
              <w:t>和危险固废堆场，均必须能够防雨、防风和防渗漏</w:t>
            </w:r>
            <w:r>
              <w:rPr>
                <w:rFonts w:hint="eastAsia"/>
                <w:color w:val="auto"/>
                <w:sz w:val="24"/>
              </w:rPr>
              <w:t>。同时应做到以下要求：</w:t>
            </w:r>
          </w:p>
          <w:p w14:paraId="3A560713">
            <w:pPr>
              <w:adjustRightInd w:val="0"/>
              <w:spacing w:line="360" w:lineRule="auto"/>
              <w:ind w:firstLine="425"/>
              <w:rPr>
                <w:color w:val="auto"/>
                <w:sz w:val="24"/>
              </w:rPr>
            </w:pPr>
            <w:r>
              <w:rPr>
                <w:rFonts w:hint="eastAsia"/>
                <w:color w:val="auto"/>
                <w:sz w:val="24"/>
              </w:rPr>
              <w:t>（1）项目一般固废要求定点分类收集，并严格按照国家《一般工业固体废物贮存和填埋污染控制标准》（GB18599-2020）的要求，建设必要的固废分类收集和临时贮存设施；其中采用库房、包装工具（罐、桶、包装袋等）贮存一般工业固体废物过程的污染控制，不适用《一般工业固体废物贮存和填埋污染控制标准》（GB18599-2020），其贮存过程应满足相应防渗漏、防雨淋、防扬尘等环境保护要求。且根据《浙江省工业固体废物电子转移联单管理办法（实行）》，公司应当按照本办法要求依托省固体废物治理系统运行电子转移联单，工业固体废物中属于危险废物的，按照国家有关规定执行，不适用本办法</w:t>
            </w:r>
            <w:r>
              <w:rPr>
                <w:color w:val="auto"/>
                <w:sz w:val="24"/>
              </w:rPr>
              <w:t>。</w:t>
            </w:r>
          </w:p>
          <w:p w14:paraId="115A2518">
            <w:pPr>
              <w:adjustRightInd w:val="0"/>
              <w:spacing w:line="360" w:lineRule="auto"/>
              <w:ind w:firstLine="425"/>
              <w:rPr>
                <w:color w:val="auto"/>
                <w:sz w:val="24"/>
              </w:rPr>
            </w:pPr>
            <w:r>
              <w:rPr>
                <w:rFonts w:hint="eastAsia"/>
                <w:color w:val="auto"/>
                <w:sz w:val="24"/>
              </w:rPr>
              <w:t>（2）</w:t>
            </w:r>
            <w:r>
              <w:rPr>
                <w:color w:val="auto"/>
                <w:sz w:val="24"/>
              </w:rPr>
              <w:t>生活垃圾可不纳入工业固废管理，贮存采用生活垃圾分类箱，每日委托环卫所清运</w:t>
            </w:r>
            <w:r>
              <w:rPr>
                <w:rFonts w:hint="eastAsia"/>
                <w:color w:val="auto"/>
                <w:sz w:val="24"/>
              </w:rPr>
              <w:t>，本项目生活垃圾管理要求</w:t>
            </w:r>
            <w:r>
              <w:rPr>
                <w:color w:val="auto"/>
                <w:sz w:val="24"/>
              </w:rPr>
              <w:t>满足《湖州市生活垃圾分类实施方案》，保持垃圾桶卫生清洁，每日及时清运。</w:t>
            </w:r>
          </w:p>
          <w:p w14:paraId="4A4DBE3E">
            <w:pPr>
              <w:adjustRightInd w:val="0"/>
              <w:spacing w:line="360" w:lineRule="auto"/>
              <w:ind w:firstLine="425"/>
              <w:rPr>
                <w:color w:val="auto"/>
                <w:sz w:val="24"/>
              </w:rPr>
            </w:pPr>
            <w:r>
              <w:rPr>
                <w:rFonts w:hint="eastAsia"/>
                <w:color w:val="auto"/>
                <w:sz w:val="24"/>
              </w:rPr>
              <w:t>（3）</w:t>
            </w:r>
            <w:r>
              <w:rPr>
                <w:color w:val="auto"/>
                <w:sz w:val="24"/>
              </w:rPr>
              <w:t>危险废物</w:t>
            </w:r>
            <w:r>
              <w:rPr>
                <w:rFonts w:hint="eastAsia"/>
                <w:color w:val="auto"/>
                <w:sz w:val="24"/>
              </w:rPr>
              <w:t>贮存</w:t>
            </w:r>
            <w:r>
              <w:rPr>
                <w:color w:val="auto"/>
                <w:sz w:val="24"/>
              </w:rPr>
              <w:t>执行《</w:t>
            </w:r>
            <w:r>
              <w:rPr>
                <w:rFonts w:hint="eastAsia"/>
                <w:color w:val="auto"/>
                <w:sz w:val="24"/>
              </w:rPr>
              <w:t>危险废物贮存污染控制标准</w:t>
            </w:r>
            <w:r>
              <w:rPr>
                <w:color w:val="auto"/>
                <w:sz w:val="24"/>
              </w:rPr>
              <w:t>》（</w:t>
            </w:r>
            <w:r>
              <w:rPr>
                <w:color w:val="auto"/>
                <w:sz w:val="24"/>
                <w:lang w:val="zh-CN"/>
              </w:rPr>
              <w:t>GB18597-2023</w:t>
            </w:r>
            <w:r>
              <w:rPr>
                <w:color w:val="auto"/>
                <w:sz w:val="24"/>
              </w:rPr>
              <w:t>），分类分区堆放，各储存容器日常应加盖密封，并设置有隔离设施、报警装置和“四防”（防风、防雨、防晒、防渗漏）设施，并建立台账管理制度和联单转移制度等。具体要求如下：</w:t>
            </w:r>
          </w:p>
          <w:p w14:paraId="23883707">
            <w:pPr>
              <w:adjustRightInd w:val="0"/>
              <w:spacing w:line="360" w:lineRule="auto"/>
              <w:ind w:firstLine="425"/>
              <w:rPr>
                <w:color w:val="auto"/>
                <w:sz w:val="24"/>
              </w:rPr>
            </w:pPr>
            <w:r>
              <w:rPr>
                <w:color w:val="auto"/>
                <w:sz w:val="24"/>
              </w:rPr>
              <w:t>1）危险废物要根据其成分，用符合国家标准的专门容器分类收集。</w:t>
            </w:r>
          </w:p>
          <w:p w14:paraId="3BB3CD9A">
            <w:pPr>
              <w:adjustRightInd w:val="0"/>
              <w:spacing w:line="360" w:lineRule="auto"/>
              <w:ind w:firstLine="425"/>
              <w:rPr>
                <w:color w:val="auto"/>
                <w:sz w:val="24"/>
              </w:rPr>
            </w:pPr>
            <w:r>
              <w:rPr>
                <w:color w:val="auto"/>
                <w:sz w:val="24"/>
              </w:rPr>
              <w:t>2）装运危险废物的容器应根据危险废物的不同特性而设计，不易破损、变形、老化，能有效地防止渗漏、扩散。</w:t>
            </w:r>
          </w:p>
          <w:p w14:paraId="7BE36069">
            <w:pPr>
              <w:adjustRightInd w:val="0"/>
              <w:spacing w:line="360" w:lineRule="auto"/>
              <w:ind w:firstLine="425"/>
              <w:rPr>
                <w:color w:val="auto"/>
                <w:sz w:val="24"/>
              </w:rPr>
            </w:pPr>
            <w:r>
              <w:rPr>
                <w:color w:val="auto"/>
                <w:sz w:val="24"/>
              </w:rPr>
              <w:t>3）危险废物的国内转移应遵从《危险废物转移联单管理办法》及其他有关规定要求。</w:t>
            </w:r>
          </w:p>
          <w:p w14:paraId="5CF6A9AF">
            <w:pPr>
              <w:adjustRightInd w:val="0"/>
              <w:spacing w:line="360" w:lineRule="auto"/>
              <w:ind w:firstLine="425"/>
              <w:rPr>
                <w:color w:val="auto"/>
                <w:sz w:val="24"/>
              </w:rPr>
            </w:pPr>
            <w:r>
              <w:rPr>
                <w:color w:val="auto"/>
                <w:sz w:val="24"/>
              </w:rPr>
              <w:t>4）对已产生的危险废物，若暂时不能回收利用或进行处理处置的，其产生单位须建设专门的危险废物贮存设施进行贮存，并设立危险废物标志，或委托具有专门危险废物贮存设施的单位进行贮存，贮存期限不得超过国家规定，并符合</w:t>
            </w:r>
            <w:r>
              <w:rPr>
                <w:color w:val="auto"/>
                <w:sz w:val="24"/>
                <w:lang w:val="zh-CN"/>
              </w:rPr>
              <w:t>《危险废物贮存污染控制标准》（GB18597-2023）</w:t>
            </w:r>
            <w:r>
              <w:rPr>
                <w:color w:val="auto"/>
                <w:sz w:val="24"/>
              </w:rPr>
              <w:t>有关规定。</w:t>
            </w:r>
          </w:p>
          <w:p w14:paraId="7DD87D0E">
            <w:pPr>
              <w:adjustRightInd w:val="0"/>
              <w:spacing w:line="360" w:lineRule="auto"/>
              <w:ind w:firstLine="425"/>
              <w:rPr>
                <w:color w:val="auto"/>
                <w:sz w:val="24"/>
              </w:rPr>
            </w:pPr>
            <w:r>
              <w:rPr>
                <w:color w:val="auto"/>
                <w:sz w:val="24"/>
              </w:rPr>
              <w:t>5）为防止雨水径流进入贮存场内，避免渗滤液量增加，贮存场周边建议设置导流渠。为加强监督管理，贮存场应按《设置环境保护图形标志》要求设置指示牌。</w:t>
            </w:r>
          </w:p>
          <w:p w14:paraId="75428429">
            <w:pPr>
              <w:adjustRightInd w:val="0"/>
              <w:spacing w:line="360" w:lineRule="auto"/>
              <w:ind w:firstLine="425"/>
              <w:rPr>
                <w:color w:val="auto"/>
                <w:sz w:val="24"/>
              </w:rPr>
            </w:pPr>
            <w:r>
              <w:rPr>
                <w:color w:val="auto"/>
                <w:sz w:val="24"/>
              </w:rPr>
              <w:t>6）一般工业固体废物贮存场禁止危险废物和生活垃圾混入。</w:t>
            </w:r>
          </w:p>
          <w:p w14:paraId="13D4FF53">
            <w:pPr>
              <w:adjustRightInd w:val="0"/>
              <w:spacing w:line="360" w:lineRule="auto"/>
              <w:ind w:firstLine="425"/>
              <w:rPr>
                <w:color w:val="auto"/>
                <w:sz w:val="24"/>
              </w:rPr>
            </w:pPr>
            <w:r>
              <w:rPr>
                <w:color w:val="auto"/>
                <w:sz w:val="24"/>
              </w:rPr>
              <w:t>7）贮存场使用单位应建立检查维护制度，定期检查维护导流渠等设施，发现有损坏可能或异常，应及时采取必要措施，以保障正常运行。</w:t>
            </w:r>
          </w:p>
          <w:p w14:paraId="6D53D251">
            <w:pPr>
              <w:adjustRightInd w:val="0"/>
              <w:spacing w:line="360" w:lineRule="auto"/>
              <w:ind w:firstLine="480" w:firstLineChars="200"/>
              <w:rPr>
                <w:color w:val="auto"/>
                <w:sz w:val="24"/>
              </w:rPr>
            </w:pPr>
            <w:r>
              <w:rPr>
                <w:color w:val="auto"/>
                <w:sz w:val="24"/>
              </w:rPr>
              <w:t>8）贮存场的使用单位应建立档案制度，应将入场的一般工业固体废物的种类和数量以及相应资料详细记录在案，长期保存。</w:t>
            </w:r>
          </w:p>
          <w:p w14:paraId="43B84BFC">
            <w:pPr>
              <w:adjustRightInd w:val="0"/>
              <w:spacing w:line="360" w:lineRule="auto"/>
              <w:ind w:firstLine="480" w:firstLineChars="200"/>
              <w:rPr>
                <w:color w:val="auto"/>
                <w:sz w:val="24"/>
              </w:rPr>
            </w:pPr>
            <w:r>
              <w:rPr>
                <w:rFonts w:hint="eastAsia"/>
                <w:color w:val="auto"/>
                <w:sz w:val="24"/>
              </w:rPr>
              <w:t>（4）</w:t>
            </w:r>
            <w:r>
              <w:rPr>
                <w:color w:val="auto"/>
                <w:sz w:val="24"/>
              </w:rPr>
              <w:t>危险固废的运输要求</w:t>
            </w:r>
            <w:r>
              <w:rPr>
                <w:rFonts w:hint="eastAsia"/>
                <w:color w:val="auto"/>
                <w:sz w:val="24"/>
              </w:rPr>
              <w:t>。</w:t>
            </w:r>
            <w:r>
              <w:rPr>
                <w:color w:val="auto"/>
                <w:sz w:val="24"/>
              </w:rPr>
              <w:t>本项目危险固废运输方式为汽车运输，危险废物运输应由具有从事危险废物运输经营许可性的运输单位完成。</w:t>
            </w:r>
          </w:p>
          <w:p w14:paraId="1047E561">
            <w:pPr>
              <w:adjustRightInd w:val="0"/>
              <w:spacing w:line="360" w:lineRule="auto"/>
              <w:ind w:firstLine="480" w:firstLineChars="200"/>
              <w:rPr>
                <w:color w:val="auto"/>
                <w:sz w:val="24"/>
              </w:rPr>
            </w:pPr>
            <w:r>
              <w:rPr>
                <w:color w:val="auto"/>
                <w:sz w:val="24"/>
              </w:rPr>
              <w:t>1）运输危险废物的车辆必须严格交通、消防、治安等法规并控制车速，保持与</w:t>
            </w:r>
          </w:p>
          <w:p w14:paraId="3137841E">
            <w:pPr>
              <w:adjustRightInd w:val="0"/>
              <w:spacing w:line="360" w:lineRule="auto"/>
              <w:ind w:firstLine="480" w:firstLineChars="200"/>
              <w:rPr>
                <w:color w:val="auto"/>
                <w:sz w:val="24"/>
              </w:rPr>
            </w:pPr>
            <w:r>
              <w:rPr>
                <w:color w:val="auto"/>
                <w:sz w:val="24"/>
              </w:rPr>
              <w:t>前车的距离，严禁违章超车，确保行车安全；装载危废的车辆不得在居民集聚区、</w:t>
            </w:r>
          </w:p>
          <w:p w14:paraId="39D4507C">
            <w:pPr>
              <w:adjustRightInd w:val="0"/>
              <w:spacing w:line="360" w:lineRule="auto"/>
              <w:ind w:firstLine="480" w:firstLineChars="200"/>
              <w:rPr>
                <w:color w:val="auto"/>
                <w:sz w:val="24"/>
              </w:rPr>
            </w:pPr>
            <w:r>
              <w:rPr>
                <w:color w:val="auto"/>
                <w:sz w:val="24"/>
              </w:rPr>
              <w:t>行人稠密地段、风景游览区停车；</w:t>
            </w:r>
          </w:p>
          <w:p w14:paraId="212079DE">
            <w:pPr>
              <w:adjustRightInd w:val="0"/>
              <w:spacing w:line="360" w:lineRule="auto"/>
              <w:ind w:firstLine="480" w:firstLineChars="200"/>
              <w:rPr>
                <w:color w:val="auto"/>
                <w:sz w:val="24"/>
              </w:rPr>
            </w:pPr>
            <w:r>
              <w:rPr>
                <w:rFonts w:hint="eastAsia"/>
                <w:color w:val="auto"/>
                <w:sz w:val="24"/>
              </w:rPr>
              <w:t>2）</w:t>
            </w:r>
            <w:r>
              <w:rPr>
                <w:color w:val="auto"/>
                <w:sz w:val="24"/>
              </w:rPr>
              <w:t>运输危险废物必须配备随车人员在途中经常检查，不得搭乘无关人员，车上</w:t>
            </w:r>
          </w:p>
          <w:p w14:paraId="75F004CC">
            <w:pPr>
              <w:adjustRightInd w:val="0"/>
              <w:spacing w:line="360" w:lineRule="auto"/>
              <w:ind w:firstLine="480" w:firstLineChars="200"/>
              <w:rPr>
                <w:color w:val="auto"/>
                <w:sz w:val="24"/>
              </w:rPr>
            </w:pPr>
            <w:r>
              <w:rPr>
                <w:color w:val="auto"/>
                <w:sz w:val="24"/>
              </w:rPr>
              <w:t>人员严禁吸烟；</w:t>
            </w:r>
          </w:p>
          <w:p w14:paraId="13F50D6F">
            <w:pPr>
              <w:adjustRightInd w:val="0"/>
              <w:spacing w:line="360" w:lineRule="auto"/>
              <w:ind w:firstLine="480" w:firstLineChars="200"/>
              <w:rPr>
                <w:color w:val="auto"/>
                <w:sz w:val="24"/>
              </w:rPr>
            </w:pPr>
            <w:r>
              <w:rPr>
                <w:rFonts w:hint="eastAsia"/>
                <w:color w:val="auto"/>
                <w:sz w:val="24"/>
              </w:rPr>
              <w:t>3）</w:t>
            </w:r>
            <w:r>
              <w:rPr>
                <w:color w:val="auto"/>
                <w:sz w:val="24"/>
              </w:rPr>
              <w:t>根据车上废物性质，采取遮阳、控温、防火、防爆、防震、防水、防冻措施；</w:t>
            </w:r>
          </w:p>
          <w:p w14:paraId="3B111099">
            <w:pPr>
              <w:adjustRightInd w:val="0"/>
              <w:spacing w:line="360" w:lineRule="auto"/>
              <w:ind w:firstLine="480" w:firstLineChars="200"/>
              <w:rPr>
                <w:color w:val="auto"/>
                <w:sz w:val="24"/>
              </w:rPr>
            </w:pPr>
            <w:r>
              <w:rPr>
                <w:rFonts w:hint="eastAsia"/>
                <w:color w:val="auto"/>
                <w:sz w:val="24"/>
              </w:rPr>
              <w:t>4）</w:t>
            </w:r>
            <w:r>
              <w:rPr>
                <w:color w:val="auto"/>
                <w:sz w:val="24"/>
              </w:rPr>
              <w:t>危险废物随车人员不得擅自改变作业计划，严禁擅自拼装、超载。危险废物</w:t>
            </w:r>
          </w:p>
          <w:p w14:paraId="18B69D0B">
            <w:pPr>
              <w:adjustRightInd w:val="0"/>
              <w:spacing w:line="360" w:lineRule="auto"/>
              <w:ind w:firstLine="480" w:firstLineChars="200"/>
              <w:rPr>
                <w:color w:val="auto"/>
                <w:sz w:val="24"/>
              </w:rPr>
            </w:pPr>
            <w:r>
              <w:rPr>
                <w:color w:val="auto"/>
                <w:sz w:val="24"/>
              </w:rPr>
              <w:t>运输应优先安排；</w:t>
            </w:r>
          </w:p>
          <w:p w14:paraId="30B37235">
            <w:pPr>
              <w:adjustRightInd w:val="0"/>
              <w:spacing w:line="360" w:lineRule="auto"/>
              <w:ind w:firstLine="480" w:firstLineChars="200"/>
              <w:rPr>
                <w:color w:val="auto"/>
                <w:sz w:val="24"/>
              </w:rPr>
            </w:pPr>
            <w:r>
              <w:rPr>
                <w:rFonts w:hint="eastAsia"/>
                <w:color w:val="auto"/>
                <w:sz w:val="24"/>
              </w:rPr>
              <w:t>5）</w:t>
            </w:r>
            <w:r>
              <w:rPr>
                <w:color w:val="auto"/>
                <w:sz w:val="24"/>
              </w:rPr>
              <w:t>危险废物装卸作业必须严格遵守操作规程，轻装、轻卸，严禁摔碰、撞击、重压、倒置。</w:t>
            </w:r>
          </w:p>
          <w:p w14:paraId="6F313278">
            <w:pPr>
              <w:numPr>
                <w:ilvl w:val="0"/>
                <w:numId w:val="26"/>
              </w:numPr>
              <w:tabs>
                <w:tab w:val="left" w:pos="993"/>
                <w:tab w:val="clear" w:pos="0"/>
              </w:tabs>
              <w:adjustRightInd w:val="0"/>
              <w:spacing w:line="360" w:lineRule="auto"/>
              <w:rPr>
                <w:b/>
                <w:bCs/>
                <w:color w:val="auto"/>
                <w:sz w:val="24"/>
              </w:rPr>
            </w:pPr>
            <w:r>
              <w:rPr>
                <w:rFonts w:hint="eastAsia"/>
                <w:b/>
                <w:bCs/>
                <w:color w:val="auto"/>
                <w:sz w:val="24"/>
              </w:rPr>
              <w:t>地下水、土壤环境</w:t>
            </w:r>
          </w:p>
          <w:p w14:paraId="4D6A0FEB">
            <w:pPr>
              <w:adjustRightInd w:val="0"/>
              <w:spacing w:line="312" w:lineRule="auto"/>
              <w:ind w:firstLine="480" w:firstLineChars="200"/>
              <w:rPr>
                <w:color w:val="auto"/>
                <w:sz w:val="24"/>
              </w:rPr>
            </w:pPr>
            <w:r>
              <w:rPr>
                <w:color w:val="auto"/>
                <w:sz w:val="24"/>
              </w:rPr>
              <w:t>根据前述工程分析，本项目不涉及重金属、持久性等污染物的排放，正常工况下不存在污染途径，潜在的污染途径主要为非正常工况和事故工况下的废气沉降、污水管网破裂、液态危废渗漏等影响。</w:t>
            </w:r>
          </w:p>
          <w:p w14:paraId="78F17A9E">
            <w:pPr>
              <w:adjustRightInd w:val="0"/>
              <w:spacing w:line="360" w:lineRule="auto"/>
              <w:ind w:firstLine="425"/>
              <w:rPr>
                <w:color w:val="auto"/>
                <w:sz w:val="24"/>
              </w:rPr>
            </w:pPr>
            <w:r>
              <w:rPr>
                <w:rFonts w:hint="eastAsia"/>
                <w:color w:val="auto"/>
                <w:sz w:val="24"/>
              </w:rPr>
              <w:t>本项目需做好各风险单元防渗处理，</w:t>
            </w:r>
            <w:r>
              <w:rPr>
                <w:color w:val="auto"/>
                <w:sz w:val="24"/>
              </w:rPr>
              <w:t>废水</w:t>
            </w:r>
            <w:r>
              <w:rPr>
                <w:rFonts w:hint="eastAsia"/>
                <w:color w:val="auto"/>
                <w:sz w:val="24"/>
              </w:rPr>
              <w:t>和</w:t>
            </w:r>
            <w:r>
              <w:rPr>
                <w:color w:val="auto"/>
                <w:sz w:val="24"/>
              </w:rPr>
              <w:t>固废的产生、</w:t>
            </w:r>
            <w:r>
              <w:rPr>
                <w:rFonts w:hint="eastAsia"/>
                <w:color w:val="auto"/>
                <w:sz w:val="24"/>
              </w:rPr>
              <w:t>贮存</w:t>
            </w:r>
            <w:r>
              <w:rPr>
                <w:color w:val="auto"/>
                <w:sz w:val="24"/>
              </w:rPr>
              <w:t>等环节均采取本次环评中要求的防渗措施，并加强日常管理，制定应急措施，项目采取不同等级的防渗措施</w:t>
            </w:r>
            <w:r>
              <w:rPr>
                <w:rFonts w:hint="eastAsia"/>
                <w:color w:val="auto"/>
                <w:sz w:val="24"/>
              </w:rPr>
              <w:t>，</w:t>
            </w:r>
            <w:r>
              <w:rPr>
                <w:color w:val="auto"/>
                <w:sz w:val="24"/>
              </w:rPr>
              <w:t>划分为重点</w:t>
            </w:r>
            <w:r>
              <w:rPr>
                <w:rFonts w:hint="eastAsia"/>
                <w:color w:val="auto"/>
                <w:sz w:val="24"/>
                <w:lang w:val="en-US" w:eastAsia="zh-CN"/>
              </w:rPr>
              <w:t>防渗</w:t>
            </w:r>
            <w:r>
              <w:rPr>
                <w:color w:val="auto"/>
                <w:sz w:val="24"/>
              </w:rPr>
              <w:t>区、一般</w:t>
            </w:r>
            <w:r>
              <w:rPr>
                <w:rFonts w:hint="eastAsia"/>
                <w:color w:val="auto"/>
                <w:sz w:val="24"/>
                <w:lang w:val="en-US" w:eastAsia="zh-CN"/>
              </w:rPr>
              <w:t>防渗</w:t>
            </w:r>
            <w:r>
              <w:rPr>
                <w:color w:val="auto"/>
                <w:sz w:val="24"/>
              </w:rPr>
              <w:t>区、简单</w:t>
            </w:r>
            <w:r>
              <w:rPr>
                <w:rFonts w:hint="eastAsia"/>
                <w:color w:val="auto"/>
                <w:sz w:val="24"/>
                <w:lang w:val="en-US" w:eastAsia="zh-CN"/>
              </w:rPr>
              <w:t>防渗</w:t>
            </w:r>
            <w:r>
              <w:rPr>
                <w:color w:val="auto"/>
                <w:sz w:val="24"/>
              </w:rPr>
              <w:t>区，确保其可靠性和有效性，通过采取上述措施后，项目对地下水、土壤等环境影响较小。项目防治分区表见下表。</w:t>
            </w:r>
          </w:p>
          <w:p w14:paraId="62F9EDD7">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项目地下水、土壤污染防治分区表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831"/>
              <w:gridCol w:w="1547"/>
              <w:gridCol w:w="2944"/>
            </w:tblGrid>
            <w:tr w14:paraId="71C4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 w:type="pct"/>
                  <w:tcBorders>
                    <w:tl2br w:val="nil"/>
                    <w:tr2bl w:val="nil"/>
                  </w:tcBorders>
                  <w:vAlign w:val="center"/>
                </w:tcPr>
                <w:p w14:paraId="2926476B">
                  <w:pPr>
                    <w:pStyle w:val="135"/>
                    <w:wordWrap w:val="0"/>
                    <w:adjustRightInd w:val="0"/>
                    <w:snapToGrid w:val="0"/>
                    <w:spacing w:line="240" w:lineRule="auto"/>
                    <w:rPr>
                      <w:rFonts w:ascii="Times New Roman" w:hAnsi="Times New Roman"/>
                      <w:color w:val="auto"/>
                    </w:rPr>
                  </w:pPr>
                  <w:r>
                    <w:rPr>
                      <w:rFonts w:ascii="Times New Roman" w:hAnsi="Times New Roman"/>
                      <w:color w:val="auto"/>
                    </w:rPr>
                    <w:t>序号</w:t>
                  </w:r>
                </w:p>
              </w:tc>
              <w:tc>
                <w:tcPr>
                  <w:tcW w:w="2161" w:type="pct"/>
                  <w:tcBorders>
                    <w:tl2br w:val="nil"/>
                    <w:tr2bl w:val="nil"/>
                  </w:tcBorders>
                  <w:vAlign w:val="center"/>
                </w:tcPr>
                <w:p w14:paraId="3C8EA671">
                  <w:pPr>
                    <w:pStyle w:val="135"/>
                    <w:wordWrap w:val="0"/>
                    <w:adjustRightInd w:val="0"/>
                    <w:snapToGrid w:val="0"/>
                    <w:spacing w:line="240" w:lineRule="auto"/>
                    <w:rPr>
                      <w:rFonts w:ascii="Times New Roman" w:hAnsi="Times New Roman"/>
                      <w:color w:val="auto"/>
                    </w:rPr>
                  </w:pPr>
                  <w:r>
                    <w:rPr>
                      <w:rFonts w:ascii="Times New Roman" w:hAnsi="Times New Roman"/>
                      <w:color w:val="auto"/>
                    </w:rPr>
                    <w:t>名称</w:t>
                  </w:r>
                </w:p>
              </w:tc>
              <w:tc>
                <w:tcPr>
                  <w:tcW w:w="873" w:type="pct"/>
                  <w:tcBorders>
                    <w:tl2br w:val="nil"/>
                    <w:tr2bl w:val="nil"/>
                  </w:tcBorders>
                  <w:vAlign w:val="center"/>
                </w:tcPr>
                <w:p w14:paraId="47941D55">
                  <w:pPr>
                    <w:pStyle w:val="135"/>
                    <w:wordWrap w:val="0"/>
                    <w:adjustRightInd w:val="0"/>
                    <w:snapToGrid w:val="0"/>
                    <w:spacing w:line="240" w:lineRule="auto"/>
                    <w:rPr>
                      <w:rFonts w:ascii="Times New Roman" w:hAnsi="Times New Roman"/>
                      <w:color w:val="auto"/>
                    </w:rPr>
                  </w:pPr>
                  <w:r>
                    <w:rPr>
                      <w:rFonts w:ascii="Times New Roman" w:hAnsi="Times New Roman"/>
                      <w:color w:val="auto"/>
                    </w:rPr>
                    <w:t>防渗分区</w:t>
                  </w:r>
                </w:p>
              </w:tc>
              <w:tc>
                <w:tcPr>
                  <w:tcW w:w="1661" w:type="pct"/>
                  <w:tcBorders>
                    <w:tl2br w:val="nil"/>
                    <w:tr2bl w:val="nil"/>
                  </w:tcBorders>
                  <w:vAlign w:val="center"/>
                </w:tcPr>
                <w:p w14:paraId="18362F61">
                  <w:pPr>
                    <w:pStyle w:val="135"/>
                    <w:wordWrap w:val="0"/>
                    <w:adjustRightInd w:val="0"/>
                    <w:snapToGrid w:val="0"/>
                    <w:spacing w:line="240" w:lineRule="auto"/>
                    <w:rPr>
                      <w:rFonts w:ascii="Times New Roman" w:hAnsi="Times New Roman"/>
                      <w:color w:val="auto"/>
                    </w:rPr>
                  </w:pPr>
                  <w:r>
                    <w:rPr>
                      <w:rFonts w:ascii="Times New Roman" w:hAnsi="Times New Roman"/>
                      <w:color w:val="auto"/>
                    </w:rPr>
                    <w:t>防渗技术要求</w:t>
                  </w:r>
                </w:p>
              </w:tc>
            </w:tr>
            <w:tr w14:paraId="2003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 w:type="pct"/>
                  <w:tcBorders>
                    <w:tl2br w:val="nil"/>
                    <w:tr2bl w:val="nil"/>
                  </w:tcBorders>
                  <w:vAlign w:val="center"/>
                </w:tcPr>
                <w:p w14:paraId="1782BF7E">
                  <w:pPr>
                    <w:pStyle w:val="135"/>
                    <w:wordWrap w:val="0"/>
                    <w:adjustRightInd w:val="0"/>
                    <w:snapToGrid w:val="0"/>
                    <w:spacing w:line="240" w:lineRule="auto"/>
                    <w:rPr>
                      <w:rFonts w:ascii="Times New Roman" w:hAnsi="Times New Roman"/>
                      <w:color w:val="auto"/>
                    </w:rPr>
                  </w:pPr>
                  <w:r>
                    <w:rPr>
                      <w:rFonts w:ascii="Times New Roman" w:hAnsi="Times New Roman"/>
                      <w:color w:val="auto"/>
                    </w:rPr>
                    <w:t>1</w:t>
                  </w:r>
                </w:p>
              </w:tc>
              <w:tc>
                <w:tcPr>
                  <w:tcW w:w="2161" w:type="pct"/>
                  <w:tcBorders>
                    <w:tl2br w:val="nil"/>
                    <w:tr2bl w:val="nil"/>
                  </w:tcBorders>
                  <w:vAlign w:val="center"/>
                </w:tcPr>
                <w:p w14:paraId="0DF914BA">
                  <w:pPr>
                    <w:pStyle w:val="135"/>
                    <w:wordWrap w:val="0"/>
                    <w:adjustRightInd w:val="0"/>
                    <w:snapToGrid w:val="0"/>
                    <w:spacing w:line="240" w:lineRule="auto"/>
                    <w:rPr>
                      <w:rFonts w:ascii="Times New Roman" w:hAnsi="Times New Roman"/>
                      <w:color w:val="auto"/>
                    </w:rPr>
                  </w:pPr>
                  <w:r>
                    <w:rPr>
                      <w:rFonts w:hint="eastAsia" w:ascii="Times New Roman" w:hAnsi="Times New Roman"/>
                      <w:color w:val="auto"/>
                    </w:rPr>
                    <w:t>危废仓库、</w:t>
                  </w:r>
                  <w:r>
                    <w:rPr>
                      <w:rFonts w:hint="eastAsia" w:ascii="Times New Roman" w:hAnsi="Times New Roman"/>
                      <w:color w:val="auto"/>
                      <w:lang w:val="en-US" w:eastAsia="zh-CN"/>
                    </w:rPr>
                    <w:t>油类</w:t>
                  </w:r>
                  <w:r>
                    <w:rPr>
                      <w:rFonts w:hint="eastAsia" w:ascii="Times New Roman" w:hAnsi="Times New Roman"/>
                      <w:color w:val="auto"/>
                    </w:rPr>
                    <w:t>仓库</w:t>
                  </w:r>
                </w:p>
              </w:tc>
              <w:tc>
                <w:tcPr>
                  <w:tcW w:w="873" w:type="pct"/>
                  <w:tcBorders>
                    <w:tl2br w:val="nil"/>
                    <w:tr2bl w:val="nil"/>
                  </w:tcBorders>
                  <w:vAlign w:val="center"/>
                </w:tcPr>
                <w:p w14:paraId="279CCFC8">
                  <w:pPr>
                    <w:pStyle w:val="135"/>
                    <w:wordWrap w:val="0"/>
                    <w:adjustRightInd w:val="0"/>
                    <w:snapToGrid w:val="0"/>
                    <w:spacing w:line="240" w:lineRule="auto"/>
                    <w:rPr>
                      <w:rFonts w:ascii="Times New Roman" w:hAnsi="Times New Roman"/>
                      <w:color w:val="auto"/>
                    </w:rPr>
                  </w:pPr>
                  <w:r>
                    <w:rPr>
                      <w:rFonts w:ascii="Times New Roman" w:hAnsi="Times New Roman"/>
                      <w:color w:val="auto"/>
                    </w:rPr>
                    <w:t>重点防渗区</w:t>
                  </w:r>
                </w:p>
              </w:tc>
              <w:tc>
                <w:tcPr>
                  <w:tcW w:w="1661" w:type="pct"/>
                  <w:tcBorders>
                    <w:tl2br w:val="nil"/>
                    <w:tr2bl w:val="nil"/>
                  </w:tcBorders>
                  <w:vAlign w:val="center"/>
                </w:tcPr>
                <w:p w14:paraId="45DBE593">
                  <w:pPr>
                    <w:pStyle w:val="135"/>
                    <w:wordWrap w:val="0"/>
                    <w:adjustRightInd w:val="0"/>
                    <w:snapToGrid w:val="0"/>
                    <w:spacing w:line="240" w:lineRule="auto"/>
                    <w:rPr>
                      <w:rFonts w:ascii="Times New Roman" w:hAnsi="Times New Roman"/>
                      <w:color w:val="auto"/>
                    </w:rPr>
                  </w:pPr>
                  <w:r>
                    <w:rPr>
                      <w:rFonts w:ascii="Times New Roman" w:hAnsi="Times New Roman"/>
                      <w:color w:val="auto"/>
                    </w:rPr>
                    <w:t>等效黏土防渗层≥6.0m，K≤1×10</w:t>
                  </w:r>
                  <w:r>
                    <w:rPr>
                      <w:rFonts w:ascii="Times New Roman" w:hAnsi="Times New Roman"/>
                      <w:color w:val="auto"/>
                      <w:vertAlign w:val="superscript"/>
                    </w:rPr>
                    <w:t>-7</w:t>
                  </w:r>
                </w:p>
              </w:tc>
            </w:tr>
            <w:tr w14:paraId="0139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 w:type="pct"/>
                  <w:tcBorders>
                    <w:tl2br w:val="nil"/>
                    <w:tr2bl w:val="nil"/>
                  </w:tcBorders>
                  <w:vAlign w:val="center"/>
                </w:tcPr>
                <w:p w14:paraId="33386B2B">
                  <w:pPr>
                    <w:pStyle w:val="135"/>
                    <w:wordWrap w:val="0"/>
                    <w:adjustRightInd w:val="0"/>
                    <w:snapToGrid w:val="0"/>
                    <w:spacing w:line="240" w:lineRule="auto"/>
                    <w:rPr>
                      <w:rFonts w:ascii="Times New Roman" w:hAnsi="Times New Roman"/>
                      <w:color w:val="auto"/>
                    </w:rPr>
                  </w:pPr>
                  <w:r>
                    <w:rPr>
                      <w:rFonts w:ascii="Times New Roman" w:hAnsi="Times New Roman"/>
                      <w:color w:val="auto"/>
                    </w:rPr>
                    <w:t>2</w:t>
                  </w:r>
                </w:p>
              </w:tc>
              <w:tc>
                <w:tcPr>
                  <w:tcW w:w="2161" w:type="pct"/>
                  <w:tcBorders>
                    <w:tl2br w:val="nil"/>
                    <w:tr2bl w:val="nil"/>
                  </w:tcBorders>
                  <w:vAlign w:val="center"/>
                </w:tcPr>
                <w:p w14:paraId="167418B4">
                  <w:pPr>
                    <w:pStyle w:val="135"/>
                    <w:wordWrap w:val="0"/>
                    <w:adjustRightInd w:val="0"/>
                    <w:snapToGrid w:val="0"/>
                    <w:spacing w:line="240" w:lineRule="auto"/>
                    <w:rPr>
                      <w:rFonts w:ascii="Times New Roman" w:hAnsi="Times New Roman"/>
                      <w:color w:val="auto"/>
                    </w:rPr>
                  </w:pPr>
                  <w:r>
                    <w:rPr>
                      <w:rFonts w:hint="eastAsia" w:ascii="Times New Roman" w:hAnsi="Times New Roman"/>
                      <w:color w:val="auto"/>
                    </w:rPr>
                    <w:t>混料区、储料区、挤出区</w:t>
                  </w:r>
                  <w:r>
                    <w:rPr>
                      <w:rFonts w:ascii="Times New Roman" w:hAnsi="Times New Roman"/>
                      <w:color w:val="auto"/>
                    </w:rPr>
                    <w:t>、</w:t>
                  </w:r>
                  <w:r>
                    <w:rPr>
                      <w:rFonts w:hint="eastAsia" w:ascii="Times New Roman" w:hAnsi="Times New Roman"/>
                      <w:color w:val="auto"/>
                      <w:lang w:val="en-US" w:eastAsia="zh-CN"/>
                    </w:rPr>
                    <w:t>原辅料仓库、</w:t>
                  </w:r>
                  <w:r>
                    <w:rPr>
                      <w:rFonts w:hint="eastAsia" w:ascii="Times New Roman" w:hAnsi="Times New Roman"/>
                      <w:color w:val="auto"/>
                    </w:rPr>
                    <w:t>成品仓库、</w:t>
                  </w:r>
                  <w:r>
                    <w:rPr>
                      <w:rFonts w:ascii="Times New Roman" w:hAnsi="Times New Roman"/>
                      <w:color w:val="auto"/>
                    </w:rPr>
                    <w:t>一般固废</w:t>
                  </w:r>
                  <w:r>
                    <w:rPr>
                      <w:rFonts w:hint="eastAsia" w:ascii="Times New Roman" w:hAnsi="Times New Roman"/>
                      <w:color w:val="auto"/>
                    </w:rPr>
                    <w:t>仓库</w:t>
                  </w:r>
                </w:p>
              </w:tc>
              <w:tc>
                <w:tcPr>
                  <w:tcW w:w="873" w:type="pct"/>
                  <w:tcBorders>
                    <w:tl2br w:val="nil"/>
                    <w:tr2bl w:val="nil"/>
                  </w:tcBorders>
                  <w:vAlign w:val="center"/>
                </w:tcPr>
                <w:p w14:paraId="7EE48130">
                  <w:pPr>
                    <w:pStyle w:val="135"/>
                    <w:wordWrap w:val="0"/>
                    <w:adjustRightInd w:val="0"/>
                    <w:snapToGrid w:val="0"/>
                    <w:spacing w:line="240" w:lineRule="auto"/>
                    <w:rPr>
                      <w:rFonts w:ascii="Times New Roman" w:hAnsi="Times New Roman"/>
                      <w:color w:val="auto"/>
                    </w:rPr>
                  </w:pPr>
                  <w:r>
                    <w:rPr>
                      <w:rFonts w:ascii="Times New Roman" w:hAnsi="Times New Roman"/>
                      <w:color w:val="auto"/>
                    </w:rPr>
                    <w:t>一般防渗区</w:t>
                  </w:r>
                </w:p>
              </w:tc>
              <w:tc>
                <w:tcPr>
                  <w:tcW w:w="1661" w:type="pct"/>
                  <w:tcBorders>
                    <w:tl2br w:val="nil"/>
                    <w:tr2bl w:val="nil"/>
                  </w:tcBorders>
                  <w:vAlign w:val="center"/>
                </w:tcPr>
                <w:p w14:paraId="1F3CF970">
                  <w:pPr>
                    <w:pStyle w:val="135"/>
                    <w:wordWrap w:val="0"/>
                    <w:adjustRightInd w:val="0"/>
                    <w:snapToGrid w:val="0"/>
                    <w:spacing w:line="240" w:lineRule="auto"/>
                    <w:rPr>
                      <w:rFonts w:ascii="Times New Roman" w:hAnsi="Times New Roman"/>
                      <w:color w:val="auto"/>
                    </w:rPr>
                  </w:pPr>
                  <w:r>
                    <w:rPr>
                      <w:rFonts w:ascii="Times New Roman" w:hAnsi="Times New Roman"/>
                      <w:color w:val="auto"/>
                    </w:rPr>
                    <w:t>等效黏土防渗层≥1.5m，K≤1×10</w:t>
                  </w:r>
                  <w:r>
                    <w:rPr>
                      <w:rFonts w:ascii="Times New Roman" w:hAnsi="Times New Roman"/>
                      <w:color w:val="auto"/>
                      <w:vertAlign w:val="superscript"/>
                    </w:rPr>
                    <w:t>-7</w:t>
                  </w:r>
                </w:p>
              </w:tc>
            </w:tr>
            <w:tr w14:paraId="2F2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4" w:type="pct"/>
                  <w:tcBorders>
                    <w:tl2br w:val="nil"/>
                    <w:tr2bl w:val="nil"/>
                  </w:tcBorders>
                  <w:vAlign w:val="center"/>
                </w:tcPr>
                <w:p w14:paraId="29191095">
                  <w:pPr>
                    <w:pStyle w:val="135"/>
                    <w:wordWrap w:val="0"/>
                    <w:adjustRightInd w:val="0"/>
                    <w:snapToGrid w:val="0"/>
                    <w:spacing w:line="240" w:lineRule="auto"/>
                    <w:rPr>
                      <w:rFonts w:ascii="Times New Roman" w:hAnsi="Times New Roman"/>
                      <w:color w:val="auto"/>
                    </w:rPr>
                  </w:pPr>
                  <w:r>
                    <w:rPr>
                      <w:rFonts w:ascii="Times New Roman" w:hAnsi="Times New Roman"/>
                      <w:color w:val="auto"/>
                    </w:rPr>
                    <w:t>3</w:t>
                  </w:r>
                </w:p>
              </w:tc>
              <w:tc>
                <w:tcPr>
                  <w:tcW w:w="2161" w:type="pct"/>
                  <w:tcBorders>
                    <w:tl2br w:val="nil"/>
                    <w:tr2bl w:val="nil"/>
                  </w:tcBorders>
                  <w:vAlign w:val="center"/>
                </w:tcPr>
                <w:p w14:paraId="419DFB6C">
                  <w:pPr>
                    <w:pStyle w:val="135"/>
                    <w:wordWrap w:val="0"/>
                    <w:adjustRightInd w:val="0"/>
                    <w:snapToGrid w:val="0"/>
                    <w:spacing w:line="240" w:lineRule="auto"/>
                    <w:rPr>
                      <w:rFonts w:ascii="Times New Roman" w:hAnsi="Times New Roman"/>
                      <w:color w:val="auto"/>
                    </w:rPr>
                  </w:pPr>
                  <w:r>
                    <w:rPr>
                      <w:rFonts w:ascii="Times New Roman" w:hAnsi="Times New Roman"/>
                      <w:color w:val="auto"/>
                    </w:rPr>
                    <w:t>办公</w:t>
                  </w:r>
                  <w:r>
                    <w:rPr>
                      <w:rFonts w:hint="eastAsia" w:ascii="Times New Roman" w:hAnsi="Times New Roman"/>
                      <w:color w:val="auto"/>
                    </w:rPr>
                    <w:t>区</w:t>
                  </w:r>
                  <w:r>
                    <w:rPr>
                      <w:rFonts w:ascii="Times New Roman" w:hAnsi="Times New Roman"/>
                      <w:color w:val="auto"/>
                    </w:rPr>
                    <w:t>等</w:t>
                  </w:r>
                </w:p>
              </w:tc>
              <w:tc>
                <w:tcPr>
                  <w:tcW w:w="873" w:type="pct"/>
                  <w:tcBorders>
                    <w:tl2br w:val="nil"/>
                    <w:tr2bl w:val="nil"/>
                  </w:tcBorders>
                  <w:vAlign w:val="center"/>
                </w:tcPr>
                <w:p w14:paraId="64C334AA">
                  <w:pPr>
                    <w:pStyle w:val="135"/>
                    <w:wordWrap w:val="0"/>
                    <w:adjustRightInd w:val="0"/>
                    <w:snapToGrid w:val="0"/>
                    <w:spacing w:line="240" w:lineRule="auto"/>
                    <w:rPr>
                      <w:rFonts w:ascii="Times New Roman" w:hAnsi="Times New Roman"/>
                      <w:color w:val="auto"/>
                    </w:rPr>
                  </w:pPr>
                  <w:r>
                    <w:rPr>
                      <w:rFonts w:ascii="Times New Roman" w:hAnsi="Times New Roman"/>
                      <w:color w:val="auto"/>
                    </w:rPr>
                    <w:t>简单防渗区</w:t>
                  </w:r>
                </w:p>
              </w:tc>
              <w:tc>
                <w:tcPr>
                  <w:tcW w:w="1661" w:type="pct"/>
                  <w:tcBorders>
                    <w:tl2br w:val="nil"/>
                    <w:tr2bl w:val="nil"/>
                  </w:tcBorders>
                  <w:vAlign w:val="center"/>
                </w:tcPr>
                <w:p w14:paraId="2FC8386C">
                  <w:pPr>
                    <w:pStyle w:val="135"/>
                    <w:wordWrap w:val="0"/>
                    <w:adjustRightInd w:val="0"/>
                    <w:snapToGrid w:val="0"/>
                    <w:spacing w:line="240" w:lineRule="auto"/>
                    <w:rPr>
                      <w:rFonts w:ascii="Times New Roman" w:hAnsi="Times New Roman"/>
                      <w:color w:val="auto"/>
                    </w:rPr>
                  </w:pPr>
                  <w:r>
                    <w:rPr>
                      <w:rFonts w:ascii="Times New Roman" w:hAnsi="Times New Roman"/>
                      <w:color w:val="auto"/>
                    </w:rPr>
                    <w:t>一般地面硬化</w:t>
                  </w:r>
                </w:p>
              </w:tc>
            </w:tr>
          </w:tbl>
          <w:p w14:paraId="6041B5CC">
            <w:pPr>
              <w:adjustRightInd w:val="0"/>
              <w:spacing w:line="360" w:lineRule="auto"/>
              <w:ind w:firstLine="425"/>
              <w:rPr>
                <w:color w:val="auto"/>
                <w:sz w:val="24"/>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1"/>
            </w:tblGrid>
            <w:tr w14:paraId="11B1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1" w:type="dxa"/>
                </w:tcPr>
                <w:p w14:paraId="53E84BD1">
                  <w:pPr>
                    <w:adjustRightInd w:val="0"/>
                    <w:spacing w:line="360" w:lineRule="auto"/>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5453380" cy="3856355"/>
                        <wp:effectExtent l="0" t="0" r="2540" b="14605"/>
                        <wp:docPr id="3" name="图片 3" descr="平面布置图4.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面布置图4.21_01"/>
                                <pic:cNvPicPr>
                                  <a:picLocks noChangeAspect="1"/>
                                </pic:cNvPicPr>
                              </pic:nvPicPr>
                              <pic:blipFill>
                                <a:blip r:embed="rId21"/>
                                <a:stretch>
                                  <a:fillRect/>
                                </a:stretch>
                              </pic:blipFill>
                              <pic:spPr>
                                <a:xfrm>
                                  <a:off x="0" y="0"/>
                                  <a:ext cx="5453380" cy="3856355"/>
                                </a:xfrm>
                                <a:prstGeom prst="rect">
                                  <a:avLst/>
                                </a:prstGeom>
                              </pic:spPr>
                            </pic:pic>
                          </a:graphicData>
                        </a:graphic>
                      </wp:inline>
                    </w:drawing>
                  </w:r>
                </w:p>
              </w:tc>
            </w:tr>
          </w:tbl>
          <w:p w14:paraId="61EEA99E">
            <w:pPr>
              <w:adjustRightInd w:val="0"/>
              <w:spacing w:line="360" w:lineRule="auto"/>
              <w:ind w:firstLine="425"/>
              <w:jc w:val="center"/>
              <w:rPr>
                <w:color w:val="auto"/>
                <w:sz w:val="24"/>
              </w:rPr>
            </w:pPr>
            <w:r>
              <w:rPr>
                <w:b/>
                <w:bCs/>
                <w:color w:val="auto"/>
                <w:sz w:val="24"/>
                <w:szCs w:val="32"/>
              </w:rPr>
              <w:t>图</w:t>
            </w:r>
            <w:r>
              <w:rPr>
                <w:rFonts w:hint="eastAsia"/>
                <w:b/>
                <w:bCs/>
                <w:color w:val="auto"/>
                <w:sz w:val="24"/>
                <w:szCs w:val="32"/>
              </w:rPr>
              <w:t>4</w:t>
            </w:r>
            <w:r>
              <w:rPr>
                <w:b/>
                <w:bCs/>
                <w:color w:val="auto"/>
                <w:sz w:val="24"/>
                <w:szCs w:val="32"/>
              </w:rPr>
              <w:t>-1 项目</w:t>
            </w:r>
            <w:r>
              <w:rPr>
                <w:rFonts w:hint="eastAsia"/>
                <w:b/>
                <w:bCs/>
                <w:color w:val="auto"/>
                <w:sz w:val="24"/>
                <w:szCs w:val="32"/>
              </w:rPr>
              <w:t>分区防渗图</w:t>
            </w:r>
          </w:p>
          <w:p w14:paraId="1BEE07E3">
            <w:pPr>
              <w:numPr>
                <w:ilvl w:val="0"/>
                <w:numId w:val="26"/>
              </w:numPr>
              <w:tabs>
                <w:tab w:val="left" w:pos="993"/>
                <w:tab w:val="clear" w:pos="0"/>
              </w:tabs>
              <w:adjustRightInd w:val="0"/>
              <w:spacing w:line="360" w:lineRule="auto"/>
              <w:rPr>
                <w:b/>
                <w:bCs/>
                <w:color w:val="auto"/>
                <w:sz w:val="24"/>
              </w:rPr>
            </w:pPr>
            <w:r>
              <w:rPr>
                <w:rFonts w:hint="eastAsia"/>
                <w:b/>
                <w:bCs/>
                <w:color w:val="auto"/>
                <w:sz w:val="24"/>
              </w:rPr>
              <w:t>生态环境</w:t>
            </w:r>
          </w:p>
          <w:p w14:paraId="15B1621D">
            <w:pPr>
              <w:adjustRightInd w:val="0"/>
              <w:spacing w:line="360" w:lineRule="auto"/>
              <w:ind w:firstLine="425"/>
              <w:rPr>
                <w:color w:val="auto"/>
                <w:sz w:val="24"/>
              </w:rPr>
            </w:pPr>
            <w:r>
              <w:rPr>
                <w:rFonts w:hint="eastAsia"/>
                <w:color w:val="auto"/>
                <w:sz w:val="24"/>
              </w:rPr>
              <w:t>根据现场调查，项目位于浙江省湖州市南浔区练市镇水口村东堡工业区，用地范围内无生态环境保护目标，因此本项目基本不会对区域生态环境造成影响。</w:t>
            </w:r>
          </w:p>
          <w:p w14:paraId="510DB36C">
            <w:pPr>
              <w:numPr>
                <w:ilvl w:val="0"/>
                <w:numId w:val="26"/>
              </w:numPr>
              <w:tabs>
                <w:tab w:val="left" w:pos="993"/>
                <w:tab w:val="clear" w:pos="0"/>
              </w:tabs>
              <w:adjustRightInd w:val="0"/>
              <w:spacing w:line="360" w:lineRule="auto"/>
              <w:rPr>
                <w:b/>
                <w:bCs/>
                <w:color w:val="auto"/>
                <w:sz w:val="24"/>
              </w:rPr>
            </w:pPr>
            <w:r>
              <w:rPr>
                <w:rFonts w:hint="eastAsia"/>
                <w:b/>
                <w:bCs/>
                <w:color w:val="auto"/>
                <w:sz w:val="24"/>
              </w:rPr>
              <w:t>环境风险</w:t>
            </w:r>
          </w:p>
          <w:p w14:paraId="15A91B9E">
            <w:pPr>
              <w:adjustRightInd w:val="0"/>
              <w:spacing w:line="360" w:lineRule="auto"/>
              <w:ind w:firstLine="425"/>
              <w:rPr>
                <w:color w:val="auto"/>
                <w:sz w:val="24"/>
              </w:rPr>
            </w:pPr>
            <w:r>
              <w:rPr>
                <w:rFonts w:hint="eastAsia"/>
                <w:color w:val="auto"/>
                <w:sz w:val="24"/>
              </w:rPr>
              <w:t>1、环境风险调查</w:t>
            </w:r>
          </w:p>
          <w:p w14:paraId="139526A9">
            <w:pPr>
              <w:adjustRightInd w:val="0"/>
              <w:spacing w:line="360" w:lineRule="auto"/>
              <w:ind w:firstLine="425"/>
              <w:rPr>
                <w:color w:val="auto"/>
                <w:sz w:val="24"/>
              </w:rPr>
            </w:pPr>
            <w:r>
              <w:rPr>
                <w:rFonts w:hint="eastAsia"/>
                <w:color w:val="auto"/>
                <w:sz w:val="24"/>
              </w:rPr>
              <w:t>根据《建设项目环境风险评价技术导则》（HJ169-2018）中的“表B.1突发环境事件风险物质及临界量”以及《企业突发环境事件风险分级方法》（HJ941-2018）“附录A突发环境事件风险物质及临界量清单”，项目涉及的风险物质判定见下表。</w:t>
            </w:r>
          </w:p>
          <w:p w14:paraId="5BF8E5F4">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风险物质数量与临界量比值一览表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17"/>
              <w:gridCol w:w="2111"/>
              <w:gridCol w:w="1836"/>
              <w:gridCol w:w="1382"/>
              <w:gridCol w:w="1136"/>
            </w:tblGrid>
            <w:tr w14:paraId="3621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tcBorders>
                    <w:tl2br w:val="nil"/>
                    <w:tr2bl w:val="nil"/>
                  </w:tcBorders>
                  <w:vAlign w:val="center"/>
                </w:tcPr>
                <w:p w14:paraId="769AA332">
                  <w:pPr>
                    <w:pStyle w:val="136"/>
                    <w:wordWrap w:val="0"/>
                    <w:snapToGrid w:val="0"/>
                    <w:spacing w:line="240" w:lineRule="auto"/>
                    <w:rPr>
                      <w:color w:val="auto"/>
                      <w:szCs w:val="21"/>
                    </w:rPr>
                  </w:pPr>
                  <w:r>
                    <w:rPr>
                      <w:color w:val="auto"/>
                      <w:szCs w:val="21"/>
                    </w:rPr>
                    <w:t>序号</w:t>
                  </w:r>
                </w:p>
              </w:tc>
              <w:tc>
                <w:tcPr>
                  <w:tcW w:w="968" w:type="pct"/>
                  <w:tcBorders>
                    <w:tl2br w:val="nil"/>
                    <w:tr2bl w:val="nil"/>
                  </w:tcBorders>
                  <w:vAlign w:val="center"/>
                </w:tcPr>
                <w:p w14:paraId="2573A209">
                  <w:pPr>
                    <w:pStyle w:val="136"/>
                    <w:wordWrap w:val="0"/>
                    <w:snapToGrid w:val="0"/>
                    <w:spacing w:line="240" w:lineRule="auto"/>
                    <w:rPr>
                      <w:color w:val="auto"/>
                      <w:szCs w:val="21"/>
                    </w:rPr>
                  </w:pPr>
                  <w:r>
                    <w:rPr>
                      <w:color w:val="auto"/>
                      <w:szCs w:val="21"/>
                    </w:rPr>
                    <w:t>所在区域</w:t>
                  </w:r>
                </w:p>
              </w:tc>
              <w:tc>
                <w:tcPr>
                  <w:tcW w:w="1191" w:type="pct"/>
                  <w:tcBorders>
                    <w:tl2br w:val="nil"/>
                    <w:tr2bl w:val="nil"/>
                  </w:tcBorders>
                  <w:vAlign w:val="center"/>
                </w:tcPr>
                <w:p w14:paraId="601C0A42">
                  <w:pPr>
                    <w:pStyle w:val="136"/>
                    <w:wordWrap w:val="0"/>
                    <w:snapToGrid w:val="0"/>
                    <w:spacing w:line="240" w:lineRule="auto"/>
                    <w:rPr>
                      <w:color w:val="auto"/>
                      <w:szCs w:val="21"/>
                    </w:rPr>
                  </w:pPr>
                  <w:r>
                    <w:rPr>
                      <w:color w:val="auto"/>
                      <w:szCs w:val="21"/>
                    </w:rPr>
                    <w:t>物质名称</w:t>
                  </w:r>
                </w:p>
              </w:tc>
              <w:tc>
                <w:tcPr>
                  <w:tcW w:w="1036" w:type="pct"/>
                  <w:tcBorders>
                    <w:tl2br w:val="nil"/>
                    <w:tr2bl w:val="nil"/>
                  </w:tcBorders>
                  <w:vAlign w:val="center"/>
                </w:tcPr>
                <w:p w14:paraId="2EC281C2">
                  <w:pPr>
                    <w:pStyle w:val="136"/>
                    <w:wordWrap w:val="0"/>
                    <w:snapToGrid w:val="0"/>
                    <w:spacing w:line="240" w:lineRule="auto"/>
                    <w:rPr>
                      <w:color w:val="auto"/>
                      <w:szCs w:val="21"/>
                    </w:rPr>
                  </w:pPr>
                  <w:r>
                    <w:rPr>
                      <w:color w:val="auto"/>
                      <w:szCs w:val="21"/>
                    </w:rPr>
                    <w:t>最大贮存量（t）</w:t>
                  </w:r>
                </w:p>
              </w:tc>
              <w:tc>
                <w:tcPr>
                  <w:tcW w:w="778" w:type="pct"/>
                  <w:tcBorders>
                    <w:tl2br w:val="nil"/>
                    <w:tr2bl w:val="nil"/>
                  </w:tcBorders>
                  <w:vAlign w:val="center"/>
                </w:tcPr>
                <w:p w14:paraId="76F8CC03">
                  <w:pPr>
                    <w:pStyle w:val="136"/>
                    <w:wordWrap w:val="0"/>
                    <w:snapToGrid w:val="0"/>
                    <w:spacing w:line="240" w:lineRule="auto"/>
                    <w:rPr>
                      <w:color w:val="auto"/>
                      <w:szCs w:val="21"/>
                    </w:rPr>
                  </w:pPr>
                  <w:r>
                    <w:rPr>
                      <w:color w:val="auto"/>
                      <w:szCs w:val="21"/>
                    </w:rPr>
                    <w:t>临界量（t）</w:t>
                  </w:r>
                </w:p>
              </w:tc>
              <w:tc>
                <w:tcPr>
                  <w:tcW w:w="641" w:type="pct"/>
                  <w:tcBorders>
                    <w:tl2br w:val="nil"/>
                    <w:tr2bl w:val="nil"/>
                  </w:tcBorders>
                  <w:vAlign w:val="center"/>
                </w:tcPr>
                <w:p w14:paraId="41B77571">
                  <w:pPr>
                    <w:pStyle w:val="136"/>
                    <w:wordWrap w:val="0"/>
                    <w:snapToGrid w:val="0"/>
                    <w:spacing w:line="240" w:lineRule="auto"/>
                    <w:rPr>
                      <w:color w:val="auto"/>
                      <w:szCs w:val="21"/>
                    </w:rPr>
                  </w:pPr>
                  <w:r>
                    <w:rPr>
                      <w:color w:val="auto"/>
                      <w:szCs w:val="21"/>
                    </w:rPr>
                    <w:t>q</w:t>
                  </w:r>
                  <w:r>
                    <w:rPr>
                      <w:color w:val="auto"/>
                      <w:szCs w:val="21"/>
                      <w:vertAlign w:val="subscript"/>
                      <w:lang w:val="en-US"/>
                    </w:rPr>
                    <w:t>n</w:t>
                  </w:r>
                  <w:r>
                    <w:rPr>
                      <w:color w:val="auto"/>
                      <w:szCs w:val="21"/>
                    </w:rPr>
                    <w:t>/Q</w:t>
                  </w:r>
                </w:p>
              </w:tc>
            </w:tr>
            <w:tr w14:paraId="4A69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tcBorders>
                    <w:tl2br w:val="nil"/>
                    <w:tr2bl w:val="nil"/>
                  </w:tcBorders>
                  <w:vAlign w:val="center"/>
                </w:tcPr>
                <w:p w14:paraId="36D47939">
                  <w:pPr>
                    <w:pStyle w:val="136"/>
                    <w:wordWrap w:val="0"/>
                    <w:snapToGrid w:val="0"/>
                    <w:spacing w:line="240" w:lineRule="auto"/>
                    <w:rPr>
                      <w:color w:val="auto"/>
                      <w:szCs w:val="21"/>
                    </w:rPr>
                  </w:pPr>
                  <w:r>
                    <w:rPr>
                      <w:color w:val="auto"/>
                      <w:szCs w:val="21"/>
                      <w:lang w:val="en-US"/>
                    </w:rPr>
                    <w:t>1</w:t>
                  </w:r>
                </w:p>
              </w:tc>
              <w:tc>
                <w:tcPr>
                  <w:tcW w:w="968" w:type="pct"/>
                  <w:tcBorders>
                    <w:tl2br w:val="nil"/>
                    <w:tr2bl w:val="nil"/>
                  </w:tcBorders>
                  <w:vAlign w:val="center"/>
                </w:tcPr>
                <w:p w14:paraId="103B5DE5">
                  <w:pPr>
                    <w:pStyle w:val="136"/>
                    <w:wordWrap w:val="0"/>
                    <w:snapToGrid w:val="0"/>
                    <w:spacing w:line="240" w:lineRule="auto"/>
                    <w:rPr>
                      <w:color w:val="auto"/>
                      <w:szCs w:val="21"/>
                      <w:lang w:val="en-US"/>
                    </w:rPr>
                  </w:pPr>
                  <w:r>
                    <w:rPr>
                      <w:rFonts w:hint="eastAsia"/>
                      <w:color w:val="auto"/>
                      <w:szCs w:val="21"/>
                      <w:lang w:val="en-US"/>
                    </w:rPr>
                    <w:t>原料</w:t>
                  </w:r>
                  <w:r>
                    <w:rPr>
                      <w:color w:val="auto"/>
                      <w:szCs w:val="21"/>
                    </w:rPr>
                    <w:t>仓库</w:t>
                  </w:r>
                </w:p>
              </w:tc>
              <w:tc>
                <w:tcPr>
                  <w:tcW w:w="1191" w:type="pct"/>
                  <w:tcBorders>
                    <w:tl2br w:val="nil"/>
                    <w:tr2bl w:val="nil"/>
                  </w:tcBorders>
                  <w:vAlign w:val="center"/>
                </w:tcPr>
                <w:p w14:paraId="508DDA08">
                  <w:pPr>
                    <w:pStyle w:val="136"/>
                    <w:wordWrap w:val="0"/>
                    <w:snapToGrid w:val="0"/>
                    <w:spacing w:line="240" w:lineRule="auto"/>
                    <w:rPr>
                      <w:rFonts w:hint="eastAsia" w:eastAsia="宋体"/>
                      <w:color w:val="auto"/>
                      <w:szCs w:val="21"/>
                      <w:lang w:val="en-US" w:eastAsia="zh-CN"/>
                    </w:rPr>
                  </w:pPr>
                  <w:r>
                    <w:rPr>
                      <w:rFonts w:hint="eastAsia"/>
                      <w:color w:val="auto"/>
                      <w:szCs w:val="21"/>
                      <w:lang w:val="en-US" w:eastAsia="zh-CN"/>
                    </w:rPr>
                    <w:t>液压油</w:t>
                  </w:r>
                </w:p>
              </w:tc>
              <w:tc>
                <w:tcPr>
                  <w:tcW w:w="1036" w:type="pct"/>
                  <w:tcBorders>
                    <w:tl2br w:val="nil"/>
                    <w:tr2bl w:val="nil"/>
                  </w:tcBorders>
                  <w:vAlign w:val="center"/>
                </w:tcPr>
                <w:p w14:paraId="6CF23574">
                  <w:pPr>
                    <w:pStyle w:val="136"/>
                    <w:wordWrap w:val="0"/>
                    <w:snapToGrid w:val="0"/>
                    <w:spacing w:line="240" w:lineRule="auto"/>
                    <w:rPr>
                      <w:color w:val="auto"/>
                      <w:szCs w:val="21"/>
                      <w:lang w:val="en-US"/>
                    </w:rPr>
                  </w:pPr>
                  <w:r>
                    <w:rPr>
                      <w:rFonts w:hint="eastAsia"/>
                      <w:color w:val="auto"/>
                      <w:szCs w:val="21"/>
                      <w:lang w:val="en-US"/>
                    </w:rPr>
                    <w:t>0.5</w:t>
                  </w:r>
                </w:p>
              </w:tc>
              <w:tc>
                <w:tcPr>
                  <w:tcW w:w="778" w:type="pct"/>
                  <w:tcBorders>
                    <w:tl2br w:val="nil"/>
                    <w:tr2bl w:val="nil"/>
                  </w:tcBorders>
                  <w:vAlign w:val="center"/>
                </w:tcPr>
                <w:p w14:paraId="22F98719">
                  <w:pPr>
                    <w:pStyle w:val="136"/>
                    <w:wordWrap w:val="0"/>
                    <w:snapToGrid w:val="0"/>
                    <w:spacing w:line="240" w:lineRule="auto"/>
                    <w:rPr>
                      <w:color w:val="auto"/>
                      <w:szCs w:val="21"/>
                      <w:lang w:val="en-US"/>
                    </w:rPr>
                  </w:pPr>
                  <w:r>
                    <w:rPr>
                      <w:rFonts w:hint="eastAsia"/>
                      <w:color w:val="auto"/>
                      <w:szCs w:val="21"/>
                      <w:lang w:val="en-US"/>
                    </w:rPr>
                    <w:t>2500</w:t>
                  </w:r>
                </w:p>
              </w:tc>
              <w:tc>
                <w:tcPr>
                  <w:tcW w:w="641" w:type="pct"/>
                  <w:tcBorders>
                    <w:tl2br w:val="nil"/>
                    <w:tr2bl w:val="nil"/>
                  </w:tcBorders>
                  <w:vAlign w:val="center"/>
                </w:tcPr>
                <w:p w14:paraId="59C0898C">
                  <w:pPr>
                    <w:pStyle w:val="136"/>
                    <w:wordWrap w:val="0"/>
                    <w:snapToGrid w:val="0"/>
                    <w:spacing w:line="240" w:lineRule="auto"/>
                    <w:rPr>
                      <w:color w:val="auto"/>
                      <w:szCs w:val="21"/>
                      <w:lang w:val="en-US"/>
                    </w:rPr>
                  </w:pPr>
                  <w:r>
                    <w:rPr>
                      <w:rFonts w:hint="eastAsia"/>
                      <w:color w:val="auto"/>
                      <w:szCs w:val="21"/>
                      <w:lang w:val="en-US"/>
                    </w:rPr>
                    <w:t>0.0002</w:t>
                  </w:r>
                </w:p>
              </w:tc>
            </w:tr>
            <w:tr w14:paraId="7BD1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tcBorders>
                    <w:tl2br w:val="nil"/>
                    <w:tr2bl w:val="nil"/>
                  </w:tcBorders>
                  <w:vAlign w:val="center"/>
                </w:tcPr>
                <w:p w14:paraId="4F5CE3A8">
                  <w:pPr>
                    <w:pStyle w:val="136"/>
                    <w:wordWrap w:val="0"/>
                    <w:snapToGrid w:val="0"/>
                    <w:spacing w:line="240" w:lineRule="auto"/>
                    <w:rPr>
                      <w:color w:val="auto"/>
                      <w:szCs w:val="21"/>
                      <w:lang w:val="en-US"/>
                    </w:rPr>
                  </w:pPr>
                  <w:r>
                    <w:rPr>
                      <w:rFonts w:hint="eastAsia"/>
                      <w:color w:val="auto"/>
                      <w:szCs w:val="21"/>
                      <w:lang w:val="en-US"/>
                    </w:rPr>
                    <w:t>2</w:t>
                  </w:r>
                </w:p>
              </w:tc>
              <w:tc>
                <w:tcPr>
                  <w:tcW w:w="968" w:type="pct"/>
                  <w:tcBorders>
                    <w:tl2br w:val="nil"/>
                    <w:tr2bl w:val="nil"/>
                  </w:tcBorders>
                  <w:vAlign w:val="center"/>
                </w:tcPr>
                <w:p w14:paraId="399687D6">
                  <w:pPr>
                    <w:pStyle w:val="136"/>
                    <w:wordWrap w:val="0"/>
                    <w:snapToGrid w:val="0"/>
                    <w:spacing w:line="240" w:lineRule="auto"/>
                    <w:rPr>
                      <w:color w:val="auto"/>
                      <w:szCs w:val="21"/>
                      <w:lang w:val="en-US"/>
                    </w:rPr>
                  </w:pPr>
                  <w:r>
                    <w:rPr>
                      <w:rFonts w:hint="eastAsia"/>
                      <w:color w:val="auto"/>
                      <w:szCs w:val="21"/>
                      <w:lang w:val="en-US"/>
                    </w:rPr>
                    <w:t>危废暂存库</w:t>
                  </w:r>
                </w:p>
              </w:tc>
              <w:tc>
                <w:tcPr>
                  <w:tcW w:w="1191" w:type="pct"/>
                  <w:tcBorders>
                    <w:tl2br w:val="nil"/>
                    <w:tr2bl w:val="nil"/>
                  </w:tcBorders>
                  <w:vAlign w:val="center"/>
                </w:tcPr>
                <w:p w14:paraId="5EE5F47B">
                  <w:pPr>
                    <w:wordWrap w:val="0"/>
                    <w:snapToGrid w:val="0"/>
                    <w:jc w:val="center"/>
                    <w:rPr>
                      <w:color w:val="auto"/>
                      <w:szCs w:val="21"/>
                    </w:rPr>
                  </w:pPr>
                  <w:r>
                    <w:rPr>
                      <w:rFonts w:hint="eastAsia"/>
                      <w:color w:val="auto"/>
                      <w:szCs w:val="21"/>
                    </w:rPr>
                    <w:t>危险废物</w:t>
                  </w:r>
                </w:p>
              </w:tc>
              <w:tc>
                <w:tcPr>
                  <w:tcW w:w="1036" w:type="pct"/>
                  <w:tcBorders>
                    <w:tl2br w:val="nil"/>
                    <w:tr2bl w:val="nil"/>
                  </w:tcBorders>
                  <w:vAlign w:val="center"/>
                </w:tcPr>
                <w:p w14:paraId="36E1076C">
                  <w:pPr>
                    <w:wordWrap w:val="0"/>
                    <w:snapToGrid w:val="0"/>
                    <w:jc w:val="center"/>
                    <w:rPr>
                      <w:rFonts w:hint="default" w:eastAsia="宋体"/>
                      <w:color w:val="auto"/>
                      <w:szCs w:val="21"/>
                      <w:lang w:val="en-US" w:eastAsia="zh-CN"/>
                    </w:rPr>
                  </w:pPr>
                  <w:r>
                    <w:rPr>
                      <w:rFonts w:hint="eastAsia"/>
                      <w:color w:val="auto"/>
                      <w:szCs w:val="21"/>
                      <w:lang w:val="en-US" w:eastAsia="zh-CN"/>
                    </w:rPr>
                    <w:t>9.267</w:t>
                  </w:r>
                </w:p>
              </w:tc>
              <w:tc>
                <w:tcPr>
                  <w:tcW w:w="778" w:type="pct"/>
                  <w:tcBorders>
                    <w:tl2br w:val="nil"/>
                    <w:tr2bl w:val="nil"/>
                  </w:tcBorders>
                  <w:vAlign w:val="center"/>
                </w:tcPr>
                <w:p w14:paraId="71E693EC">
                  <w:pPr>
                    <w:pStyle w:val="136"/>
                    <w:wordWrap w:val="0"/>
                    <w:snapToGrid w:val="0"/>
                    <w:spacing w:line="240" w:lineRule="auto"/>
                    <w:rPr>
                      <w:color w:val="auto"/>
                      <w:szCs w:val="21"/>
                      <w:lang w:val="en-US"/>
                    </w:rPr>
                  </w:pPr>
                  <w:r>
                    <w:rPr>
                      <w:rFonts w:hint="eastAsia"/>
                      <w:color w:val="auto"/>
                      <w:szCs w:val="21"/>
                      <w:lang w:val="en-US"/>
                    </w:rPr>
                    <w:t>50</w:t>
                  </w:r>
                </w:p>
              </w:tc>
              <w:tc>
                <w:tcPr>
                  <w:tcW w:w="641" w:type="pct"/>
                  <w:tcBorders>
                    <w:tl2br w:val="nil"/>
                    <w:tr2bl w:val="nil"/>
                  </w:tcBorders>
                  <w:vAlign w:val="center"/>
                </w:tcPr>
                <w:p w14:paraId="35C5AED5">
                  <w:pPr>
                    <w:wordWrap w:val="0"/>
                    <w:snapToGrid w:val="0"/>
                    <w:jc w:val="center"/>
                    <w:rPr>
                      <w:rFonts w:hint="default" w:eastAsia="宋体"/>
                      <w:color w:val="auto"/>
                      <w:szCs w:val="21"/>
                      <w:lang w:val="en-US" w:eastAsia="zh-CN"/>
                    </w:rPr>
                  </w:pPr>
                  <w:r>
                    <w:rPr>
                      <w:rFonts w:hint="eastAsia"/>
                      <w:color w:val="auto"/>
                      <w:szCs w:val="21"/>
                      <w:lang w:val="en-US" w:eastAsia="zh-CN"/>
                    </w:rPr>
                    <w:t>0.18534</w:t>
                  </w:r>
                </w:p>
              </w:tc>
            </w:tr>
            <w:tr w14:paraId="0BB4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8" w:type="pct"/>
                  <w:gridSpan w:val="5"/>
                  <w:tcBorders>
                    <w:tl2br w:val="nil"/>
                    <w:tr2bl w:val="nil"/>
                  </w:tcBorders>
                  <w:vAlign w:val="center"/>
                </w:tcPr>
                <w:p w14:paraId="1C6D5791">
                  <w:pPr>
                    <w:pStyle w:val="136"/>
                    <w:wordWrap w:val="0"/>
                    <w:snapToGrid w:val="0"/>
                    <w:spacing w:line="240" w:lineRule="auto"/>
                    <w:rPr>
                      <w:color w:val="auto"/>
                      <w:szCs w:val="21"/>
                    </w:rPr>
                  </w:pPr>
                  <w:r>
                    <w:rPr>
                      <w:color w:val="auto"/>
                      <w:szCs w:val="21"/>
                    </w:rPr>
                    <w:t>合计</w:t>
                  </w:r>
                </w:p>
              </w:tc>
              <w:tc>
                <w:tcPr>
                  <w:tcW w:w="641" w:type="pct"/>
                  <w:tcBorders>
                    <w:tl2br w:val="nil"/>
                    <w:tr2bl w:val="nil"/>
                  </w:tcBorders>
                  <w:vAlign w:val="center"/>
                </w:tcPr>
                <w:p w14:paraId="29C528A0">
                  <w:pPr>
                    <w:pStyle w:val="136"/>
                    <w:tabs>
                      <w:tab w:val="left" w:pos="231"/>
                    </w:tabs>
                    <w:wordWrap w:val="0"/>
                    <w:snapToGrid w:val="0"/>
                    <w:spacing w:line="240" w:lineRule="auto"/>
                    <w:rPr>
                      <w:rFonts w:hint="default" w:eastAsia="宋体"/>
                      <w:color w:val="auto"/>
                      <w:szCs w:val="21"/>
                      <w:lang w:val="en-US" w:eastAsia="zh-CN"/>
                    </w:rPr>
                  </w:pPr>
                  <w:r>
                    <w:rPr>
                      <w:rFonts w:hint="eastAsia"/>
                      <w:color w:val="auto"/>
                      <w:szCs w:val="21"/>
                      <w:lang w:val="en-US" w:eastAsia="zh-CN"/>
                    </w:rPr>
                    <w:t>0.18554</w:t>
                  </w:r>
                </w:p>
              </w:tc>
            </w:tr>
          </w:tbl>
          <w:p w14:paraId="1BE94193">
            <w:pPr>
              <w:adjustRightInd w:val="0"/>
              <w:spacing w:line="360" w:lineRule="auto"/>
              <w:ind w:firstLine="425"/>
              <w:rPr>
                <w:color w:val="auto"/>
                <w:sz w:val="24"/>
              </w:rPr>
            </w:pPr>
            <w:r>
              <w:rPr>
                <w:rFonts w:hint="eastAsia"/>
                <w:color w:val="auto"/>
                <w:sz w:val="24"/>
              </w:rPr>
              <w:t>根据上表判断，合计qn/Q＜1，可进行环境风险简单分析。</w:t>
            </w:r>
          </w:p>
          <w:p w14:paraId="5E857686">
            <w:pPr>
              <w:adjustRightInd w:val="0"/>
              <w:spacing w:line="360" w:lineRule="auto"/>
              <w:ind w:firstLine="425"/>
              <w:rPr>
                <w:color w:val="auto"/>
                <w:sz w:val="24"/>
              </w:rPr>
            </w:pPr>
            <w:r>
              <w:rPr>
                <w:rFonts w:hint="eastAsia"/>
                <w:color w:val="auto"/>
                <w:sz w:val="24"/>
              </w:rPr>
              <w:t>2、环境风险识别及分析</w:t>
            </w:r>
          </w:p>
          <w:p w14:paraId="4120CF84">
            <w:pPr>
              <w:adjustRightInd w:val="0"/>
              <w:spacing w:line="360" w:lineRule="auto"/>
              <w:ind w:firstLine="425"/>
              <w:rPr>
                <w:color w:val="auto"/>
                <w:sz w:val="24"/>
              </w:rPr>
            </w:pPr>
            <w:r>
              <w:rPr>
                <w:rFonts w:hint="eastAsia"/>
                <w:color w:val="auto"/>
                <w:sz w:val="24"/>
              </w:rPr>
              <w:t>（1）环境风险源识别</w:t>
            </w:r>
          </w:p>
          <w:p w14:paraId="22C5D6D1">
            <w:pPr>
              <w:adjustRightInd w:val="0"/>
              <w:spacing w:line="360" w:lineRule="auto"/>
              <w:ind w:firstLine="425"/>
              <w:rPr>
                <w:color w:val="auto"/>
                <w:sz w:val="24"/>
              </w:rPr>
            </w:pPr>
            <w:r>
              <w:rPr>
                <w:rFonts w:hint="eastAsia"/>
                <w:color w:val="auto"/>
                <w:sz w:val="24"/>
              </w:rPr>
              <w:t>对本项目运营过程潜在危险性进行识别，具体见下表。</w:t>
            </w:r>
          </w:p>
          <w:p w14:paraId="1ACEDDEE">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项目生产过程潜在危险性识别</w:t>
            </w:r>
          </w:p>
          <w:tbl>
            <w:tblPr>
              <w:tblStyle w:val="89"/>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692"/>
              <w:gridCol w:w="1404"/>
              <w:gridCol w:w="2040"/>
              <w:gridCol w:w="2057"/>
            </w:tblGrid>
            <w:tr w14:paraId="13FC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8" w:type="dxa"/>
                  <w:vAlign w:val="center"/>
                </w:tcPr>
                <w:p w14:paraId="0D24AA50">
                  <w:pPr>
                    <w:jc w:val="center"/>
                    <w:rPr>
                      <w:color w:val="auto"/>
                      <w:sz w:val="24"/>
                    </w:rPr>
                  </w:pPr>
                  <w:r>
                    <w:rPr>
                      <w:color w:val="auto"/>
                    </w:rPr>
                    <w:t>风险单元</w:t>
                  </w:r>
                </w:p>
              </w:tc>
              <w:tc>
                <w:tcPr>
                  <w:tcW w:w="1692" w:type="dxa"/>
                  <w:vAlign w:val="center"/>
                </w:tcPr>
                <w:p w14:paraId="52A6710A">
                  <w:pPr>
                    <w:jc w:val="center"/>
                    <w:rPr>
                      <w:color w:val="auto"/>
                      <w:sz w:val="24"/>
                    </w:rPr>
                  </w:pPr>
                  <w:r>
                    <w:rPr>
                      <w:color w:val="auto"/>
                    </w:rPr>
                    <w:t>风险类型</w:t>
                  </w:r>
                </w:p>
              </w:tc>
              <w:tc>
                <w:tcPr>
                  <w:tcW w:w="1404" w:type="dxa"/>
                  <w:vAlign w:val="center"/>
                </w:tcPr>
                <w:p w14:paraId="564B6C64">
                  <w:pPr>
                    <w:jc w:val="center"/>
                    <w:rPr>
                      <w:color w:val="auto"/>
                      <w:sz w:val="24"/>
                    </w:rPr>
                  </w:pPr>
                  <w:r>
                    <w:rPr>
                      <w:color w:val="auto"/>
                    </w:rPr>
                    <w:t>危险物质</w:t>
                  </w:r>
                </w:p>
              </w:tc>
              <w:tc>
                <w:tcPr>
                  <w:tcW w:w="2040" w:type="dxa"/>
                  <w:vAlign w:val="center"/>
                </w:tcPr>
                <w:p w14:paraId="268A176A">
                  <w:pPr>
                    <w:jc w:val="center"/>
                    <w:rPr>
                      <w:color w:val="auto"/>
                      <w:sz w:val="24"/>
                    </w:rPr>
                  </w:pPr>
                  <w:r>
                    <w:rPr>
                      <w:color w:val="auto"/>
                    </w:rPr>
                    <w:t>影响途径</w:t>
                  </w:r>
                </w:p>
              </w:tc>
              <w:tc>
                <w:tcPr>
                  <w:tcW w:w="2057" w:type="dxa"/>
                  <w:vAlign w:val="center"/>
                </w:tcPr>
                <w:p w14:paraId="1AB1043E">
                  <w:pPr>
                    <w:jc w:val="center"/>
                    <w:rPr>
                      <w:color w:val="auto"/>
                      <w:sz w:val="24"/>
                    </w:rPr>
                  </w:pPr>
                  <w:r>
                    <w:rPr>
                      <w:color w:val="auto"/>
                    </w:rPr>
                    <w:t>可能受影响的环境敏感目标</w:t>
                  </w:r>
                </w:p>
              </w:tc>
            </w:tr>
            <w:tr w14:paraId="598E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78" w:type="dxa"/>
                  <w:vAlign w:val="center"/>
                </w:tcPr>
                <w:p w14:paraId="59601CA2">
                  <w:pPr>
                    <w:jc w:val="center"/>
                    <w:rPr>
                      <w:color w:val="auto"/>
                      <w:sz w:val="24"/>
                    </w:rPr>
                  </w:pPr>
                  <w:r>
                    <w:rPr>
                      <w:rFonts w:hint="eastAsia"/>
                      <w:color w:val="auto"/>
                    </w:rPr>
                    <w:t>原料仓库</w:t>
                  </w:r>
                </w:p>
              </w:tc>
              <w:tc>
                <w:tcPr>
                  <w:tcW w:w="1692" w:type="dxa"/>
                  <w:vAlign w:val="center"/>
                </w:tcPr>
                <w:p w14:paraId="573754A2">
                  <w:pPr>
                    <w:jc w:val="center"/>
                    <w:rPr>
                      <w:color w:val="auto"/>
                      <w:sz w:val="24"/>
                    </w:rPr>
                  </w:pPr>
                  <w:r>
                    <w:rPr>
                      <w:rFonts w:hint="eastAsia"/>
                      <w:color w:val="auto"/>
                    </w:rPr>
                    <w:t>泄漏</w:t>
                  </w:r>
                </w:p>
              </w:tc>
              <w:tc>
                <w:tcPr>
                  <w:tcW w:w="1404" w:type="dxa"/>
                  <w:vAlign w:val="center"/>
                </w:tcPr>
                <w:p w14:paraId="00B6A645">
                  <w:pPr>
                    <w:jc w:val="center"/>
                    <w:rPr>
                      <w:rFonts w:hint="eastAsia" w:eastAsia="宋体"/>
                      <w:color w:val="auto"/>
                      <w:sz w:val="24"/>
                      <w:lang w:eastAsia="zh-CN"/>
                    </w:rPr>
                  </w:pPr>
                  <w:r>
                    <w:rPr>
                      <w:rFonts w:hint="eastAsia"/>
                      <w:color w:val="auto"/>
                      <w:lang w:val="en-US" w:eastAsia="zh-CN"/>
                    </w:rPr>
                    <w:t>液压油</w:t>
                  </w:r>
                </w:p>
              </w:tc>
              <w:tc>
                <w:tcPr>
                  <w:tcW w:w="2040" w:type="dxa"/>
                  <w:vAlign w:val="center"/>
                </w:tcPr>
                <w:p w14:paraId="7A154941">
                  <w:pPr>
                    <w:jc w:val="center"/>
                    <w:rPr>
                      <w:color w:val="auto"/>
                      <w:sz w:val="24"/>
                    </w:rPr>
                  </w:pPr>
                  <w:r>
                    <w:rPr>
                      <w:color w:val="auto"/>
                    </w:rPr>
                    <w:t>水、土壤</w:t>
                  </w:r>
                  <w:r>
                    <w:rPr>
                      <w:rFonts w:hint="eastAsia"/>
                      <w:color w:val="auto"/>
                    </w:rPr>
                    <w:t>、大气</w:t>
                  </w:r>
                </w:p>
              </w:tc>
              <w:tc>
                <w:tcPr>
                  <w:tcW w:w="2057" w:type="dxa"/>
                  <w:vMerge w:val="restart"/>
                  <w:vAlign w:val="center"/>
                </w:tcPr>
                <w:p w14:paraId="1DA8388E">
                  <w:pPr>
                    <w:jc w:val="center"/>
                    <w:rPr>
                      <w:color w:val="auto"/>
                      <w:sz w:val="24"/>
                    </w:rPr>
                  </w:pPr>
                  <w:r>
                    <w:rPr>
                      <w:color w:val="auto"/>
                    </w:rPr>
                    <w:t>周围人群及地表水</w:t>
                  </w:r>
                  <w:r>
                    <w:rPr>
                      <w:rFonts w:hint="eastAsia"/>
                      <w:color w:val="auto"/>
                    </w:rPr>
                    <w:t>、地下水、土壤</w:t>
                  </w:r>
                </w:p>
              </w:tc>
            </w:tr>
            <w:tr w14:paraId="75F4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8" w:type="dxa"/>
                  <w:vAlign w:val="center"/>
                </w:tcPr>
                <w:p w14:paraId="45405109">
                  <w:pPr>
                    <w:jc w:val="center"/>
                    <w:rPr>
                      <w:color w:val="auto"/>
                      <w:sz w:val="24"/>
                    </w:rPr>
                  </w:pPr>
                  <w:r>
                    <w:rPr>
                      <w:color w:val="auto"/>
                    </w:rPr>
                    <w:t>危废仓库</w:t>
                  </w:r>
                </w:p>
              </w:tc>
              <w:tc>
                <w:tcPr>
                  <w:tcW w:w="1692" w:type="dxa"/>
                  <w:vAlign w:val="center"/>
                </w:tcPr>
                <w:p w14:paraId="4F719911">
                  <w:pPr>
                    <w:widowControl/>
                    <w:jc w:val="center"/>
                    <w:rPr>
                      <w:color w:val="auto"/>
                      <w:sz w:val="24"/>
                    </w:rPr>
                  </w:pPr>
                  <w:r>
                    <w:rPr>
                      <w:color w:val="auto"/>
                    </w:rPr>
                    <w:t>泄漏</w:t>
                  </w:r>
                </w:p>
              </w:tc>
              <w:tc>
                <w:tcPr>
                  <w:tcW w:w="1404" w:type="dxa"/>
                  <w:vAlign w:val="center"/>
                </w:tcPr>
                <w:p w14:paraId="5409F000">
                  <w:pPr>
                    <w:widowControl/>
                    <w:jc w:val="center"/>
                    <w:rPr>
                      <w:color w:val="auto"/>
                      <w:sz w:val="24"/>
                    </w:rPr>
                  </w:pPr>
                  <w:r>
                    <w:rPr>
                      <w:rFonts w:hint="eastAsia"/>
                      <w:color w:val="auto"/>
                    </w:rPr>
                    <w:t>危险废物</w:t>
                  </w:r>
                </w:p>
              </w:tc>
              <w:tc>
                <w:tcPr>
                  <w:tcW w:w="2040" w:type="dxa"/>
                  <w:vAlign w:val="center"/>
                </w:tcPr>
                <w:p w14:paraId="1C490D23">
                  <w:pPr>
                    <w:widowControl/>
                    <w:jc w:val="center"/>
                    <w:rPr>
                      <w:color w:val="auto"/>
                      <w:sz w:val="24"/>
                    </w:rPr>
                  </w:pPr>
                  <w:r>
                    <w:rPr>
                      <w:color w:val="auto"/>
                    </w:rPr>
                    <w:t>水、土壤</w:t>
                  </w:r>
                </w:p>
              </w:tc>
              <w:tc>
                <w:tcPr>
                  <w:tcW w:w="2057" w:type="dxa"/>
                  <w:vMerge w:val="continue"/>
                  <w:vAlign w:val="center"/>
                </w:tcPr>
                <w:p w14:paraId="3989C916">
                  <w:pPr>
                    <w:widowControl/>
                    <w:jc w:val="center"/>
                    <w:rPr>
                      <w:color w:val="auto"/>
                      <w:sz w:val="24"/>
                    </w:rPr>
                  </w:pPr>
                </w:p>
              </w:tc>
            </w:tr>
            <w:tr w14:paraId="7CFD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8" w:type="dxa"/>
                  <w:vAlign w:val="center"/>
                </w:tcPr>
                <w:p w14:paraId="349D2DB9">
                  <w:pPr>
                    <w:jc w:val="center"/>
                    <w:rPr>
                      <w:color w:val="auto"/>
                      <w:sz w:val="24"/>
                    </w:rPr>
                  </w:pPr>
                  <w:r>
                    <w:rPr>
                      <w:rFonts w:hint="eastAsia"/>
                      <w:color w:val="auto"/>
                    </w:rPr>
                    <w:t>废气处理设施</w:t>
                  </w:r>
                </w:p>
              </w:tc>
              <w:tc>
                <w:tcPr>
                  <w:tcW w:w="1692" w:type="dxa"/>
                  <w:vAlign w:val="center"/>
                </w:tcPr>
                <w:p w14:paraId="0CEFDC77">
                  <w:pPr>
                    <w:jc w:val="center"/>
                    <w:rPr>
                      <w:color w:val="auto"/>
                      <w:sz w:val="24"/>
                    </w:rPr>
                  </w:pPr>
                  <w:r>
                    <w:rPr>
                      <w:color w:val="auto"/>
                    </w:rPr>
                    <w:t>处理设施失效</w:t>
                  </w:r>
                </w:p>
              </w:tc>
              <w:tc>
                <w:tcPr>
                  <w:tcW w:w="1404" w:type="dxa"/>
                  <w:vAlign w:val="center"/>
                </w:tcPr>
                <w:p w14:paraId="68E974EE">
                  <w:pPr>
                    <w:widowControl/>
                    <w:jc w:val="center"/>
                    <w:rPr>
                      <w:color w:val="auto"/>
                      <w:sz w:val="24"/>
                    </w:rPr>
                  </w:pPr>
                  <w:r>
                    <w:rPr>
                      <w:rFonts w:hint="eastAsia"/>
                      <w:color w:val="auto"/>
                    </w:rPr>
                    <w:t>废气</w:t>
                  </w:r>
                </w:p>
              </w:tc>
              <w:tc>
                <w:tcPr>
                  <w:tcW w:w="2040" w:type="dxa"/>
                  <w:vAlign w:val="center"/>
                </w:tcPr>
                <w:p w14:paraId="5F37B509">
                  <w:pPr>
                    <w:widowControl/>
                    <w:jc w:val="center"/>
                    <w:rPr>
                      <w:color w:val="auto"/>
                      <w:sz w:val="24"/>
                    </w:rPr>
                  </w:pPr>
                  <w:r>
                    <w:rPr>
                      <w:rFonts w:hint="eastAsia"/>
                      <w:color w:val="auto"/>
                    </w:rPr>
                    <w:t>大气</w:t>
                  </w:r>
                </w:p>
              </w:tc>
              <w:tc>
                <w:tcPr>
                  <w:tcW w:w="2057" w:type="dxa"/>
                  <w:vAlign w:val="center"/>
                </w:tcPr>
                <w:p w14:paraId="77290DA8">
                  <w:pPr>
                    <w:widowControl/>
                    <w:jc w:val="center"/>
                    <w:rPr>
                      <w:color w:val="auto"/>
                      <w:sz w:val="24"/>
                    </w:rPr>
                  </w:pPr>
                  <w:r>
                    <w:rPr>
                      <w:color w:val="auto"/>
                    </w:rPr>
                    <w:t>周围人群</w:t>
                  </w:r>
                </w:p>
              </w:tc>
            </w:tr>
          </w:tbl>
          <w:p w14:paraId="31E3EFA7">
            <w:pPr>
              <w:spacing w:before="120" w:beforeLines="50" w:line="360" w:lineRule="auto"/>
              <w:ind w:firstLine="480" w:firstLineChars="200"/>
              <w:rPr>
                <w:color w:val="auto"/>
                <w:sz w:val="24"/>
                <w:szCs w:val="21"/>
              </w:rPr>
            </w:pPr>
            <w:r>
              <w:rPr>
                <w:rFonts w:hint="eastAsia"/>
                <w:color w:val="auto"/>
                <w:sz w:val="24"/>
                <w:szCs w:val="21"/>
              </w:rPr>
              <w:t>（2）环境风险影响途径</w:t>
            </w:r>
          </w:p>
          <w:p w14:paraId="106D953D">
            <w:pPr>
              <w:adjustRightInd w:val="0"/>
              <w:spacing w:line="360" w:lineRule="auto"/>
              <w:ind w:firstLine="425"/>
              <w:rPr>
                <w:color w:val="auto"/>
                <w:sz w:val="24"/>
              </w:rPr>
            </w:pPr>
            <w:r>
              <w:rPr>
                <w:rFonts w:hint="eastAsia"/>
                <w:color w:val="auto"/>
                <w:sz w:val="24"/>
              </w:rPr>
              <w:t>结合实际，本项目的主要环境影响途径主要有以下几种情况。</w:t>
            </w:r>
          </w:p>
          <w:p w14:paraId="57030825">
            <w:pPr>
              <w:adjustRightInd w:val="0"/>
              <w:spacing w:line="360" w:lineRule="auto"/>
              <w:ind w:firstLine="425"/>
              <w:rPr>
                <w:color w:val="auto"/>
                <w:sz w:val="24"/>
              </w:rPr>
            </w:pPr>
            <w:r>
              <w:rPr>
                <w:rFonts w:hint="eastAsia"/>
                <w:color w:val="auto"/>
                <w:sz w:val="24"/>
              </w:rPr>
              <w:t>1）由于员工操作不当，检修、清理不及时，或者因其他因素导致原料仓库、危废仓库内的</w:t>
            </w:r>
            <w:r>
              <w:rPr>
                <w:rFonts w:hint="eastAsia"/>
                <w:color w:val="auto"/>
                <w:sz w:val="24"/>
                <w:lang w:val="en-US" w:eastAsia="zh-CN"/>
              </w:rPr>
              <w:t>液压油</w:t>
            </w:r>
            <w:r>
              <w:rPr>
                <w:rFonts w:hint="eastAsia"/>
                <w:color w:val="auto"/>
                <w:sz w:val="24"/>
              </w:rPr>
              <w:t>或危险废物泄漏，污染各项目所在地周边环境地表水、地下水以及土壤环境。</w:t>
            </w:r>
          </w:p>
          <w:p w14:paraId="2A5C5C1E">
            <w:pPr>
              <w:adjustRightInd w:val="0"/>
              <w:spacing w:line="360" w:lineRule="auto"/>
              <w:ind w:firstLine="425"/>
              <w:rPr>
                <w:color w:val="auto"/>
                <w:sz w:val="24"/>
              </w:rPr>
            </w:pPr>
            <w:r>
              <w:rPr>
                <w:rFonts w:hint="eastAsia"/>
                <w:color w:val="auto"/>
                <w:sz w:val="24"/>
              </w:rPr>
              <w:t>2）由于员工操作不当，检修、清理不及时，或者因其他因素造成废气处理设施非正常运行，会导致生产废气超标排放，污染各项目所在地周边的环境空气。</w:t>
            </w:r>
          </w:p>
          <w:p w14:paraId="3446BB39">
            <w:pPr>
              <w:adjustRightInd w:val="0"/>
              <w:spacing w:line="360" w:lineRule="auto"/>
              <w:ind w:firstLine="425"/>
              <w:rPr>
                <w:color w:val="auto"/>
                <w:sz w:val="24"/>
              </w:rPr>
            </w:pPr>
            <w:r>
              <w:rPr>
                <w:rFonts w:hint="eastAsia"/>
                <w:color w:val="auto"/>
                <w:sz w:val="24"/>
              </w:rPr>
              <w:t>3）由于恶劣自然条件引起的突发环境污染事故主要表现为狂风、暴雨、台风等自然灾害造成仓库、厂房倒塌，或仓库进水从而导致</w:t>
            </w:r>
            <w:r>
              <w:rPr>
                <w:rFonts w:hint="eastAsia"/>
                <w:color w:val="auto"/>
                <w:sz w:val="24"/>
                <w:lang w:val="en-US" w:eastAsia="zh-CN"/>
              </w:rPr>
              <w:t>液压油</w:t>
            </w:r>
            <w:r>
              <w:rPr>
                <w:rFonts w:hint="eastAsia"/>
                <w:color w:val="auto"/>
                <w:sz w:val="24"/>
              </w:rPr>
              <w:t>泄漏，形成较为严重的水环境污染和大气环境污染</w:t>
            </w:r>
          </w:p>
          <w:p w14:paraId="188948C2">
            <w:pPr>
              <w:adjustRightInd w:val="0"/>
              <w:spacing w:line="360" w:lineRule="auto"/>
              <w:ind w:firstLine="425"/>
              <w:rPr>
                <w:color w:val="auto"/>
                <w:sz w:val="24"/>
              </w:rPr>
            </w:pPr>
            <w:r>
              <w:rPr>
                <w:rFonts w:hint="eastAsia"/>
                <w:color w:val="auto"/>
                <w:sz w:val="24"/>
              </w:rPr>
              <w:t>（3）环境风险防范措施</w:t>
            </w:r>
          </w:p>
          <w:p w14:paraId="65B90627">
            <w:pPr>
              <w:adjustRightInd w:val="0"/>
              <w:spacing w:line="360" w:lineRule="auto"/>
              <w:ind w:firstLine="425"/>
              <w:rPr>
                <w:color w:val="auto"/>
                <w:sz w:val="24"/>
              </w:rPr>
            </w:pPr>
            <w:r>
              <w:rPr>
                <w:rFonts w:hint="eastAsia"/>
                <w:color w:val="auto"/>
                <w:sz w:val="24"/>
              </w:rPr>
              <w:t>1）危险废物收集及处置风险防范措施</w:t>
            </w:r>
          </w:p>
          <w:p w14:paraId="062DF18B">
            <w:pPr>
              <w:adjustRightInd w:val="0"/>
              <w:spacing w:line="360" w:lineRule="auto"/>
              <w:ind w:firstLine="425"/>
              <w:rPr>
                <w:color w:val="auto"/>
                <w:sz w:val="24"/>
              </w:rPr>
            </w:pPr>
            <w:r>
              <w:rPr>
                <w:rFonts w:hint="eastAsia"/>
                <w:color w:val="auto"/>
                <w:sz w:val="24"/>
              </w:rPr>
              <w:t>危废暂存库应严格采取防腐、防渗、防漏措施，杜绝“跑、冒、滴、漏”，危险废物的贮存过程中必须按照国家《危险废物贮存污染控制标准》等规定做到安全贮存。</w:t>
            </w:r>
          </w:p>
          <w:p w14:paraId="2B982023">
            <w:pPr>
              <w:adjustRightInd w:val="0"/>
              <w:spacing w:line="360" w:lineRule="auto"/>
              <w:ind w:firstLine="425"/>
              <w:rPr>
                <w:color w:val="auto"/>
                <w:sz w:val="24"/>
              </w:rPr>
            </w:pPr>
            <w:r>
              <w:rPr>
                <w:rFonts w:hint="eastAsia"/>
                <w:color w:val="auto"/>
                <w:sz w:val="24"/>
              </w:rPr>
              <w:t>2）废气处理设施故障应急措施</w:t>
            </w:r>
          </w:p>
          <w:p w14:paraId="0615B2DD">
            <w:pPr>
              <w:adjustRightInd w:val="0"/>
              <w:spacing w:line="360" w:lineRule="auto"/>
              <w:ind w:firstLine="425"/>
              <w:rPr>
                <w:color w:val="auto"/>
                <w:sz w:val="24"/>
              </w:rPr>
            </w:pPr>
            <w:r>
              <w:rPr>
                <w:rFonts w:hint="eastAsia"/>
                <w:color w:val="auto"/>
                <w:sz w:val="24"/>
              </w:rPr>
              <w:t>企业的废气处理设施出现故障，企业应立即查明原因并及时抢修。如在条件允许的情况下，可以投入备用废气处理设施对废气进行处理。在废气处理设施出现故障后，如果企业无备用废气处理设施或者暂时无法对故障废气处理设施进行修复时，在生产允许的情况下应立即停车直至废气处理系统正常运行。</w:t>
            </w:r>
          </w:p>
          <w:p w14:paraId="097B7B17">
            <w:pPr>
              <w:adjustRightInd w:val="0"/>
              <w:spacing w:line="360" w:lineRule="auto"/>
              <w:ind w:firstLine="425"/>
              <w:rPr>
                <w:color w:val="auto"/>
                <w:sz w:val="24"/>
              </w:rPr>
            </w:pPr>
            <w:r>
              <w:rPr>
                <w:rFonts w:hint="eastAsia"/>
                <w:color w:val="auto"/>
                <w:sz w:val="24"/>
              </w:rPr>
              <w:t>3）事故废水应急措施</w:t>
            </w:r>
          </w:p>
          <w:p w14:paraId="612DDAAD">
            <w:pPr>
              <w:adjustRightInd w:val="0"/>
              <w:spacing w:line="360" w:lineRule="auto"/>
              <w:ind w:firstLine="425"/>
              <w:rPr>
                <w:color w:val="auto"/>
                <w:sz w:val="24"/>
              </w:rPr>
            </w:pPr>
            <w:r>
              <w:rPr>
                <w:rFonts w:hint="eastAsia"/>
                <w:color w:val="auto"/>
                <w:sz w:val="24"/>
              </w:rPr>
              <w:t>一旦发生事故，为保证废水（包括消防水、被污染的雨水、清下水以及泄漏的物料等）不会排到环境水体当中，本项目需要建设有相应的事故废水暂存系统，并配套泵和管线等收集设施。</w:t>
            </w:r>
          </w:p>
          <w:p w14:paraId="372AF6F7">
            <w:pPr>
              <w:adjustRightInd w:val="0"/>
              <w:spacing w:line="360" w:lineRule="auto"/>
              <w:ind w:firstLine="425"/>
              <w:rPr>
                <w:color w:val="auto"/>
                <w:sz w:val="24"/>
              </w:rPr>
            </w:pPr>
            <w:r>
              <w:rPr>
                <w:rFonts w:hint="eastAsia"/>
                <w:color w:val="auto"/>
                <w:sz w:val="24"/>
              </w:rPr>
              <w:t>应急事故池容量应根据发生事故的设备容量、事故消防用水量及可能进入应急事故的降水量等因素综合确定。</w:t>
            </w:r>
          </w:p>
          <w:p w14:paraId="06512C96">
            <w:pPr>
              <w:adjustRightInd w:val="0"/>
              <w:spacing w:line="360" w:lineRule="auto"/>
              <w:ind w:firstLine="425"/>
              <w:rPr>
                <w:color w:val="auto"/>
                <w:sz w:val="24"/>
              </w:rPr>
            </w:pPr>
            <w:r>
              <w:rPr>
                <w:rFonts w:hint="eastAsia"/>
                <w:color w:val="auto"/>
                <w:sz w:val="24"/>
              </w:rPr>
              <w:t>企业事故应急池容量参照中国石油化工集团公司《水体环境风险防控要点》（试行）（中国石化安环[2006]10号）“水体污染防控紧急措施设计导则”：企业应设置能够储存事故排水的储存设施，储存设施包括事故池、事故罐、防火堤内或围堰内区域等。</w:t>
            </w:r>
          </w:p>
          <w:p w14:paraId="73283B93">
            <w:pPr>
              <w:adjustRightInd w:val="0"/>
              <w:spacing w:line="360" w:lineRule="auto"/>
              <w:ind w:firstLine="425"/>
              <w:rPr>
                <w:color w:val="auto"/>
                <w:sz w:val="24"/>
              </w:rPr>
            </w:pPr>
            <w:r>
              <w:rPr>
                <w:rFonts w:hint="eastAsia"/>
                <w:color w:val="auto"/>
                <w:sz w:val="24"/>
              </w:rPr>
              <w:t>事故储存设施总有效容积：V</w:t>
            </w:r>
            <w:r>
              <w:rPr>
                <w:rFonts w:hint="eastAsia"/>
                <w:color w:val="auto"/>
                <w:sz w:val="24"/>
                <w:vertAlign w:val="subscript"/>
              </w:rPr>
              <w:t>总</w:t>
            </w:r>
            <w:r>
              <w:rPr>
                <w:rFonts w:hint="eastAsia"/>
                <w:color w:val="auto"/>
                <w:sz w:val="24"/>
              </w:rPr>
              <w:t>=（V</w:t>
            </w:r>
            <w:r>
              <w:rPr>
                <w:rFonts w:hint="eastAsia"/>
                <w:color w:val="auto"/>
                <w:sz w:val="24"/>
                <w:vertAlign w:val="subscript"/>
              </w:rPr>
              <w:t>1</w:t>
            </w:r>
            <w:r>
              <w:rPr>
                <w:rFonts w:hint="eastAsia"/>
                <w:color w:val="auto"/>
                <w:sz w:val="24"/>
              </w:rPr>
              <w:t>+V</w:t>
            </w:r>
            <w:r>
              <w:rPr>
                <w:rFonts w:hint="eastAsia"/>
                <w:color w:val="auto"/>
                <w:sz w:val="24"/>
                <w:vertAlign w:val="subscript"/>
              </w:rPr>
              <w:t>2</w:t>
            </w:r>
            <w:r>
              <w:rPr>
                <w:rFonts w:hint="eastAsia"/>
                <w:color w:val="auto"/>
                <w:sz w:val="24"/>
              </w:rPr>
              <w:t>-V</w:t>
            </w:r>
            <w:r>
              <w:rPr>
                <w:rFonts w:hint="eastAsia"/>
                <w:color w:val="auto"/>
                <w:sz w:val="24"/>
                <w:vertAlign w:val="subscript"/>
              </w:rPr>
              <w:t>3</w:t>
            </w:r>
            <w:r>
              <w:rPr>
                <w:rFonts w:hint="eastAsia"/>
                <w:color w:val="auto"/>
                <w:sz w:val="24"/>
              </w:rPr>
              <w:t>）max+V</w:t>
            </w:r>
            <w:r>
              <w:rPr>
                <w:rFonts w:hint="eastAsia"/>
                <w:color w:val="auto"/>
                <w:sz w:val="24"/>
                <w:vertAlign w:val="subscript"/>
              </w:rPr>
              <w:t>4</w:t>
            </w:r>
            <w:r>
              <w:rPr>
                <w:rFonts w:hint="eastAsia"/>
                <w:color w:val="auto"/>
                <w:sz w:val="24"/>
              </w:rPr>
              <w:t>+V</w:t>
            </w:r>
            <w:r>
              <w:rPr>
                <w:rFonts w:hint="eastAsia"/>
                <w:color w:val="auto"/>
                <w:sz w:val="24"/>
                <w:vertAlign w:val="subscript"/>
              </w:rPr>
              <w:t>5</w:t>
            </w:r>
          </w:p>
          <w:p w14:paraId="6982625F">
            <w:pPr>
              <w:adjustRightInd w:val="0"/>
              <w:spacing w:line="360" w:lineRule="auto"/>
              <w:ind w:firstLine="425"/>
              <w:rPr>
                <w:color w:val="auto"/>
                <w:sz w:val="24"/>
              </w:rPr>
            </w:pPr>
            <w:r>
              <w:rPr>
                <w:rFonts w:hint="eastAsia"/>
                <w:color w:val="auto"/>
                <w:sz w:val="24"/>
              </w:rPr>
              <w:t>注：（V</w:t>
            </w:r>
            <w:r>
              <w:rPr>
                <w:rFonts w:hint="eastAsia"/>
                <w:color w:val="auto"/>
                <w:sz w:val="24"/>
                <w:vertAlign w:val="subscript"/>
              </w:rPr>
              <w:t>1</w:t>
            </w:r>
            <w:r>
              <w:rPr>
                <w:rFonts w:hint="eastAsia"/>
                <w:color w:val="auto"/>
                <w:sz w:val="24"/>
              </w:rPr>
              <w:t>+V</w:t>
            </w:r>
            <w:r>
              <w:rPr>
                <w:rFonts w:hint="eastAsia"/>
                <w:color w:val="auto"/>
                <w:sz w:val="24"/>
                <w:vertAlign w:val="subscript"/>
              </w:rPr>
              <w:t>2</w:t>
            </w:r>
            <w:r>
              <w:rPr>
                <w:rFonts w:hint="eastAsia"/>
                <w:color w:val="auto"/>
                <w:sz w:val="24"/>
              </w:rPr>
              <w:t>-V</w:t>
            </w:r>
            <w:r>
              <w:rPr>
                <w:rFonts w:hint="eastAsia"/>
                <w:color w:val="auto"/>
                <w:sz w:val="24"/>
                <w:vertAlign w:val="subscript"/>
              </w:rPr>
              <w:t>3</w:t>
            </w:r>
            <w:r>
              <w:rPr>
                <w:rFonts w:hint="eastAsia"/>
                <w:color w:val="auto"/>
                <w:sz w:val="24"/>
              </w:rPr>
              <w:t>）max是指对收集系统范围内不同罐组或装置分别计算V</w:t>
            </w:r>
            <w:r>
              <w:rPr>
                <w:rFonts w:hint="eastAsia"/>
                <w:color w:val="auto"/>
                <w:sz w:val="24"/>
                <w:vertAlign w:val="subscript"/>
              </w:rPr>
              <w:t>1</w:t>
            </w:r>
            <w:r>
              <w:rPr>
                <w:rFonts w:hint="eastAsia"/>
                <w:color w:val="auto"/>
                <w:sz w:val="24"/>
              </w:rPr>
              <w:t>+V</w:t>
            </w:r>
            <w:r>
              <w:rPr>
                <w:rFonts w:hint="eastAsia"/>
                <w:color w:val="auto"/>
                <w:sz w:val="24"/>
                <w:vertAlign w:val="subscript"/>
              </w:rPr>
              <w:t>2</w:t>
            </w:r>
            <w:r>
              <w:rPr>
                <w:rFonts w:hint="eastAsia"/>
                <w:color w:val="auto"/>
                <w:sz w:val="24"/>
              </w:rPr>
              <w:t>-V</w:t>
            </w:r>
            <w:r>
              <w:rPr>
                <w:rFonts w:hint="eastAsia"/>
                <w:color w:val="auto"/>
                <w:sz w:val="24"/>
                <w:vertAlign w:val="subscript"/>
              </w:rPr>
              <w:t>3</w:t>
            </w:r>
            <w:r>
              <w:rPr>
                <w:rFonts w:hint="eastAsia"/>
                <w:color w:val="auto"/>
                <w:sz w:val="24"/>
              </w:rPr>
              <w:t>，取其中最大值。</w:t>
            </w:r>
          </w:p>
          <w:p w14:paraId="4A04CCF9">
            <w:pPr>
              <w:adjustRightInd w:val="0"/>
              <w:spacing w:line="360" w:lineRule="auto"/>
              <w:ind w:firstLine="425"/>
              <w:rPr>
                <w:color w:val="auto"/>
                <w:sz w:val="24"/>
              </w:rPr>
            </w:pPr>
            <w:r>
              <w:rPr>
                <w:rFonts w:hint="eastAsia"/>
                <w:color w:val="auto"/>
                <w:sz w:val="24"/>
              </w:rPr>
              <w:t>V</w:t>
            </w:r>
            <w:r>
              <w:rPr>
                <w:rFonts w:hint="eastAsia"/>
                <w:color w:val="auto"/>
                <w:sz w:val="24"/>
                <w:vertAlign w:val="subscript"/>
              </w:rPr>
              <w:t>1</w:t>
            </w:r>
            <w:r>
              <w:rPr>
                <w:rFonts w:hint="eastAsia"/>
                <w:color w:val="auto"/>
                <w:sz w:val="24"/>
              </w:rPr>
              <w:t>－收集系统范围内发生事故的一个罐组或一套装置的物料量（注：储存相同物料的罐组按一个最大储罐计，装置物料量按存留最大物料量的一台反应器或中间储罐计）。</w:t>
            </w:r>
          </w:p>
          <w:p w14:paraId="35384CF7">
            <w:pPr>
              <w:adjustRightInd w:val="0"/>
              <w:spacing w:line="360" w:lineRule="auto"/>
              <w:ind w:firstLine="425"/>
              <w:rPr>
                <w:color w:val="auto"/>
                <w:sz w:val="24"/>
              </w:rPr>
            </w:pPr>
            <w:r>
              <w:rPr>
                <w:rFonts w:hint="eastAsia"/>
                <w:color w:val="auto"/>
                <w:sz w:val="24"/>
              </w:rPr>
              <w:t>V</w:t>
            </w:r>
            <w:r>
              <w:rPr>
                <w:rFonts w:hint="eastAsia"/>
                <w:color w:val="auto"/>
                <w:sz w:val="24"/>
                <w:vertAlign w:val="subscript"/>
              </w:rPr>
              <w:t>2</w:t>
            </w:r>
            <w:r>
              <w:rPr>
                <w:rFonts w:hint="eastAsia"/>
                <w:color w:val="auto"/>
                <w:sz w:val="24"/>
              </w:rPr>
              <w:t>－发生事故的储罐或装置的消防水量，m</w:t>
            </w:r>
            <w:r>
              <w:rPr>
                <w:rFonts w:hint="eastAsia"/>
                <w:color w:val="auto"/>
                <w:sz w:val="24"/>
                <w:vertAlign w:val="superscript"/>
              </w:rPr>
              <w:t>3</w:t>
            </w:r>
            <w:r>
              <w:rPr>
                <w:rFonts w:hint="eastAsia"/>
                <w:color w:val="auto"/>
                <w:sz w:val="24"/>
              </w:rPr>
              <w:t>；V</w:t>
            </w:r>
            <w:r>
              <w:rPr>
                <w:rFonts w:hint="eastAsia"/>
                <w:color w:val="auto"/>
                <w:sz w:val="24"/>
                <w:vertAlign w:val="subscript"/>
              </w:rPr>
              <w:t>2</w:t>
            </w:r>
            <w:r>
              <w:rPr>
                <w:rFonts w:hint="eastAsia"/>
                <w:color w:val="auto"/>
                <w:sz w:val="24"/>
              </w:rPr>
              <w:t>=∑Q</w:t>
            </w:r>
            <w:r>
              <w:rPr>
                <w:rFonts w:hint="eastAsia"/>
                <w:color w:val="auto"/>
                <w:sz w:val="24"/>
                <w:vertAlign w:val="subscript"/>
              </w:rPr>
              <w:t>消</w:t>
            </w:r>
            <w:r>
              <w:rPr>
                <w:rFonts w:hint="eastAsia"/>
                <w:color w:val="auto"/>
                <w:sz w:val="24"/>
              </w:rPr>
              <w:t>t</w:t>
            </w:r>
            <w:r>
              <w:rPr>
                <w:rFonts w:hint="eastAsia"/>
                <w:color w:val="auto"/>
                <w:sz w:val="24"/>
                <w:vertAlign w:val="subscript"/>
              </w:rPr>
              <w:t>消</w:t>
            </w:r>
          </w:p>
          <w:p w14:paraId="4BED77C5">
            <w:pPr>
              <w:adjustRightInd w:val="0"/>
              <w:spacing w:line="360" w:lineRule="auto"/>
              <w:ind w:firstLine="425"/>
              <w:rPr>
                <w:color w:val="auto"/>
                <w:sz w:val="24"/>
              </w:rPr>
            </w:pPr>
            <w:r>
              <w:rPr>
                <w:rFonts w:hint="eastAsia"/>
                <w:color w:val="auto"/>
                <w:sz w:val="24"/>
              </w:rPr>
              <w:t>Q</w:t>
            </w:r>
            <w:r>
              <w:rPr>
                <w:rFonts w:hint="eastAsia"/>
                <w:color w:val="auto"/>
                <w:sz w:val="24"/>
                <w:vertAlign w:val="subscript"/>
              </w:rPr>
              <w:t>消</w:t>
            </w:r>
            <w:r>
              <w:rPr>
                <w:rFonts w:hint="eastAsia"/>
                <w:color w:val="auto"/>
                <w:sz w:val="24"/>
              </w:rPr>
              <w:t>－发生事故的储罐或装置的同时使用的消防设施给水流量，m</w:t>
            </w:r>
            <w:r>
              <w:rPr>
                <w:rFonts w:hint="eastAsia"/>
                <w:color w:val="auto"/>
                <w:sz w:val="24"/>
                <w:vertAlign w:val="superscript"/>
              </w:rPr>
              <w:t>3</w:t>
            </w:r>
            <w:r>
              <w:rPr>
                <w:rFonts w:hint="eastAsia"/>
                <w:color w:val="auto"/>
                <w:sz w:val="24"/>
              </w:rPr>
              <w:t>/h；</w:t>
            </w:r>
          </w:p>
          <w:p w14:paraId="7018AAD0">
            <w:pPr>
              <w:adjustRightInd w:val="0"/>
              <w:spacing w:line="360" w:lineRule="auto"/>
              <w:ind w:firstLine="425"/>
              <w:rPr>
                <w:color w:val="auto"/>
                <w:sz w:val="24"/>
              </w:rPr>
            </w:pPr>
            <w:r>
              <w:rPr>
                <w:rFonts w:hint="eastAsia"/>
                <w:color w:val="auto"/>
                <w:sz w:val="24"/>
              </w:rPr>
              <w:t>t</w:t>
            </w:r>
            <w:r>
              <w:rPr>
                <w:rFonts w:hint="eastAsia"/>
                <w:color w:val="auto"/>
                <w:sz w:val="24"/>
                <w:vertAlign w:val="subscript"/>
              </w:rPr>
              <w:t>消</w:t>
            </w:r>
            <w:r>
              <w:rPr>
                <w:rFonts w:hint="eastAsia"/>
                <w:color w:val="auto"/>
                <w:sz w:val="24"/>
              </w:rPr>
              <w:t>－消防设施对应的设计消防历时，h；</w:t>
            </w:r>
          </w:p>
          <w:p w14:paraId="7D5DDD21">
            <w:pPr>
              <w:adjustRightInd w:val="0"/>
              <w:spacing w:line="360" w:lineRule="auto"/>
              <w:ind w:firstLine="425"/>
              <w:rPr>
                <w:color w:val="auto"/>
                <w:sz w:val="24"/>
              </w:rPr>
            </w:pPr>
            <w:r>
              <w:rPr>
                <w:rFonts w:hint="eastAsia"/>
                <w:color w:val="auto"/>
                <w:sz w:val="24"/>
              </w:rPr>
              <w:t>V</w:t>
            </w:r>
            <w:r>
              <w:rPr>
                <w:rFonts w:hint="eastAsia"/>
                <w:color w:val="auto"/>
                <w:sz w:val="24"/>
                <w:vertAlign w:val="subscript"/>
              </w:rPr>
              <w:t>3</w:t>
            </w:r>
            <w:r>
              <w:rPr>
                <w:rFonts w:hint="eastAsia"/>
                <w:color w:val="auto"/>
                <w:sz w:val="24"/>
              </w:rPr>
              <w:t>－发生事故时可以转输到其他储存或处理设施的物料量，m</w:t>
            </w:r>
            <w:r>
              <w:rPr>
                <w:rFonts w:hint="eastAsia"/>
                <w:color w:val="auto"/>
                <w:sz w:val="24"/>
                <w:vertAlign w:val="superscript"/>
              </w:rPr>
              <w:t>3</w:t>
            </w:r>
            <w:r>
              <w:rPr>
                <w:rFonts w:hint="eastAsia"/>
                <w:color w:val="auto"/>
                <w:sz w:val="24"/>
              </w:rPr>
              <w:t>；</w:t>
            </w:r>
          </w:p>
          <w:p w14:paraId="14F926AA">
            <w:pPr>
              <w:adjustRightInd w:val="0"/>
              <w:spacing w:line="360" w:lineRule="auto"/>
              <w:ind w:firstLine="425"/>
              <w:rPr>
                <w:color w:val="auto"/>
                <w:sz w:val="24"/>
              </w:rPr>
            </w:pPr>
            <w:r>
              <w:rPr>
                <w:rFonts w:hint="eastAsia"/>
                <w:color w:val="auto"/>
                <w:sz w:val="24"/>
              </w:rPr>
              <w:t>V</w:t>
            </w:r>
            <w:r>
              <w:rPr>
                <w:rFonts w:hint="eastAsia"/>
                <w:color w:val="auto"/>
                <w:sz w:val="24"/>
                <w:vertAlign w:val="subscript"/>
              </w:rPr>
              <w:t>4</w:t>
            </w:r>
            <w:r>
              <w:rPr>
                <w:rFonts w:hint="eastAsia"/>
                <w:color w:val="auto"/>
                <w:sz w:val="24"/>
              </w:rPr>
              <w:t>－发生事故时仍必须进入该收集系统的生产废水量，m</w:t>
            </w:r>
            <w:r>
              <w:rPr>
                <w:rFonts w:hint="eastAsia"/>
                <w:color w:val="auto"/>
                <w:sz w:val="24"/>
                <w:vertAlign w:val="superscript"/>
              </w:rPr>
              <w:t>3</w:t>
            </w:r>
            <w:r>
              <w:rPr>
                <w:rFonts w:hint="eastAsia"/>
                <w:color w:val="auto"/>
                <w:sz w:val="24"/>
              </w:rPr>
              <w:t>；</w:t>
            </w:r>
          </w:p>
          <w:p w14:paraId="354CFBFC">
            <w:pPr>
              <w:adjustRightInd w:val="0"/>
              <w:spacing w:line="360" w:lineRule="auto"/>
              <w:ind w:firstLine="425"/>
              <w:rPr>
                <w:color w:val="auto"/>
                <w:sz w:val="24"/>
              </w:rPr>
            </w:pPr>
            <w:r>
              <w:rPr>
                <w:rFonts w:hint="eastAsia"/>
                <w:color w:val="auto"/>
                <w:sz w:val="24"/>
              </w:rPr>
              <w:t>V</w:t>
            </w:r>
            <w:r>
              <w:rPr>
                <w:rFonts w:hint="eastAsia"/>
                <w:color w:val="auto"/>
                <w:sz w:val="24"/>
                <w:vertAlign w:val="subscript"/>
              </w:rPr>
              <w:t>5</w:t>
            </w:r>
            <w:r>
              <w:rPr>
                <w:rFonts w:hint="eastAsia"/>
                <w:color w:val="auto"/>
                <w:sz w:val="24"/>
              </w:rPr>
              <w:t>－发生事故时可能进入该收集系统的降雨量，m</w:t>
            </w:r>
            <w:r>
              <w:rPr>
                <w:rFonts w:hint="eastAsia"/>
                <w:color w:val="auto"/>
                <w:sz w:val="24"/>
                <w:vertAlign w:val="superscript"/>
              </w:rPr>
              <w:t>3</w:t>
            </w:r>
            <w:r>
              <w:rPr>
                <w:rFonts w:hint="eastAsia"/>
                <w:color w:val="auto"/>
                <w:sz w:val="24"/>
              </w:rPr>
              <w:t>；V</w:t>
            </w:r>
            <w:r>
              <w:rPr>
                <w:rFonts w:hint="eastAsia"/>
                <w:color w:val="auto"/>
                <w:sz w:val="24"/>
                <w:vertAlign w:val="subscript"/>
              </w:rPr>
              <w:t>5</w:t>
            </w:r>
            <w:r>
              <w:rPr>
                <w:rFonts w:hint="eastAsia"/>
                <w:color w:val="auto"/>
                <w:sz w:val="24"/>
              </w:rPr>
              <w:t>=10qF</w:t>
            </w:r>
          </w:p>
          <w:p w14:paraId="656BBD2C">
            <w:pPr>
              <w:adjustRightInd w:val="0"/>
              <w:spacing w:line="360" w:lineRule="auto"/>
              <w:ind w:firstLine="425"/>
              <w:rPr>
                <w:color w:val="auto"/>
                <w:sz w:val="24"/>
              </w:rPr>
            </w:pPr>
            <w:r>
              <w:rPr>
                <w:rFonts w:hint="eastAsia"/>
                <w:color w:val="auto"/>
                <w:sz w:val="24"/>
              </w:rPr>
              <w:t>q－降雨强度，mm；按平均日降雨量；q=qa/n</w:t>
            </w:r>
          </w:p>
          <w:p w14:paraId="71453DE3">
            <w:pPr>
              <w:adjustRightInd w:val="0"/>
              <w:spacing w:line="360" w:lineRule="auto"/>
              <w:ind w:firstLine="425"/>
              <w:rPr>
                <w:color w:val="auto"/>
                <w:sz w:val="24"/>
              </w:rPr>
            </w:pPr>
            <w:r>
              <w:rPr>
                <w:rFonts w:hint="eastAsia"/>
                <w:color w:val="auto"/>
                <w:sz w:val="24"/>
              </w:rPr>
              <w:t>qa－年平均降雨量，mm；</w:t>
            </w:r>
          </w:p>
          <w:p w14:paraId="086425CE">
            <w:pPr>
              <w:adjustRightInd w:val="0"/>
              <w:spacing w:line="360" w:lineRule="auto"/>
              <w:ind w:firstLine="425"/>
              <w:rPr>
                <w:color w:val="auto"/>
                <w:sz w:val="24"/>
              </w:rPr>
            </w:pPr>
            <w:r>
              <w:rPr>
                <w:rFonts w:hint="eastAsia"/>
                <w:color w:val="auto"/>
                <w:sz w:val="24"/>
              </w:rPr>
              <w:t>n－年平均降雨日数；</w:t>
            </w:r>
          </w:p>
          <w:p w14:paraId="050AF887">
            <w:pPr>
              <w:adjustRightInd w:val="0"/>
              <w:spacing w:line="360" w:lineRule="auto"/>
              <w:ind w:firstLine="425"/>
              <w:rPr>
                <w:color w:val="auto"/>
                <w:sz w:val="24"/>
              </w:rPr>
            </w:pPr>
            <w:r>
              <w:rPr>
                <w:rFonts w:hint="eastAsia"/>
                <w:color w:val="auto"/>
                <w:sz w:val="24"/>
              </w:rPr>
              <w:t>F－必须进入事故废水收集系统的雨水汇水面积，ha。</w:t>
            </w:r>
          </w:p>
          <w:p w14:paraId="10ECF85C">
            <w:pPr>
              <w:adjustRightInd w:val="0"/>
              <w:spacing w:line="360" w:lineRule="auto"/>
              <w:ind w:firstLine="425"/>
              <w:rPr>
                <w:color w:val="auto"/>
                <w:sz w:val="24"/>
              </w:rPr>
            </w:pPr>
            <w:r>
              <w:rPr>
                <w:rFonts w:hint="eastAsia"/>
                <w:color w:val="auto"/>
                <w:sz w:val="24"/>
              </w:rPr>
              <w:t>根据公司危险化学品分布情况分析，生产车间为发生火灾爆炸最大可信事故源，消防废水量根据《建筑设计防火规范》进行计算。</w:t>
            </w:r>
          </w:p>
          <w:p w14:paraId="6E00A66E">
            <w:pPr>
              <w:adjustRightInd w:val="0"/>
              <w:spacing w:line="360" w:lineRule="auto"/>
              <w:ind w:firstLine="425"/>
              <w:rPr>
                <w:color w:val="auto"/>
                <w:sz w:val="24"/>
              </w:rPr>
            </w:pPr>
            <w:r>
              <w:rPr>
                <w:rFonts w:hint="eastAsia"/>
                <w:color w:val="auto"/>
                <w:sz w:val="24"/>
              </w:rPr>
              <w:t>a）事故状态下物料量V</w:t>
            </w:r>
            <w:r>
              <w:rPr>
                <w:rFonts w:hint="eastAsia"/>
                <w:color w:val="auto"/>
                <w:sz w:val="24"/>
                <w:vertAlign w:val="subscript"/>
              </w:rPr>
              <w:t>1</w:t>
            </w:r>
            <w:r>
              <w:rPr>
                <w:rFonts w:hint="eastAsia"/>
                <w:color w:val="auto"/>
                <w:sz w:val="24"/>
              </w:rPr>
              <w:t>：本企业取0m</w:t>
            </w:r>
            <w:r>
              <w:rPr>
                <w:rFonts w:hint="eastAsia"/>
                <w:color w:val="auto"/>
                <w:sz w:val="24"/>
                <w:vertAlign w:val="superscript"/>
              </w:rPr>
              <w:t>3</w:t>
            </w:r>
            <w:r>
              <w:rPr>
                <w:rFonts w:hint="eastAsia"/>
                <w:color w:val="auto"/>
                <w:sz w:val="24"/>
              </w:rPr>
              <w:t>。</w:t>
            </w:r>
          </w:p>
          <w:p w14:paraId="29FDAEF7">
            <w:pPr>
              <w:adjustRightInd w:val="0"/>
              <w:spacing w:line="360" w:lineRule="auto"/>
              <w:ind w:firstLine="425"/>
              <w:rPr>
                <w:color w:val="auto"/>
                <w:sz w:val="24"/>
              </w:rPr>
            </w:pPr>
            <w:r>
              <w:rPr>
                <w:rFonts w:hint="eastAsia"/>
                <w:color w:val="auto"/>
                <w:sz w:val="24"/>
              </w:rPr>
              <w:t>b）事件状态下的消防用水总量估算：厂区消火栓用水量为15L/s，火灾延续时间按1.0h计，则产生的消防废水量为54m</w:t>
            </w:r>
            <w:r>
              <w:rPr>
                <w:rFonts w:hint="eastAsia"/>
                <w:color w:val="auto"/>
                <w:sz w:val="24"/>
                <w:vertAlign w:val="superscript"/>
              </w:rPr>
              <w:t>3</w:t>
            </w:r>
            <w:r>
              <w:rPr>
                <w:rFonts w:hint="eastAsia"/>
                <w:color w:val="auto"/>
                <w:sz w:val="24"/>
              </w:rPr>
              <w:t>。</w:t>
            </w:r>
          </w:p>
          <w:p w14:paraId="042E0DE1">
            <w:pPr>
              <w:adjustRightInd w:val="0"/>
              <w:spacing w:line="360" w:lineRule="auto"/>
              <w:ind w:firstLine="425"/>
              <w:rPr>
                <w:color w:val="auto"/>
                <w:sz w:val="24"/>
              </w:rPr>
            </w:pPr>
            <w:r>
              <w:rPr>
                <w:rFonts w:hint="eastAsia"/>
                <w:color w:val="auto"/>
                <w:sz w:val="24"/>
              </w:rPr>
              <w:t>c）发生事故时可以转输到其他储存或处理设施的物料量，m</w:t>
            </w:r>
            <w:r>
              <w:rPr>
                <w:rFonts w:hint="eastAsia"/>
                <w:color w:val="auto"/>
                <w:sz w:val="24"/>
                <w:vertAlign w:val="superscript"/>
              </w:rPr>
              <w:t>3</w:t>
            </w:r>
            <w:r>
              <w:rPr>
                <w:rFonts w:hint="eastAsia"/>
                <w:color w:val="auto"/>
                <w:sz w:val="24"/>
              </w:rPr>
              <w:t>；V</w:t>
            </w:r>
            <w:r>
              <w:rPr>
                <w:rFonts w:hint="eastAsia"/>
                <w:color w:val="auto"/>
                <w:sz w:val="24"/>
                <w:vertAlign w:val="subscript"/>
              </w:rPr>
              <w:t>3</w:t>
            </w:r>
            <w:r>
              <w:rPr>
                <w:rFonts w:hint="eastAsia"/>
                <w:color w:val="auto"/>
                <w:sz w:val="24"/>
              </w:rPr>
              <w:t>取0m</w:t>
            </w:r>
            <w:r>
              <w:rPr>
                <w:rFonts w:hint="eastAsia"/>
                <w:color w:val="auto"/>
                <w:sz w:val="24"/>
                <w:vertAlign w:val="superscript"/>
              </w:rPr>
              <w:t>3</w:t>
            </w:r>
            <w:r>
              <w:rPr>
                <w:rFonts w:hint="eastAsia"/>
                <w:color w:val="auto"/>
                <w:sz w:val="24"/>
              </w:rPr>
              <w:t>。</w:t>
            </w:r>
          </w:p>
          <w:p w14:paraId="75D72389">
            <w:pPr>
              <w:adjustRightInd w:val="0"/>
              <w:spacing w:line="360" w:lineRule="auto"/>
              <w:ind w:firstLine="425"/>
              <w:rPr>
                <w:color w:val="auto"/>
                <w:sz w:val="24"/>
              </w:rPr>
            </w:pPr>
            <w:r>
              <w:rPr>
                <w:rFonts w:hint="eastAsia"/>
                <w:color w:val="auto"/>
                <w:sz w:val="24"/>
              </w:rPr>
              <w:t>d）发生事故时仍必须进入该收集系统的生产废水量，本项目无生产废水，m</w:t>
            </w:r>
            <w:r>
              <w:rPr>
                <w:rFonts w:hint="eastAsia"/>
                <w:color w:val="auto"/>
                <w:sz w:val="24"/>
                <w:vertAlign w:val="superscript"/>
              </w:rPr>
              <w:t>3</w:t>
            </w:r>
            <w:r>
              <w:rPr>
                <w:rFonts w:hint="eastAsia"/>
                <w:color w:val="auto"/>
                <w:sz w:val="24"/>
              </w:rPr>
              <w:t>；V</w:t>
            </w:r>
            <w:r>
              <w:rPr>
                <w:rFonts w:hint="eastAsia"/>
                <w:color w:val="auto"/>
                <w:sz w:val="24"/>
                <w:vertAlign w:val="subscript"/>
              </w:rPr>
              <w:t>4</w:t>
            </w:r>
            <w:r>
              <w:rPr>
                <w:rFonts w:hint="eastAsia"/>
                <w:color w:val="auto"/>
                <w:sz w:val="24"/>
              </w:rPr>
              <w:t>取0m</w:t>
            </w:r>
            <w:r>
              <w:rPr>
                <w:rFonts w:hint="eastAsia"/>
                <w:color w:val="auto"/>
                <w:sz w:val="24"/>
                <w:vertAlign w:val="superscript"/>
              </w:rPr>
              <w:t>3</w:t>
            </w:r>
            <w:r>
              <w:rPr>
                <w:rFonts w:hint="eastAsia"/>
                <w:color w:val="auto"/>
                <w:sz w:val="24"/>
              </w:rPr>
              <w:t>。</w:t>
            </w:r>
          </w:p>
          <w:p w14:paraId="597B44D1">
            <w:pPr>
              <w:adjustRightInd w:val="0"/>
              <w:spacing w:line="360" w:lineRule="auto"/>
              <w:ind w:firstLine="425"/>
              <w:rPr>
                <w:color w:val="auto"/>
                <w:sz w:val="24"/>
              </w:rPr>
            </w:pPr>
            <w:r>
              <w:rPr>
                <w:rFonts w:hint="eastAsia"/>
                <w:color w:val="auto"/>
                <w:sz w:val="24"/>
              </w:rPr>
              <w:t>e）发生事故时可能进入该收集系统的降雨量，m</w:t>
            </w:r>
            <w:r>
              <w:rPr>
                <w:rFonts w:hint="eastAsia"/>
                <w:color w:val="auto"/>
                <w:sz w:val="24"/>
                <w:vertAlign w:val="superscript"/>
              </w:rPr>
              <w:t>3</w:t>
            </w:r>
            <w:r>
              <w:rPr>
                <w:rFonts w:hint="eastAsia"/>
                <w:color w:val="auto"/>
                <w:sz w:val="24"/>
              </w:rPr>
              <w:t>；本项目生产设施以及原辅材料存储均位于车间内，屋顶雨水由管道收集后直接送至雨水管网，故生产区域的雨水为必须进入事故废水收集系统V</w:t>
            </w:r>
            <w:r>
              <w:rPr>
                <w:rFonts w:hint="eastAsia"/>
                <w:color w:val="auto"/>
                <w:sz w:val="24"/>
                <w:vertAlign w:val="subscript"/>
              </w:rPr>
              <w:t>5</w:t>
            </w:r>
            <w:r>
              <w:rPr>
                <w:rFonts w:hint="eastAsia"/>
                <w:color w:val="auto"/>
                <w:sz w:val="24"/>
              </w:rPr>
              <w:t>=0m</w:t>
            </w:r>
            <w:r>
              <w:rPr>
                <w:rFonts w:hint="eastAsia"/>
                <w:color w:val="auto"/>
                <w:sz w:val="24"/>
                <w:vertAlign w:val="superscript"/>
              </w:rPr>
              <w:t>3</w:t>
            </w:r>
            <w:r>
              <w:rPr>
                <w:rFonts w:hint="eastAsia"/>
                <w:color w:val="auto"/>
                <w:sz w:val="24"/>
              </w:rPr>
              <w:t>。</w:t>
            </w:r>
          </w:p>
          <w:p w14:paraId="690BDE1D">
            <w:pPr>
              <w:adjustRightInd w:val="0"/>
              <w:spacing w:line="360" w:lineRule="auto"/>
              <w:ind w:firstLine="425"/>
              <w:rPr>
                <w:color w:val="auto"/>
                <w:sz w:val="24"/>
              </w:rPr>
            </w:pPr>
            <w:r>
              <w:rPr>
                <w:rFonts w:hint="eastAsia"/>
                <w:color w:val="auto"/>
                <w:sz w:val="24"/>
              </w:rPr>
              <w:t>f）V</w:t>
            </w:r>
            <w:r>
              <w:rPr>
                <w:rFonts w:hint="eastAsia"/>
                <w:color w:val="auto"/>
                <w:sz w:val="24"/>
                <w:vertAlign w:val="subscript"/>
              </w:rPr>
              <w:t>总</w:t>
            </w:r>
            <w:r>
              <w:rPr>
                <w:rFonts w:hint="eastAsia"/>
                <w:color w:val="auto"/>
                <w:sz w:val="24"/>
              </w:rPr>
              <w:t>=（0+54-0）max+0+0=54m</w:t>
            </w:r>
            <w:r>
              <w:rPr>
                <w:rFonts w:hint="eastAsia"/>
                <w:color w:val="auto"/>
                <w:sz w:val="24"/>
                <w:vertAlign w:val="superscript"/>
              </w:rPr>
              <w:t>3</w:t>
            </w:r>
            <w:r>
              <w:rPr>
                <w:rFonts w:hint="eastAsia"/>
                <w:color w:val="auto"/>
                <w:sz w:val="24"/>
              </w:rPr>
              <w:t>。</w:t>
            </w:r>
          </w:p>
          <w:p w14:paraId="0754F6B9">
            <w:pPr>
              <w:adjustRightInd w:val="0"/>
              <w:spacing w:line="360" w:lineRule="auto"/>
              <w:ind w:firstLine="425"/>
              <w:rPr>
                <w:color w:val="auto"/>
                <w:sz w:val="24"/>
              </w:rPr>
            </w:pPr>
            <w:r>
              <w:rPr>
                <w:rFonts w:hint="eastAsia"/>
                <w:color w:val="auto"/>
                <w:sz w:val="24"/>
              </w:rPr>
              <w:t>按要求本项目设置的事故应急池容量不得小于54m</w:t>
            </w:r>
            <w:r>
              <w:rPr>
                <w:rFonts w:hint="eastAsia"/>
                <w:color w:val="auto"/>
                <w:sz w:val="24"/>
                <w:vertAlign w:val="superscript"/>
              </w:rPr>
              <w:t>3</w:t>
            </w:r>
            <w:r>
              <w:rPr>
                <w:rFonts w:hint="eastAsia"/>
                <w:color w:val="auto"/>
                <w:sz w:val="24"/>
              </w:rPr>
              <w:t>，</w:t>
            </w:r>
            <w:r>
              <w:rPr>
                <w:rFonts w:hint="eastAsia"/>
                <w:color w:val="auto"/>
                <w:sz w:val="24"/>
                <w:lang w:val="en-US" w:eastAsia="zh-CN"/>
              </w:rPr>
              <w:t>考虑到本项目租用厂房，不适合建设事故应急池，企业需配备一个容积不小于54m</w:t>
            </w:r>
            <w:r>
              <w:rPr>
                <w:rFonts w:hint="eastAsia"/>
                <w:color w:val="auto"/>
                <w:sz w:val="24"/>
                <w:vertAlign w:val="superscript"/>
                <w:lang w:val="en-US" w:eastAsia="zh-CN"/>
              </w:rPr>
              <w:t>3</w:t>
            </w:r>
            <w:r>
              <w:rPr>
                <w:rFonts w:hint="eastAsia"/>
                <w:color w:val="auto"/>
                <w:sz w:val="24"/>
                <w:lang w:val="en-US" w:eastAsia="zh-CN"/>
              </w:rPr>
              <w:t>的应急水囊</w:t>
            </w:r>
            <w:r>
              <w:rPr>
                <w:rFonts w:hint="eastAsia"/>
                <w:color w:val="auto"/>
                <w:sz w:val="24"/>
              </w:rPr>
              <w:t>，确保泄露物料及火灾消防废水的有效收集，防止直接排入市政污水管网。</w:t>
            </w:r>
          </w:p>
          <w:p w14:paraId="6189D82B">
            <w:pPr>
              <w:adjustRightInd w:val="0"/>
              <w:spacing w:line="360" w:lineRule="auto"/>
              <w:ind w:firstLine="425"/>
              <w:rPr>
                <w:color w:val="auto"/>
                <w:sz w:val="24"/>
              </w:rPr>
            </w:pPr>
            <w:r>
              <w:rPr>
                <w:rFonts w:hint="eastAsia"/>
                <w:color w:val="auto"/>
                <w:sz w:val="24"/>
              </w:rPr>
              <w:t>4）泄漏事故应急处理措施</w:t>
            </w:r>
          </w:p>
          <w:p w14:paraId="0036D5F9">
            <w:pPr>
              <w:adjustRightInd w:val="0"/>
              <w:spacing w:line="360" w:lineRule="auto"/>
              <w:ind w:firstLine="425"/>
              <w:rPr>
                <w:color w:val="auto"/>
                <w:sz w:val="24"/>
              </w:rPr>
            </w:pPr>
            <w:r>
              <w:rPr>
                <w:rFonts w:hint="eastAsia"/>
                <w:color w:val="auto"/>
                <w:sz w:val="24"/>
                <w:lang w:val="en-US" w:eastAsia="zh-CN"/>
              </w:rPr>
              <w:t>液压油</w:t>
            </w:r>
            <w:r>
              <w:rPr>
                <w:rFonts w:hint="eastAsia"/>
                <w:color w:val="auto"/>
                <w:sz w:val="24"/>
              </w:rPr>
              <w:t>包装桶等油类物质泄漏：消除所有点火源。根据液体流动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泄漏时用砂土或其他不燃材料吸收，使用洁净的无火花工具收集吸收材料。大量泄漏时构筑围堤或挖坑收容，用抗溶性泡沫覆盖，减少蒸发。用防爆泵转移至槽车或专用收集器内。</w:t>
            </w:r>
          </w:p>
          <w:p w14:paraId="52BB5798">
            <w:pPr>
              <w:adjustRightInd w:val="0"/>
              <w:spacing w:line="360" w:lineRule="auto"/>
              <w:ind w:firstLine="425"/>
              <w:rPr>
                <w:color w:val="auto"/>
                <w:sz w:val="24"/>
              </w:rPr>
            </w:pPr>
            <w:r>
              <w:rPr>
                <w:rFonts w:hint="eastAsia"/>
                <w:color w:val="auto"/>
                <w:sz w:val="24"/>
              </w:rPr>
              <w:t>5）加强三废治理设施安全管理</w:t>
            </w:r>
          </w:p>
          <w:p w14:paraId="781C4D84">
            <w:pPr>
              <w:adjustRightInd w:val="0"/>
              <w:spacing w:line="360" w:lineRule="auto"/>
              <w:ind w:firstLine="425"/>
              <w:rPr>
                <w:color w:val="auto"/>
                <w:sz w:val="24"/>
              </w:rPr>
            </w:pPr>
            <w:r>
              <w:rPr>
                <w:rFonts w:hint="eastAsia"/>
                <w:color w:val="auto"/>
                <w:sz w:val="24"/>
              </w:rPr>
              <w:t>企业应严格执行《浙江省应急管理厅 浙江省生态环境厅关于加强工业企业环保设施安全生产工作的指导意见》（浙应急基础[2022]143号）中相关要求，应委托有相应资质（建设部门核发的综合、行业专项等设计资质）的设计单位对项目主要环保设施进行设计，落实安全生产相关技术要求。</w:t>
            </w:r>
          </w:p>
          <w:p w14:paraId="70D6AD5F">
            <w:pPr>
              <w:adjustRightInd w:val="0"/>
              <w:spacing w:line="360" w:lineRule="auto"/>
              <w:ind w:firstLine="425"/>
              <w:rPr>
                <w:color w:val="auto"/>
                <w:sz w:val="24"/>
              </w:rPr>
            </w:pPr>
            <w:r>
              <w:rPr>
                <w:rFonts w:hint="eastAsia"/>
                <w:color w:val="auto"/>
                <w:sz w:val="24"/>
              </w:rPr>
              <w:t>综上，本评价中各项目涉及的</w:t>
            </w:r>
            <w:r>
              <w:rPr>
                <w:rFonts w:hint="eastAsia"/>
                <w:color w:val="auto"/>
                <w:sz w:val="24"/>
                <w:lang w:val="en-US" w:eastAsia="zh-CN"/>
              </w:rPr>
              <w:t>液压油</w:t>
            </w:r>
            <w:r>
              <w:rPr>
                <w:rFonts w:hint="eastAsia"/>
                <w:color w:val="auto"/>
                <w:sz w:val="24"/>
              </w:rPr>
              <w:t>、危险废物为危险物质，涉及危险单元主要包括废水、废气处理设施、危废暂存库等。本评价认为，在有效落实风险防范措施和事故应急预案的前提下，从环境风险角度分析，本项目建设是可行的。</w:t>
            </w:r>
          </w:p>
          <w:p w14:paraId="76C60F6B">
            <w:pPr>
              <w:numPr>
                <w:ilvl w:val="0"/>
                <w:numId w:val="26"/>
              </w:numPr>
              <w:tabs>
                <w:tab w:val="left" w:pos="993"/>
                <w:tab w:val="clear" w:pos="0"/>
              </w:tabs>
              <w:adjustRightInd w:val="0"/>
              <w:spacing w:line="360" w:lineRule="auto"/>
              <w:rPr>
                <w:b/>
                <w:bCs/>
                <w:color w:val="auto"/>
                <w:sz w:val="24"/>
              </w:rPr>
            </w:pPr>
            <w:r>
              <w:rPr>
                <w:rFonts w:hint="eastAsia"/>
                <w:b/>
                <w:bCs/>
                <w:color w:val="auto"/>
                <w:sz w:val="24"/>
              </w:rPr>
              <w:t>电磁辐射</w:t>
            </w:r>
          </w:p>
          <w:p w14:paraId="274A6A18">
            <w:pPr>
              <w:adjustRightInd w:val="0"/>
              <w:spacing w:line="360" w:lineRule="auto"/>
              <w:ind w:firstLine="425"/>
              <w:rPr>
                <w:color w:val="auto"/>
                <w:sz w:val="24"/>
              </w:rPr>
            </w:pPr>
            <w:r>
              <w:rPr>
                <w:rFonts w:hint="eastAsia"/>
                <w:color w:val="auto"/>
                <w:sz w:val="24"/>
              </w:rPr>
              <w:t>本项目不涉及电磁辐射类相关内容。</w:t>
            </w:r>
          </w:p>
        </w:tc>
      </w:tr>
      <w:tr w14:paraId="1E646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8" w:type="pct"/>
            <w:tcMar>
              <w:left w:w="28" w:type="dxa"/>
              <w:right w:w="28" w:type="dxa"/>
            </w:tcMar>
            <w:vAlign w:val="center"/>
          </w:tcPr>
          <w:p w14:paraId="3C1698E7">
            <w:pPr>
              <w:pStyle w:val="82"/>
              <w:adjustRightInd w:val="0"/>
              <w:snapToGrid w:val="0"/>
              <w:spacing w:before="0" w:beforeAutospacing="0" w:after="0" w:afterAutospacing="0"/>
              <w:jc w:val="center"/>
              <w:rPr>
                <w:rFonts w:ascii="Times New Roman" w:hAnsi="Times New Roman"/>
                <w:color w:val="auto"/>
                <w:kern w:val="2"/>
                <w:sz w:val="21"/>
                <w:szCs w:val="21"/>
              </w:rPr>
            </w:pPr>
          </w:p>
        </w:tc>
        <w:tc>
          <w:tcPr>
            <w:tcW w:w="4881" w:type="pct"/>
          </w:tcPr>
          <w:p w14:paraId="49F4B959">
            <w:pPr>
              <w:numPr>
                <w:ilvl w:val="0"/>
                <w:numId w:val="25"/>
              </w:numPr>
              <w:tabs>
                <w:tab w:val="left" w:pos="993"/>
              </w:tabs>
              <w:adjustRightInd w:val="0"/>
              <w:spacing w:line="360" w:lineRule="auto"/>
              <w:rPr>
                <w:b/>
                <w:bCs/>
                <w:color w:val="auto"/>
                <w:sz w:val="24"/>
              </w:rPr>
            </w:pPr>
            <w:r>
              <w:rPr>
                <w:rFonts w:hint="eastAsia"/>
                <w:b/>
                <w:bCs/>
                <w:color w:val="auto"/>
                <w:sz w:val="24"/>
              </w:rPr>
              <w:t>环境监测计划</w:t>
            </w:r>
          </w:p>
          <w:p w14:paraId="4C776698">
            <w:pPr>
              <w:adjustRightInd w:val="0"/>
              <w:spacing w:line="360" w:lineRule="auto"/>
              <w:ind w:firstLine="425"/>
              <w:rPr>
                <w:color w:val="auto"/>
                <w:sz w:val="24"/>
              </w:rPr>
            </w:pPr>
            <w:r>
              <w:rPr>
                <w:color w:val="auto"/>
                <w:sz w:val="24"/>
              </w:rPr>
              <w:t>参照《排污单位自行监测技术指南</w:t>
            </w:r>
            <w:r>
              <w:rPr>
                <w:rFonts w:hint="eastAsia"/>
                <w:color w:val="auto"/>
                <w:sz w:val="24"/>
                <w:lang w:val="en-US" w:eastAsia="zh-CN"/>
              </w:rPr>
              <w:t xml:space="preserve"> </w:t>
            </w:r>
            <w:r>
              <w:rPr>
                <w:color w:val="auto"/>
                <w:sz w:val="24"/>
              </w:rPr>
              <w:t>总则》（HJ819-2017）、《排污单位自行监测技术指南</w:t>
            </w:r>
            <w:r>
              <w:rPr>
                <w:rFonts w:hint="eastAsia"/>
                <w:color w:val="auto"/>
                <w:sz w:val="24"/>
              </w:rPr>
              <w:t xml:space="preserve"> 橡胶和塑料制品</w:t>
            </w:r>
            <w:r>
              <w:rPr>
                <w:color w:val="auto"/>
                <w:sz w:val="24"/>
              </w:rPr>
              <w:t>》（HJ</w:t>
            </w:r>
            <w:r>
              <w:rPr>
                <w:rFonts w:hint="eastAsia"/>
                <w:color w:val="auto"/>
                <w:sz w:val="24"/>
              </w:rPr>
              <w:t>1207</w:t>
            </w:r>
            <w:r>
              <w:rPr>
                <w:color w:val="auto"/>
                <w:sz w:val="24"/>
              </w:rPr>
              <w:t>-20</w:t>
            </w:r>
            <w:r>
              <w:rPr>
                <w:rFonts w:hint="eastAsia"/>
                <w:color w:val="auto"/>
                <w:sz w:val="24"/>
              </w:rPr>
              <w:t>21</w:t>
            </w:r>
            <w:r>
              <w:rPr>
                <w:color w:val="auto"/>
                <w:sz w:val="24"/>
              </w:rPr>
              <w:t>）</w:t>
            </w:r>
            <w:r>
              <w:rPr>
                <w:rFonts w:hint="eastAsia"/>
                <w:color w:val="auto"/>
                <w:sz w:val="24"/>
                <w:lang w:eastAsia="zh-CN"/>
              </w:rPr>
              <w:t>、</w:t>
            </w:r>
            <w:r>
              <w:rPr>
                <w:color w:val="auto"/>
                <w:sz w:val="24"/>
              </w:rPr>
              <w:t>《排污许可证申请与核发技术规范 总则》（HJ942-2018），并结合项目的实际情况，对运营期项目的自行监测计划见下表，建设单位可在实际运营过程中进一步完善此监测计划并加以实施。</w:t>
            </w:r>
          </w:p>
          <w:p w14:paraId="1BA7B834">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项目运营期环境监测计划</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6"/>
              <w:gridCol w:w="1863"/>
              <w:gridCol w:w="924"/>
              <w:gridCol w:w="2244"/>
              <w:gridCol w:w="1379"/>
              <w:gridCol w:w="2006"/>
            </w:tblGrid>
            <w:tr w14:paraId="7FF5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tcBorders>
                    <w:tl2br w:val="nil"/>
                    <w:tr2bl w:val="nil"/>
                  </w:tcBorders>
                  <w:vAlign w:val="center"/>
                </w:tcPr>
                <w:p w14:paraId="0C525459">
                  <w:pPr>
                    <w:wordWrap w:val="0"/>
                    <w:jc w:val="center"/>
                    <w:rPr>
                      <w:color w:val="auto"/>
                      <w:szCs w:val="21"/>
                    </w:rPr>
                  </w:pPr>
                  <w:r>
                    <w:rPr>
                      <w:color w:val="auto"/>
                      <w:szCs w:val="21"/>
                    </w:rPr>
                    <w:t>项目</w:t>
                  </w:r>
                </w:p>
              </w:tc>
              <w:tc>
                <w:tcPr>
                  <w:tcW w:w="1051" w:type="pct"/>
                  <w:tcBorders>
                    <w:tl2br w:val="nil"/>
                    <w:tr2bl w:val="nil"/>
                  </w:tcBorders>
                  <w:vAlign w:val="center"/>
                </w:tcPr>
                <w:p w14:paraId="4D7A8950">
                  <w:pPr>
                    <w:wordWrap w:val="0"/>
                    <w:jc w:val="center"/>
                    <w:rPr>
                      <w:color w:val="auto"/>
                      <w:szCs w:val="21"/>
                    </w:rPr>
                  </w:pPr>
                  <w:r>
                    <w:rPr>
                      <w:color w:val="auto"/>
                      <w:szCs w:val="21"/>
                    </w:rPr>
                    <w:t>污染源</w:t>
                  </w:r>
                </w:p>
              </w:tc>
              <w:tc>
                <w:tcPr>
                  <w:tcW w:w="521" w:type="pct"/>
                  <w:tcBorders>
                    <w:tl2br w:val="nil"/>
                    <w:tr2bl w:val="nil"/>
                  </w:tcBorders>
                  <w:vAlign w:val="center"/>
                </w:tcPr>
                <w:p w14:paraId="70F297A1">
                  <w:pPr>
                    <w:wordWrap w:val="0"/>
                    <w:jc w:val="center"/>
                    <w:rPr>
                      <w:color w:val="auto"/>
                      <w:szCs w:val="21"/>
                    </w:rPr>
                  </w:pPr>
                  <w:r>
                    <w:rPr>
                      <w:color w:val="auto"/>
                      <w:szCs w:val="21"/>
                    </w:rPr>
                    <w:t>监测点</w:t>
                  </w:r>
                </w:p>
              </w:tc>
              <w:tc>
                <w:tcPr>
                  <w:tcW w:w="1266" w:type="pct"/>
                  <w:tcBorders>
                    <w:tl2br w:val="nil"/>
                    <w:tr2bl w:val="nil"/>
                  </w:tcBorders>
                  <w:vAlign w:val="center"/>
                </w:tcPr>
                <w:p w14:paraId="25AFE5F7">
                  <w:pPr>
                    <w:wordWrap w:val="0"/>
                    <w:jc w:val="center"/>
                    <w:rPr>
                      <w:color w:val="auto"/>
                      <w:szCs w:val="21"/>
                    </w:rPr>
                  </w:pPr>
                  <w:r>
                    <w:rPr>
                      <w:color w:val="auto"/>
                      <w:szCs w:val="21"/>
                    </w:rPr>
                    <w:t>监测因子</w:t>
                  </w:r>
                </w:p>
              </w:tc>
              <w:tc>
                <w:tcPr>
                  <w:tcW w:w="778" w:type="pct"/>
                  <w:tcBorders>
                    <w:tl2br w:val="nil"/>
                    <w:tr2bl w:val="nil"/>
                  </w:tcBorders>
                  <w:vAlign w:val="center"/>
                </w:tcPr>
                <w:p w14:paraId="6815EC8D">
                  <w:pPr>
                    <w:wordWrap w:val="0"/>
                    <w:jc w:val="center"/>
                    <w:rPr>
                      <w:color w:val="auto"/>
                      <w:szCs w:val="21"/>
                    </w:rPr>
                  </w:pPr>
                  <w:r>
                    <w:rPr>
                      <w:color w:val="auto"/>
                      <w:szCs w:val="21"/>
                    </w:rPr>
                    <w:t>监测频率</w:t>
                  </w:r>
                </w:p>
              </w:tc>
              <w:tc>
                <w:tcPr>
                  <w:tcW w:w="1131" w:type="pct"/>
                  <w:tcBorders>
                    <w:tl2br w:val="nil"/>
                    <w:tr2bl w:val="nil"/>
                  </w:tcBorders>
                  <w:vAlign w:val="center"/>
                </w:tcPr>
                <w:p w14:paraId="2C20C36D">
                  <w:pPr>
                    <w:wordWrap w:val="0"/>
                    <w:jc w:val="center"/>
                    <w:rPr>
                      <w:color w:val="auto"/>
                      <w:szCs w:val="21"/>
                    </w:rPr>
                  </w:pPr>
                  <w:r>
                    <w:rPr>
                      <w:color w:val="auto"/>
                      <w:szCs w:val="21"/>
                    </w:rPr>
                    <w:t>执行排放标准</w:t>
                  </w:r>
                </w:p>
              </w:tc>
            </w:tr>
            <w:tr w14:paraId="492F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vMerge w:val="restart"/>
                  <w:tcBorders>
                    <w:tl2br w:val="nil"/>
                    <w:tr2bl w:val="nil"/>
                  </w:tcBorders>
                  <w:vAlign w:val="center"/>
                </w:tcPr>
                <w:p w14:paraId="281CED40">
                  <w:pPr>
                    <w:wordWrap w:val="0"/>
                    <w:jc w:val="center"/>
                    <w:rPr>
                      <w:color w:val="auto"/>
                      <w:szCs w:val="21"/>
                    </w:rPr>
                  </w:pPr>
                </w:p>
              </w:tc>
              <w:tc>
                <w:tcPr>
                  <w:tcW w:w="1051" w:type="pct"/>
                  <w:vMerge w:val="restart"/>
                  <w:tcBorders>
                    <w:tl2br w:val="nil"/>
                    <w:tr2bl w:val="nil"/>
                  </w:tcBorders>
                  <w:vAlign w:val="center"/>
                </w:tcPr>
                <w:p w14:paraId="78C66F30">
                  <w:pPr>
                    <w:wordWrap w:val="0"/>
                    <w:jc w:val="center"/>
                    <w:rPr>
                      <w:color w:val="auto"/>
                      <w:szCs w:val="21"/>
                    </w:rPr>
                  </w:pPr>
                  <w:r>
                    <w:rPr>
                      <w:rFonts w:hint="eastAsia"/>
                      <w:color w:val="auto"/>
                      <w:szCs w:val="21"/>
                      <w:lang w:val="en-US" w:eastAsia="zh-CN"/>
                    </w:rPr>
                    <w:t>挤出废气</w:t>
                  </w:r>
                  <w:r>
                    <w:rPr>
                      <w:rFonts w:hint="eastAsia"/>
                      <w:color w:val="auto"/>
                      <w:szCs w:val="21"/>
                    </w:rPr>
                    <w:t>排气筒</w:t>
                  </w:r>
                </w:p>
              </w:tc>
              <w:tc>
                <w:tcPr>
                  <w:tcW w:w="521" w:type="pct"/>
                  <w:vMerge w:val="restart"/>
                  <w:tcBorders>
                    <w:tl2br w:val="nil"/>
                    <w:tr2bl w:val="nil"/>
                  </w:tcBorders>
                  <w:vAlign w:val="center"/>
                </w:tcPr>
                <w:p w14:paraId="6FA47474">
                  <w:pPr>
                    <w:wordWrap w:val="0"/>
                    <w:jc w:val="center"/>
                    <w:rPr>
                      <w:rFonts w:hint="eastAsia" w:eastAsia="宋体"/>
                      <w:color w:val="auto"/>
                      <w:szCs w:val="21"/>
                      <w:lang w:val="en-US" w:eastAsia="zh-CN"/>
                    </w:rPr>
                  </w:pPr>
                  <w:r>
                    <w:rPr>
                      <w:rFonts w:hint="eastAsia"/>
                      <w:color w:val="auto"/>
                      <w:szCs w:val="21"/>
                    </w:rPr>
                    <w:t>DA00</w:t>
                  </w:r>
                  <w:r>
                    <w:rPr>
                      <w:rFonts w:hint="eastAsia"/>
                      <w:color w:val="auto"/>
                      <w:szCs w:val="21"/>
                      <w:lang w:val="en-US" w:eastAsia="zh-CN"/>
                    </w:rPr>
                    <w:t>1</w:t>
                  </w:r>
                </w:p>
              </w:tc>
              <w:tc>
                <w:tcPr>
                  <w:tcW w:w="1266" w:type="pct"/>
                  <w:tcBorders>
                    <w:tl2br w:val="nil"/>
                    <w:tr2bl w:val="nil"/>
                  </w:tcBorders>
                  <w:vAlign w:val="center"/>
                </w:tcPr>
                <w:p w14:paraId="13147543">
                  <w:pPr>
                    <w:wordWrap w:val="0"/>
                    <w:adjustRightInd w:val="0"/>
                    <w:snapToGrid w:val="0"/>
                    <w:jc w:val="center"/>
                    <w:rPr>
                      <w:color w:val="auto"/>
                      <w:szCs w:val="21"/>
                    </w:rPr>
                  </w:pPr>
                  <w:r>
                    <w:rPr>
                      <w:rFonts w:hint="eastAsia"/>
                      <w:color w:val="auto"/>
                      <w:szCs w:val="21"/>
                    </w:rPr>
                    <w:t>非甲烷总烃</w:t>
                  </w:r>
                </w:p>
              </w:tc>
              <w:tc>
                <w:tcPr>
                  <w:tcW w:w="778" w:type="pct"/>
                  <w:tcBorders>
                    <w:tl2br w:val="nil"/>
                    <w:tr2bl w:val="nil"/>
                  </w:tcBorders>
                  <w:vAlign w:val="center"/>
                </w:tcPr>
                <w:p w14:paraId="12E34D34">
                  <w:pPr>
                    <w:wordWrap w:val="0"/>
                    <w:jc w:val="center"/>
                    <w:rPr>
                      <w:color w:val="auto"/>
                      <w:szCs w:val="21"/>
                    </w:rPr>
                  </w:pPr>
                  <w:r>
                    <w:rPr>
                      <w:rFonts w:hint="eastAsia"/>
                      <w:color w:val="auto"/>
                      <w:szCs w:val="21"/>
                    </w:rPr>
                    <w:t>1次/</w:t>
                  </w:r>
                  <w:r>
                    <w:rPr>
                      <w:rFonts w:hint="eastAsia"/>
                      <w:color w:val="auto"/>
                      <w:szCs w:val="21"/>
                      <w:lang w:val="en-US" w:eastAsia="zh-CN"/>
                    </w:rPr>
                    <w:t>半</w:t>
                  </w:r>
                  <w:r>
                    <w:rPr>
                      <w:rFonts w:hint="eastAsia"/>
                      <w:color w:val="auto"/>
                      <w:szCs w:val="21"/>
                    </w:rPr>
                    <w:t>年</w:t>
                  </w:r>
                </w:p>
              </w:tc>
              <w:tc>
                <w:tcPr>
                  <w:tcW w:w="1131" w:type="pct"/>
                  <w:tcBorders>
                    <w:tl2br w:val="nil"/>
                    <w:tr2bl w:val="nil"/>
                  </w:tcBorders>
                  <w:vAlign w:val="center"/>
                </w:tcPr>
                <w:p w14:paraId="175F96FB">
                  <w:pPr>
                    <w:wordWrap w:val="0"/>
                    <w:jc w:val="center"/>
                    <w:rPr>
                      <w:color w:val="auto"/>
                      <w:szCs w:val="21"/>
                    </w:rPr>
                  </w:pPr>
                  <w:r>
                    <w:rPr>
                      <w:rFonts w:hint="eastAsia"/>
                      <w:color w:val="auto"/>
                      <w:szCs w:val="21"/>
                    </w:rPr>
                    <w:t>GB16297-1996</w:t>
                  </w:r>
                </w:p>
              </w:tc>
            </w:tr>
            <w:tr w14:paraId="4E3A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vMerge w:val="continue"/>
                  <w:tcBorders>
                    <w:tl2br w:val="nil"/>
                    <w:tr2bl w:val="nil"/>
                  </w:tcBorders>
                  <w:vAlign w:val="center"/>
                </w:tcPr>
                <w:p w14:paraId="380DF485">
                  <w:pPr>
                    <w:wordWrap w:val="0"/>
                    <w:jc w:val="center"/>
                    <w:rPr>
                      <w:color w:val="auto"/>
                      <w:szCs w:val="21"/>
                    </w:rPr>
                  </w:pPr>
                </w:p>
              </w:tc>
              <w:tc>
                <w:tcPr>
                  <w:tcW w:w="1051" w:type="pct"/>
                  <w:vMerge w:val="continue"/>
                  <w:tcBorders>
                    <w:tl2br w:val="nil"/>
                    <w:tr2bl w:val="nil"/>
                  </w:tcBorders>
                  <w:vAlign w:val="center"/>
                </w:tcPr>
                <w:p w14:paraId="5A347A61">
                  <w:pPr>
                    <w:wordWrap w:val="0"/>
                    <w:jc w:val="center"/>
                    <w:rPr>
                      <w:rFonts w:hint="eastAsia"/>
                      <w:color w:val="auto"/>
                      <w:szCs w:val="21"/>
                      <w:lang w:val="en-US" w:eastAsia="zh-CN"/>
                    </w:rPr>
                  </w:pPr>
                </w:p>
              </w:tc>
              <w:tc>
                <w:tcPr>
                  <w:tcW w:w="521" w:type="pct"/>
                  <w:vMerge w:val="continue"/>
                  <w:tcBorders>
                    <w:tl2br w:val="nil"/>
                    <w:tr2bl w:val="nil"/>
                  </w:tcBorders>
                  <w:vAlign w:val="center"/>
                </w:tcPr>
                <w:p w14:paraId="00B8838B">
                  <w:pPr>
                    <w:wordWrap w:val="0"/>
                    <w:jc w:val="center"/>
                    <w:rPr>
                      <w:rFonts w:hint="eastAsia"/>
                      <w:color w:val="auto"/>
                      <w:szCs w:val="21"/>
                    </w:rPr>
                  </w:pPr>
                </w:p>
              </w:tc>
              <w:tc>
                <w:tcPr>
                  <w:tcW w:w="1266" w:type="pct"/>
                  <w:tcBorders>
                    <w:tl2br w:val="nil"/>
                    <w:tr2bl w:val="nil"/>
                  </w:tcBorders>
                  <w:vAlign w:val="center"/>
                </w:tcPr>
                <w:p w14:paraId="5A51F00F">
                  <w:pPr>
                    <w:wordWrap w:val="0"/>
                    <w:adjustRightInd w:val="0"/>
                    <w:snapToGrid w:val="0"/>
                    <w:jc w:val="center"/>
                    <w:rPr>
                      <w:rFonts w:hint="eastAsia"/>
                      <w:color w:val="auto"/>
                      <w:szCs w:val="21"/>
                    </w:rPr>
                  </w:pPr>
                  <w:r>
                    <w:rPr>
                      <w:rFonts w:hint="eastAsia"/>
                      <w:color w:val="auto"/>
                      <w:szCs w:val="21"/>
                    </w:rPr>
                    <w:t>氯化氢、氯乙烯、</w:t>
                  </w:r>
                </w:p>
                <w:p w14:paraId="04AA8B1F">
                  <w:pPr>
                    <w:wordWrap w:val="0"/>
                    <w:adjustRightInd w:val="0"/>
                    <w:snapToGrid w:val="0"/>
                    <w:jc w:val="center"/>
                    <w:rPr>
                      <w:rFonts w:hint="eastAsia"/>
                      <w:color w:val="auto"/>
                      <w:szCs w:val="21"/>
                    </w:rPr>
                  </w:pPr>
                  <w:r>
                    <w:rPr>
                      <w:rFonts w:hint="eastAsia"/>
                      <w:color w:val="auto"/>
                      <w:szCs w:val="21"/>
                    </w:rPr>
                    <w:t>臭气浓度</w:t>
                  </w:r>
                </w:p>
              </w:tc>
              <w:tc>
                <w:tcPr>
                  <w:tcW w:w="778" w:type="pct"/>
                  <w:tcBorders>
                    <w:tl2br w:val="nil"/>
                    <w:tr2bl w:val="nil"/>
                  </w:tcBorders>
                  <w:vAlign w:val="center"/>
                </w:tcPr>
                <w:p w14:paraId="5C673AD4">
                  <w:pPr>
                    <w:wordWrap w:val="0"/>
                    <w:jc w:val="center"/>
                    <w:rPr>
                      <w:rFonts w:hint="eastAsia"/>
                      <w:color w:val="auto"/>
                      <w:szCs w:val="21"/>
                    </w:rPr>
                  </w:pPr>
                  <w:r>
                    <w:rPr>
                      <w:rFonts w:hint="eastAsia"/>
                      <w:color w:val="auto"/>
                      <w:szCs w:val="21"/>
                    </w:rPr>
                    <w:t>1次/年</w:t>
                  </w:r>
                </w:p>
              </w:tc>
              <w:tc>
                <w:tcPr>
                  <w:tcW w:w="1131" w:type="pct"/>
                  <w:tcBorders>
                    <w:tl2br w:val="nil"/>
                    <w:tr2bl w:val="nil"/>
                  </w:tcBorders>
                  <w:vAlign w:val="center"/>
                </w:tcPr>
                <w:p w14:paraId="3B315656">
                  <w:pPr>
                    <w:wordWrap w:val="0"/>
                    <w:jc w:val="center"/>
                    <w:rPr>
                      <w:color w:val="auto"/>
                      <w:szCs w:val="21"/>
                    </w:rPr>
                  </w:pPr>
                  <w:r>
                    <w:rPr>
                      <w:rFonts w:hint="eastAsia"/>
                      <w:color w:val="auto"/>
                      <w:szCs w:val="21"/>
                    </w:rPr>
                    <w:t>GB16297-1996</w:t>
                  </w:r>
                </w:p>
                <w:p w14:paraId="1C2E43E1">
                  <w:pPr>
                    <w:wordWrap w:val="0"/>
                    <w:jc w:val="center"/>
                    <w:rPr>
                      <w:rFonts w:hint="eastAsia"/>
                      <w:color w:val="auto"/>
                      <w:szCs w:val="21"/>
                    </w:rPr>
                  </w:pPr>
                  <w:r>
                    <w:rPr>
                      <w:rFonts w:hint="eastAsia"/>
                      <w:color w:val="auto"/>
                      <w:szCs w:val="21"/>
                    </w:rPr>
                    <w:t>GB14554-93</w:t>
                  </w:r>
                </w:p>
              </w:tc>
            </w:tr>
            <w:tr w14:paraId="7D94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vMerge w:val="continue"/>
                  <w:tcBorders>
                    <w:tl2br w:val="nil"/>
                    <w:tr2bl w:val="nil"/>
                  </w:tcBorders>
                  <w:vAlign w:val="center"/>
                </w:tcPr>
                <w:p w14:paraId="3967B5AB">
                  <w:pPr>
                    <w:wordWrap w:val="0"/>
                    <w:jc w:val="center"/>
                    <w:rPr>
                      <w:color w:val="auto"/>
                      <w:szCs w:val="21"/>
                    </w:rPr>
                  </w:pPr>
                </w:p>
              </w:tc>
              <w:tc>
                <w:tcPr>
                  <w:tcW w:w="1051" w:type="pct"/>
                  <w:tcBorders>
                    <w:tl2br w:val="nil"/>
                    <w:tr2bl w:val="nil"/>
                  </w:tcBorders>
                  <w:vAlign w:val="center"/>
                </w:tcPr>
                <w:p w14:paraId="4B9EC687">
                  <w:pPr>
                    <w:wordWrap w:val="0"/>
                    <w:jc w:val="center"/>
                    <w:rPr>
                      <w:color w:val="auto"/>
                      <w:szCs w:val="21"/>
                    </w:rPr>
                  </w:pPr>
                  <w:r>
                    <w:rPr>
                      <w:rFonts w:hint="eastAsia"/>
                      <w:color w:val="auto"/>
                      <w:szCs w:val="21"/>
                    </w:rPr>
                    <w:t>厂界外无组织废气</w:t>
                  </w:r>
                </w:p>
              </w:tc>
              <w:tc>
                <w:tcPr>
                  <w:tcW w:w="521" w:type="pct"/>
                  <w:tcBorders>
                    <w:tl2br w:val="nil"/>
                    <w:tr2bl w:val="nil"/>
                  </w:tcBorders>
                  <w:vAlign w:val="center"/>
                </w:tcPr>
                <w:p w14:paraId="25331850">
                  <w:pPr>
                    <w:wordWrap w:val="0"/>
                    <w:jc w:val="center"/>
                    <w:rPr>
                      <w:color w:val="auto"/>
                      <w:szCs w:val="21"/>
                    </w:rPr>
                  </w:pPr>
                  <w:r>
                    <w:rPr>
                      <w:rFonts w:hint="eastAsia"/>
                      <w:color w:val="auto"/>
                      <w:szCs w:val="21"/>
                    </w:rPr>
                    <w:t>厂界四周</w:t>
                  </w:r>
                </w:p>
              </w:tc>
              <w:tc>
                <w:tcPr>
                  <w:tcW w:w="1266" w:type="pct"/>
                  <w:tcBorders>
                    <w:tl2br w:val="nil"/>
                    <w:tr2bl w:val="nil"/>
                  </w:tcBorders>
                  <w:vAlign w:val="center"/>
                </w:tcPr>
                <w:p w14:paraId="343884CA">
                  <w:pPr>
                    <w:wordWrap w:val="0"/>
                    <w:jc w:val="center"/>
                    <w:rPr>
                      <w:color w:val="auto"/>
                      <w:szCs w:val="21"/>
                    </w:rPr>
                  </w:pPr>
                  <w:r>
                    <w:rPr>
                      <w:rFonts w:hint="eastAsia"/>
                      <w:color w:val="auto"/>
                      <w:szCs w:val="21"/>
                      <w:lang w:val="en-US" w:eastAsia="zh-CN"/>
                    </w:rPr>
                    <w:t>颗粒物、</w:t>
                  </w:r>
                  <w:r>
                    <w:rPr>
                      <w:rFonts w:hint="eastAsia"/>
                      <w:color w:val="auto"/>
                      <w:szCs w:val="21"/>
                    </w:rPr>
                    <w:t>非甲烷总烃、氯化氢、氯乙烯、臭气浓度</w:t>
                  </w:r>
                </w:p>
              </w:tc>
              <w:tc>
                <w:tcPr>
                  <w:tcW w:w="778" w:type="pct"/>
                  <w:tcBorders>
                    <w:tl2br w:val="nil"/>
                    <w:tr2bl w:val="nil"/>
                  </w:tcBorders>
                  <w:vAlign w:val="center"/>
                </w:tcPr>
                <w:p w14:paraId="774AF70C">
                  <w:pPr>
                    <w:wordWrap w:val="0"/>
                    <w:jc w:val="center"/>
                    <w:rPr>
                      <w:color w:val="auto"/>
                      <w:szCs w:val="21"/>
                    </w:rPr>
                  </w:pPr>
                  <w:r>
                    <w:rPr>
                      <w:rFonts w:hint="eastAsia"/>
                      <w:color w:val="auto"/>
                      <w:szCs w:val="21"/>
                    </w:rPr>
                    <w:t>1次/年</w:t>
                  </w:r>
                </w:p>
              </w:tc>
              <w:tc>
                <w:tcPr>
                  <w:tcW w:w="1131" w:type="pct"/>
                  <w:tcBorders>
                    <w:tl2br w:val="nil"/>
                    <w:tr2bl w:val="nil"/>
                  </w:tcBorders>
                  <w:vAlign w:val="center"/>
                </w:tcPr>
                <w:p w14:paraId="11F47402">
                  <w:pPr>
                    <w:wordWrap w:val="0"/>
                    <w:jc w:val="center"/>
                    <w:rPr>
                      <w:color w:val="auto"/>
                      <w:szCs w:val="21"/>
                    </w:rPr>
                  </w:pPr>
                  <w:r>
                    <w:rPr>
                      <w:rFonts w:hint="eastAsia"/>
                      <w:color w:val="auto"/>
                      <w:szCs w:val="21"/>
                    </w:rPr>
                    <w:t>GB16297-1996</w:t>
                  </w:r>
                </w:p>
                <w:p w14:paraId="6A1332E3">
                  <w:pPr>
                    <w:wordWrap w:val="0"/>
                    <w:jc w:val="center"/>
                    <w:rPr>
                      <w:color w:val="auto"/>
                      <w:szCs w:val="21"/>
                    </w:rPr>
                  </w:pPr>
                  <w:r>
                    <w:rPr>
                      <w:rFonts w:hint="eastAsia"/>
                      <w:color w:val="auto"/>
                      <w:szCs w:val="21"/>
                    </w:rPr>
                    <w:t>GB14554-93</w:t>
                  </w:r>
                </w:p>
              </w:tc>
            </w:tr>
            <w:tr w14:paraId="1DF2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vMerge w:val="continue"/>
                  <w:tcBorders>
                    <w:tl2br w:val="nil"/>
                    <w:tr2bl w:val="nil"/>
                  </w:tcBorders>
                  <w:vAlign w:val="center"/>
                </w:tcPr>
                <w:p w14:paraId="354B7046">
                  <w:pPr>
                    <w:wordWrap w:val="0"/>
                    <w:jc w:val="center"/>
                    <w:rPr>
                      <w:color w:val="auto"/>
                      <w:szCs w:val="21"/>
                    </w:rPr>
                  </w:pPr>
                </w:p>
              </w:tc>
              <w:tc>
                <w:tcPr>
                  <w:tcW w:w="1051" w:type="pct"/>
                  <w:tcBorders>
                    <w:tl2br w:val="nil"/>
                    <w:tr2bl w:val="nil"/>
                  </w:tcBorders>
                  <w:vAlign w:val="center"/>
                </w:tcPr>
                <w:p w14:paraId="2A1EF86F">
                  <w:pPr>
                    <w:wordWrap w:val="0"/>
                    <w:jc w:val="center"/>
                    <w:rPr>
                      <w:color w:val="auto"/>
                      <w:szCs w:val="21"/>
                    </w:rPr>
                  </w:pPr>
                  <w:r>
                    <w:rPr>
                      <w:rFonts w:hint="eastAsia"/>
                      <w:color w:val="auto"/>
                      <w:szCs w:val="21"/>
                    </w:rPr>
                    <w:t>厂区内无组织废气</w:t>
                  </w:r>
                </w:p>
              </w:tc>
              <w:tc>
                <w:tcPr>
                  <w:tcW w:w="521" w:type="pct"/>
                  <w:tcBorders>
                    <w:tl2br w:val="nil"/>
                    <w:tr2bl w:val="nil"/>
                  </w:tcBorders>
                  <w:vAlign w:val="center"/>
                </w:tcPr>
                <w:p w14:paraId="012D8D59">
                  <w:pPr>
                    <w:wordWrap w:val="0"/>
                    <w:jc w:val="center"/>
                    <w:rPr>
                      <w:color w:val="auto"/>
                      <w:szCs w:val="21"/>
                    </w:rPr>
                  </w:pPr>
                  <w:r>
                    <w:rPr>
                      <w:rFonts w:hint="eastAsia"/>
                      <w:color w:val="auto"/>
                      <w:szCs w:val="21"/>
                    </w:rPr>
                    <w:t>厂区内</w:t>
                  </w:r>
                </w:p>
              </w:tc>
              <w:tc>
                <w:tcPr>
                  <w:tcW w:w="1266" w:type="pct"/>
                  <w:tcBorders>
                    <w:tl2br w:val="nil"/>
                    <w:tr2bl w:val="nil"/>
                  </w:tcBorders>
                  <w:vAlign w:val="center"/>
                </w:tcPr>
                <w:p w14:paraId="4B944CB3">
                  <w:pPr>
                    <w:wordWrap w:val="0"/>
                    <w:jc w:val="center"/>
                    <w:rPr>
                      <w:color w:val="auto"/>
                      <w:szCs w:val="21"/>
                    </w:rPr>
                  </w:pPr>
                  <w:r>
                    <w:rPr>
                      <w:rFonts w:hint="eastAsia"/>
                      <w:color w:val="auto"/>
                      <w:szCs w:val="21"/>
                    </w:rPr>
                    <w:t>非甲烷总烃</w:t>
                  </w:r>
                </w:p>
              </w:tc>
              <w:tc>
                <w:tcPr>
                  <w:tcW w:w="778" w:type="pct"/>
                  <w:tcBorders>
                    <w:tl2br w:val="nil"/>
                    <w:tr2bl w:val="nil"/>
                  </w:tcBorders>
                  <w:vAlign w:val="center"/>
                </w:tcPr>
                <w:p w14:paraId="134F3FCE">
                  <w:pPr>
                    <w:wordWrap w:val="0"/>
                    <w:jc w:val="center"/>
                    <w:rPr>
                      <w:color w:val="auto"/>
                      <w:szCs w:val="21"/>
                    </w:rPr>
                  </w:pPr>
                  <w:r>
                    <w:rPr>
                      <w:rFonts w:hint="eastAsia"/>
                      <w:color w:val="auto"/>
                      <w:szCs w:val="21"/>
                    </w:rPr>
                    <w:t>1次/年</w:t>
                  </w:r>
                </w:p>
              </w:tc>
              <w:tc>
                <w:tcPr>
                  <w:tcW w:w="1131" w:type="pct"/>
                  <w:tcBorders>
                    <w:tl2br w:val="nil"/>
                    <w:tr2bl w:val="nil"/>
                  </w:tcBorders>
                  <w:vAlign w:val="center"/>
                </w:tcPr>
                <w:p w14:paraId="624F796E">
                  <w:pPr>
                    <w:wordWrap w:val="0"/>
                    <w:jc w:val="center"/>
                    <w:rPr>
                      <w:color w:val="auto"/>
                      <w:szCs w:val="21"/>
                    </w:rPr>
                  </w:pPr>
                  <w:r>
                    <w:rPr>
                      <w:rFonts w:hint="eastAsia"/>
                      <w:color w:val="auto"/>
                      <w:szCs w:val="21"/>
                    </w:rPr>
                    <w:t>GB37822-2019</w:t>
                  </w:r>
                </w:p>
              </w:tc>
            </w:tr>
            <w:tr w14:paraId="38A2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1" w:type="pct"/>
                  <w:tcBorders>
                    <w:tl2br w:val="nil"/>
                    <w:tr2bl w:val="nil"/>
                  </w:tcBorders>
                  <w:vAlign w:val="center"/>
                </w:tcPr>
                <w:p w14:paraId="3642252A">
                  <w:pPr>
                    <w:wordWrap w:val="0"/>
                    <w:jc w:val="center"/>
                    <w:rPr>
                      <w:color w:val="auto"/>
                      <w:szCs w:val="21"/>
                    </w:rPr>
                  </w:pPr>
                  <w:r>
                    <w:rPr>
                      <w:color w:val="auto"/>
                      <w:szCs w:val="21"/>
                    </w:rPr>
                    <w:t>噪声</w:t>
                  </w:r>
                </w:p>
              </w:tc>
              <w:tc>
                <w:tcPr>
                  <w:tcW w:w="1051" w:type="pct"/>
                  <w:tcBorders>
                    <w:tl2br w:val="nil"/>
                    <w:tr2bl w:val="nil"/>
                  </w:tcBorders>
                  <w:vAlign w:val="center"/>
                </w:tcPr>
                <w:p w14:paraId="22987B0D">
                  <w:pPr>
                    <w:wordWrap w:val="0"/>
                    <w:jc w:val="center"/>
                    <w:rPr>
                      <w:color w:val="auto"/>
                      <w:szCs w:val="21"/>
                    </w:rPr>
                  </w:pPr>
                  <w:r>
                    <w:rPr>
                      <w:color w:val="auto"/>
                      <w:szCs w:val="21"/>
                    </w:rPr>
                    <w:t>厂界</w:t>
                  </w:r>
                  <w:r>
                    <w:rPr>
                      <w:rFonts w:hint="eastAsia"/>
                      <w:color w:val="auto"/>
                      <w:szCs w:val="21"/>
                    </w:rPr>
                    <w:t>噪声</w:t>
                  </w:r>
                </w:p>
              </w:tc>
              <w:tc>
                <w:tcPr>
                  <w:tcW w:w="521" w:type="pct"/>
                  <w:tcBorders>
                    <w:tl2br w:val="nil"/>
                    <w:tr2bl w:val="nil"/>
                  </w:tcBorders>
                  <w:vAlign w:val="center"/>
                </w:tcPr>
                <w:p w14:paraId="4EB55D71">
                  <w:pPr>
                    <w:wordWrap w:val="0"/>
                    <w:jc w:val="center"/>
                    <w:rPr>
                      <w:color w:val="auto"/>
                      <w:szCs w:val="21"/>
                    </w:rPr>
                  </w:pPr>
                  <w:r>
                    <w:rPr>
                      <w:color w:val="auto"/>
                      <w:szCs w:val="21"/>
                    </w:rPr>
                    <w:t>厂界四周</w:t>
                  </w:r>
                </w:p>
              </w:tc>
              <w:tc>
                <w:tcPr>
                  <w:tcW w:w="1266" w:type="pct"/>
                  <w:tcBorders>
                    <w:tl2br w:val="nil"/>
                    <w:tr2bl w:val="nil"/>
                  </w:tcBorders>
                  <w:vAlign w:val="center"/>
                </w:tcPr>
                <w:p w14:paraId="1ECE88FA">
                  <w:pPr>
                    <w:wordWrap w:val="0"/>
                    <w:jc w:val="center"/>
                    <w:rPr>
                      <w:color w:val="auto"/>
                      <w:szCs w:val="21"/>
                    </w:rPr>
                  </w:pPr>
                  <w:r>
                    <w:rPr>
                      <w:color w:val="auto"/>
                      <w:szCs w:val="21"/>
                    </w:rPr>
                    <w:t>昼</w:t>
                  </w:r>
                  <w:r>
                    <w:rPr>
                      <w:rFonts w:hint="eastAsia"/>
                      <w:color w:val="auto"/>
                      <w:szCs w:val="21"/>
                    </w:rPr>
                    <w:t>间、夜间</w:t>
                  </w:r>
                  <w:r>
                    <w:rPr>
                      <w:color w:val="auto"/>
                      <w:szCs w:val="21"/>
                    </w:rPr>
                    <w:t>L</w:t>
                  </w:r>
                  <w:r>
                    <w:rPr>
                      <w:color w:val="auto"/>
                      <w:szCs w:val="21"/>
                      <w:vertAlign w:val="subscript"/>
                    </w:rPr>
                    <w:t>eq</w:t>
                  </w:r>
                  <w:r>
                    <w:rPr>
                      <w:color w:val="auto"/>
                      <w:szCs w:val="21"/>
                    </w:rPr>
                    <w:t>（A）</w:t>
                  </w:r>
                </w:p>
              </w:tc>
              <w:tc>
                <w:tcPr>
                  <w:tcW w:w="778" w:type="pct"/>
                  <w:tcBorders>
                    <w:tl2br w:val="nil"/>
                    <w:tr2bl w:val="nil"/>
                  </w:tcBorders>
                  <w:vAlign w:val="center"/>
                </w:tcPr>
                <w:p w14:paraId="746998E3">
                  <w:pPr>
                    <w:wordWrap w:val="0"/>
                    <w:jc w:val="center"/>
                    <w:rPr>
                      <w:color w:val="auto"/>
                      <w:szCs w:val="21"/>
                    </w:rPr>
                  </w:pPr>
                  <w:r>
                    <w:rPr>
                      <w:rFonts w:hint="eastAsia"/>
                      <w:color w:val="auto"/>
                      <w:szCs w:val="21"/>
                    </w:rPr>
                    <w:t>1次/</w:t>
                  </w:r>
                  <w:r>
                    <w:rPr>
                      <w:color w:val="auto"/>
                      <w:szCs w:val="21"/>
                    </w:rPr>
                    <w:t>季度</w:t>
                  </w:r>
                </w:p>
              </w:tc>
              <w:tc>
                <w:tcPr>
                  <w:tcW w:w="1131" w:type="pct"/>
                  <w:tcBorders>
                    <w:tl2br w:val="nil"/>
                    <w:tr2bl w:val="nil"/>
                  </w:tcBorders>
                  <w:vAlign w:val="center"/>
                </w:tcPr>
                <w:p w14:paraId="121B33E7">
                  <w:pPr>
                    <w:wordWrap w:val="0"/>
                    <w:jc w:val="center"/>
                    <w:rPr>
                      <w:color w:val="auto"/>
                      <w:szCs w:val="21"/>
                    </w:rPr>
                  </w:pPr>
                  <w:r>
                    <w:rPr>
                      <w:color w:val="auto"/>
                      <w:szCs w:val="21"/>
                    </w:rPr>
                    <w:t>《工业企业厂界环境噪声排放标准》（GB12348-2008）</w:t>
                  </w:r>
                </w:p>
              </w:tc>
            </w:tr>
            <w:tr w14:paraId="7C5B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6"/>
                  <w:tcBorders>
                    <w:tl2br w:val="nil"/>
                    <w:tr2bl w:val="nil"/>
                  </w:tcBorders>
                  <w:vAlign w:val="center"/>
                </w:tcPr>
                <w:p w14:paraId="09341888">
                  <w:pPr>
                    <w:wordWrap w:val="0"/>
                    <w:jc w:val="both"/>
                    <w:rPr>
                      <w:color w:val="auto"/>
                      <w:szCs w:val="21"/>
                    </w:rPr>
                  </w:pPr>
                  <w:r>
                    <w:rPr>
                      <w:rFonts w:hint="eastAsia"/>
                      <w:color w:val="auto"/>
                      <w:szCs w:val="21"/>
                    </w:rPr>
                    <w:t>注：本项目仅排放生活污水，且纳管排放，根据《排污许可证申请与核发技术规范 总则》（HJ942-2018），单独排入城镇集中污水处理设施的生活污水仅说明排放去向。因此本项目生活污水不需要开展定期监测。</w:t>
                  </w:r>
                </w:p>
              </w:tc>
            </w:tr>
          </w:tbl>
          <w:p w14:paraId="6367BB24">
            <w:pPr>
              <w:adjustRightInd w:val="0"/>
              <w:spacing w:line="360" w:lineRule="auto"/>
              <w:ind w:firstLine="425"/>
              <w:rPr>
                <w:color w:val="auto"/>
                <w:sz w:val="24"/>
              </w:rPr>
            </w:pPr>
          </w:p>
          <w:p w14:paraId="57B82EFF">
            <w:pPr>
              <w:adjustRightInd w:val="0"/>
              <w:spacing w:line="360" w:lineRule="auto"/>
              <w:ind w:firstLine="425"/>
              <w:rPr>
                <w:color w:val="auto"/>
                <w:sz w:val="24"/>
              </w:rPr>
            </w:pPr>
          </w:p>
          <w:p w14:paraId="2AEE98B0">
            <w:pPr>
              <w:adjustRightInd w:val="0"/>
              <w:spacing w:line="460" w:lineRule="exact"/>
              <w:rPr>
                <w:rFonts w:hint="eastAsia" w:eastAsia="宋体"/>
                <w:color w:val="auto"/>
                <w:sz w:val="24"/>
                <w:lang w:val="en-US" w:eastAsia="zh-CN"/>
              </w:rPr>
            </w:pPr>
          </w:p>
        </w:tc>
      </w:tr>
      <w:tr w14:paraId="15E6E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8" w:type="pct"/>
            <w:tcMar>
              <w:left w:w="28" w:type="dxa"/>
              <w:right w:w="28" w:type="dxa"/>
            </w:tcMar>
            <w:vAlign w:val="center"/>
          </w:tcPr>
          <w:p w14:paraId="0C798779">
            <w:pPr>
              <w:pStyle w:val="82"/>
              <w:adjustRightInd w:val="0"/>
              <w:snapToGrid w:val="0"/>
              <w:spacing w:before="0" w:beforeAutospacing="0" w:after="0" w:afterAutospacing="0"/>
              <w:jc w:val="center"/>
              <w:rPr>
                <w:rFonts w:ascii="Times New Roman" w:hAnsi="Times New Roman"/>
                <w:color w:val="auto"/>
                <w:kern w:val="2"/>
                <w:sz w:val="21"/>
                <w:szCs w:val="21"/>
              </w:rPr>
            </w:pPr>
          </w:p>
        </w:tc>
        <w:tc>
          <w:tcPr>
            <w:tcW w:w="4881" w:type="pct"/>
          </w:tcPr>
          <w:p w14:paraId="2D4ED425">
            <w:pPr>
              <w:numPr>
                <w:ilvl w:val="0"/>
                <w:numId w:val="25"/>
              </w:numPr>
              <w:tabs>
                <w:tab w:val="left" w:pos="993"/>
              </w:tabs>
              <w:adjustRightInd w:val="0"/>
              <w:spacing w:line="360" w:lineRule="auto"/>
              <w:rPr>
                <w:b/>
                <w:bCs/>
                <w:color w:val="auto"/>
                <w:sz w:val="24"/>
              </w:rPr>
            </w:pPr>
            <w:r>
              <w:rPr>
                <w:rFonts w:hint="eastAsia"/>
                <w:b/>
                <w:bCs/>
                <w:color w:val="auto"/>
                <w:sz w:val="24"/>
              </w:rPr>
              <w:t>环保投资估算</w:t>
            </w:r>
          </w:p>
          <w:p w14:paraId="442D6935">
            <w:pPr>
              <w:numPr>
                <w:ilvl w:val="0"/>
                <w:numId w:val="27"/>
              </w:numPr>
              <w:adjustRightInd w:val="0"/>
              <w:snapToGrid w:val="0"/>
              <w:spacing w:before="48" w:beforeLines="20" w:after="48" w:afterLines="20" w:line="0" w:lineRule="atLeast"/>
              <w:jc w:val="center"/>
              <w:rPr>
                <w:b/>
                <w:bCs/>
                <w:color w:val="auto"/>
                <w:sz w:val="24"/>
              </w:rPr>
            </w:pPr>
            <w:r>
              <w:rPr>
                <w:rFonts w:hint="eastAsia"/>
                <w:b/>
                <w:bCs/>
                <w:color w:val="auto"/>
                <w:sz w:val="24"/>
              </w:rPr>
              <w:t>项目主要环保投资估算</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6"/>
              <w:gridCol w:w="2246"/>
              <w:gridCol w:w="4450"/>
            </w:tblGrid>
            <w:tr w14:paraId="6341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1D29E0F6">
                  <w:pPr>
                    <w:wordWrap w:val="0"/>
                    <w:jc w:val="center"/>
                    <w:rPr>
                      <w:color w:val="auto"/>
                      <w:szCs w:val="21"/>
                    </w:rPr>
                  </w:pPr>
                  <w:r>
                    <w:rPr>
                      <w:color w:val="auto"/>
                      <w:szCs w:val="21"/>
                    </w:rPr>
                    <w:t>序号</w:t>
                  </w:r>
                </w:p>
              </w:tc>
              <w:tc>
                <w:tcPr>
                  <w:tcW w:w="815" w:type="pct"/>
                  <w:tcBorders>
                    <w:tl2br w:val="nil"/>
                    <w:tr2bl w:val="nil"/>
                  </w:tcBorders>
                  <w:vAlign w:val="center"/>
                </w:tcPr>
                <w:p w14:paraId="6AA7F483">
                  <w:pPr>
                    <w:wordWrap w:val="0"/>
                    <w:jc w:val="center"/>
                    <w:rPr>
                      <w:color w:val="auto"/>
                      <w:szCs w:val="21"/>
                    </w:rPr>
                  </w:pPr>
                  <w:r>
                    <w:rPr>
                      <w:color w:val="auto"/>
                      <w:szCs w:val="21"/>
                    </w:rPr>
                    <w:t>项目</w:t>
                  </w:r>
                </w:p>
              </w:tc>
              <w:tc>
                <w:tcPr>
                  <w:tcW w:w="1267" w:type="pct"/>
                  <w:tcBorders>
                    <w:tl2br w:val="nil"/>
                    <w:tr2bl w:val="nil"/>
                  </w:tcBorders>
                  <w:vAlign w:val="center"/>
                </w:tcPr>
                <w:p w14:paraId="485C39CE">
                  <w:pPr>
                    <w:wordWrap w:val="0"/>
                    <w:jc w:val="center"/>
                    <w:rPr>
                      <w:color w:val="auto"/>
                      <w:szCs w:val="21"/>
                    </w:rPr>
                  </w:pPr>
                  <w:r>
                    <w:rPr>
                      <w:color w:val="auto"/>
                      <w:szCs w:val="21"/>
                    </w:rPr>
                    <w:t>环保投资</w:t>
                  </w:r>
                  <w:r>
                    <w:rPr>
                      <w:rFonts w:hint="eastAsia"/>
                      <w:color w:val="auto"/>
                      <w:szCs w:val="21"/>
                    </w:rPr>
                    <w:t>（万元）</w:t>
                  </w:r>
                </w:p>
              </w:tc>
              <w:tc>
                <w:tcPr>
                  <w:tcW w:w="2510" w:type="pct"/>
                  <w:tcBorders>
                    <w:tl2br w:val="nil"/>
                    <w:tr2bl w:val="nil"/>
                  </w:tcBorders>
                  <w:vAlign w:val="center"/>
                </w:tcPr>
                <w:p w14:paraId="1522631D">
                  <w:pPr>
                    <w:wordWrap w:val="0"/>
                    <w:jc w:val="center"/>
                    <w:rPr>
                      <w:color w:val="auto"/>
                      <w:szCs w:val="21"/>
                    </w:rPr>
                  </w:pPr>
                  <w:r>
                    <w:rPr>
                      <w:color w:val="auto"/>
                      <w:szCs w:val="21"/>
                    </w:rPr>
                    <w:t>备注</w:t>
                  </w:r>
                </w:p>
              </w:tc>
            </w:tr>
            <w:tr w14:paraId="41BF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120101F">
                  <w:pPr>
                    <w:wordWrap w:val="0"/>
                    <w:jc w:val="center"/>
                    <w:rPr>
                      <w:color w:val="auto"/>
                      <w:szCs w:val="21"/>
                    </w:rPr>
                  </w:pPr>
                  <w:r>
                    <w:rPr>
                      <w:color w:val="auto"/>
                      <w:szCs w:val="21"/>
                    </w:rPr>
                    <w:t>1</w:t>
                  </w:r>
                </w:p>
              </w:tc>
              <w:tc>
                <w:tcPr>
                  <w:tcW w:w="815" w:type="pct"/>
                  <w:tcBorders>
                    <w:tl2br w:val="nil"/>
                    <w:tr2bl w:val="nil"/>
                  </w:tcBorders>
                  <w:vAlign w:val="center"/>
                </w:tcPr>
                <w:p w14:paraId="56175B63">
                  <w:pPr>
                    <w:wordWrap w:val="0"/>
                    <w:jc w:val="center"/>
                    <w:rPr>
                      <w:color w:val="auto"/>
                      <w:szCs w:val="21"/>
                    </w:rPr>
                  </w:pPr>
                  <w:r>
                    <w:rPr>
                      <w:color w:val="auto"/>
                      <w:szCs w:val="21"/>
                    </w:rPr>
                    <w:t>废气防治</w:t>
                  </w:r>
                </w:p>
              </w:tc>
              <w:tc>
                <w:tcPr>
                  <w:tcW w:w="1267" w:type="pct"/>
                  <w:tcBorders>
                    <w:tl2br w:val="nil"/>
                    <w:tr2bl w:val="nil"/>
                  </w:tcBorders>
                  <w:vAlign w:val="center"/>
                </w:tcPr>
                <w:p w14:paraId="5919D4E8">
                  <w:pPr>
                    <w:wordWrap w:val="0"/>
                    <w:jc w:val="center"/>
                    <w:rPr>
                      <w:color w:val="auto"/>
                      <w:szCs w:val="21"/>
                    </w:rPr>
                  </w:pPr>
                  <w:r>
                    <w:rPr>
                      <w:rFonts w:hint="eastAsia"/>
                      <w:color w:val="auto"/>
                      <w:szCs w:val="21"/>
                    </w:rPr>
                    <w:t>60</w:t>
                  </w:r>
                </w:p>
              </w:tc>
              <w:tc>
                <w:tcPr>
                  <w:tcW w:w="2510" w:type="pct"/>
                  <w:tcBorders>
                    <w:tl2br w:val="nil"/>
                    <w:tr2bl w:val="nil"/>
                  </w:tcBorders>
                  <w:vAlign w:val="center"/>
                </w:tcPr>
                <w:p w14:paraId="4F09B05B">
                  <w:pPr>
                    <w:tabs>
                      <w:tab w:val="left" w:pos="1017"/>
                    </w:tabs>
                    <w:wordWrap w:val="0"/>
                    <w:jc w:val="center"/>
                    <w:rPr>
                      <w:color w:val="auto"/>
                      <w:szCs w:val="21"/>
                    </w:rPr>
                  </w:pPr>
                  <w:r>
                    <w:rPr>
                      <w:rFonts w:hint="eastAsia"/>
                      <w:color w:val="auto"/>
                      <w:szCs w:val="21"/>
                    </w:rPr>
                    <w:t>布袋除尘装置、两级活性炭吸附装置</w:t>
                  </w:r>
                </w:p>
              </w:tc>
            </w:tr>
            <w:tr w14:paraId="7F01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69795170">
                  <w:pPr>
                    <w:wordWrap w:val="0"/>
                    <w:jc w:val="center"/>
                    <w:rPr>
                      <w:color w:val="auto"/>
                      <w:szCs w:val="21"/>
                    </w:rPr>
                  </w:pPr>
                  <w:r>
                    <w:rPr>
                      <w:color w:val="auto"/>
                      <w:szCs w:val="21"/>
                    </w:rPr>
                    <w:t>2</w:t>
                  </w:r>
                </w:p>
              </w:tc>
              <w:tc>
                <w:tcPr>
                  <w:tcW w:w="815" w:type="pct"/>
                  <w:tcBorders>
                    <w:tl2br w:val="nil"/>
                    <w:tr2bl w:val="nil"/>
                  </w:tcBorders>
                  <w:vAlign w:val="center"/>
                </w:tcPr>
                <w:p w14:paraId="6E3624BB">
                  <w:pPr>
                    <w:wordWrap w:val="0"/>
                    <w:jc w:val="center"/>
                    <w:rPr>
                      <w:color w:val="auto"/>
                      <w:szCs w:val="21"/>
                    </w:rPr>
                  </w:pPr>
                  <w:r>
                    <w:rPr>
                      <w:color w:val="auto"/>
                      <w:szCs w:val="21"/>
                    </w:rPr>
                    <w:t>废水防治</w:t>
                  </w:r>
                </w:p>
              </w:tc>
              <w:tc>
                <w:tcPr>
                  <w:tcW w:w="1267" w:type="pct"/>
                  <w:tcBorders>
                    <w:tl2br w:val="nil"/>
                    <w:tr2bl w:val="nil"/>
                  </w:tcBorders>
                  <w:vAlign w:val="center"/>
                </w:tcPr>
                <w:p w14:paraId="2E2BFB1E">
                  <w:pPr>
                    <w:wordWrap w:val="0"/>
                    <w:jc w:val="center"/>
                    <w:rPr>
                      <w:color w:val="auto"/>
                      <w:szCs w:val="21"/>
                    </w:rPr>
                  </w:pPr>
                  <w:r>
                    <w:rPr>
                      <w:rFonts w:hint="eastAsia"/>
                      <w:color w:val="auto"/>
                      <w:szCs w:val="21"/>
                      <w:lang w:val="en-US" w:eastAsia="zh-CN"/>
                    </w:rPr>
                    <w:t>0</w:t>
                  </w:r>
                </w:p>
              </w:tc>
              <w:tc>
                <w:tcPr>
                  <w:tcW w:w="2510" w:type="pct"/>
                  <w:tcBorders>
                    <w:tl2br w:val="nil"/>
                    <w:tr2bl w:val="nil"/>
                  </w:tcBorders>
                  <w:vAlign w:val="center"/>
                </w:tcPr>
                <w:p w14:paraId="684D7800">
                  <w:pPr>
                    <w:wordWrap w:val="0"/>
                    <w:jc w:val="center"/>
                    <w:rPr>
                      <w:rFonts w:hint="default" w:eastAsia="宋体"/>
                      <w:color w:val="auto"/>
                      <w:szCs w:val="21"/>
                      <w:lang w:val="en-US" w:eastAsia="zh-CN"/>
                    </w:rPr>
                  </w:pPr>
                  <w:r>
                    <w:rPr>
                      <w:rFonts w:hint="eastAsia"/>
                      <w:color w:val="auto"/>
                      <w:szCs w:val="21"/>
                      <w:lang w:val="en-US" w:eastAsia="zh-CN"/>
                    </w:rPr>
                    <w:t>依托出租房</w:t>
                  </w:r>
                </w:p>
              </w:tc>
            </w:tr>
            <w:tr w14:paraId="756F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92ACC3A">
                  <w:pPr>
                    <w:wordWrap w:val="0"/>
                    <w:jc w:val="center"/>
                    <w:rPr>
                      <w:color w:val="auto"/>
                      <w:szCs w:val="21"/>
                    </w:rPr>
                  </w:pPr>
                  <w:r>
                    <w:rPr>
                      <w:color w:val="auto"/>
                      <w:szCs w:val="21"/>
                    </w:rPr>
                    <w:t>3</w:t>
                  </w:r>
                </w:p>
              </w:tc>
              <w:tc>
                <w:tcPr>
                  <w:tcW w:w="815" w:type="pct"/>
                  <w:tcBorders>
                    <w:tl2br w:val="nil"/>
                    <w:tr2bl w:val="nil"/>
                  </w:tcBorders>
                  <w:vAlign w:val="center"/>
                </w:tcPr>
                <w:p w14:paraId="79E9BFC8">
                  <w:pPr>
                    <w:wordWrap w:val="0"/>
                    <w:jc w:val="center"/>
                    <w:rPr>
                      <w:color w:val="auto"/>
                      <w:szCs w:val="21"/>
                    </w:rPr>
                  </w:pPr>
                  <w:r>
                    <w:rPr>
                      <w:color w:val="auto"/>
                      <w:szCs w:val="21"/>
                    </w:rPr>
                    <w:t>噪声防治</w:t>
                  </w:r>
                </w:p>
              </w:tc>
              <w:tc>
                <w:tcPr>
                  <w:tcW w:w="1267" w:type="pct"/>
                  <w:tcBorders>
                    <w:tl2br w:val="nil"/>
                    <w:tr2bl w:val="nil"/>
                  </w:tcBorders>
                  <w:vAlign w:val="center"/>
                </w:tcPr>
                <w:p w14:paraId="176F5F75">
                  <w:pPr>
                    <w:wordWrap w:val="0"/>
                    <w:jc w:val="center"/>
                    <w:rPr>
                      <w:color w:val="auto"/>
                      <w:szCs w:val="21"/>
                    </w:rPr>
                  </w:pPr>
                  <w:r>
                    <w:rPr>
                      <w:rFonts w:hint="eastAsia"/>
                      <w:color w:val="auto"/>
                      <w:szCs w:val="21"/>
                    </w:rPr>
                    <w:t>20</w:t>
                  </w:r>
                </w:p>
              </w:tc>
              <w:tc>
                <w:tcPr>
                  <w:tcW w:w="2510" w:type="pct"/>
                  <w:tcBorders>
                    <w:tl2br w:val="nil"/>
                    <w:tr2bl w:val="nil"/>
                  </w:tcBorders>
                  <w:vAlign w:val="center"/>
                </w:tcPr>
                <w:p w14:paraId="26ADD276">
                  <w:pPr>
                    <w:wordWrap w:val="0"/>
                    <w:jc w:val="center"/>
                    <w:rPr>
                      <w:color w:val="auto"/>
                      <w:szCs w:val="21"/>
                    </w:rPr>
                  </w:pPr>
                  <w:r>
                    <w:rPr>
                      <w:rFonts w:hint="eastAsia"/>
                      <w:color w:val="auto"/>
                      <w:szCs w:val="21"/>
                    </w:rPr>
                    <w:t>车间</w:t>
                  </w:r>
                  <w:r>
                    <w:rPr>
                      <w:color w:val="auto"/>
                      <w:szCs w:val="21"/>
                    </w:rPr>
                    <w:t>隔声降噪等</w:t>
                  </w:r>
                </w:p>
              </w:tc>
            </w:tr>
            <w:tr w14:paraId="5EBD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E075A85">
                  <w:pPr>
                    <w:wordWrap w:val="0"/>
                    <w:jc w:val="center"/>
                    <w:rPr>
                      <w:color w:val="auto"/>
                      <w:szCs w:val="21"/>
                    </w:rPr>
                  </w:pPr>
                  <w:r>
                    <w:rPr>
                      <w:color w:val="auto"/>
                      <w:szCs w:val="21"/>
                    </w:rPr>
                    <w:t>4</w:t>
                  </w:r>
                </w:p>
              </w:tc>
              <w:tc>
                <w:tcPr>
                  <w:tcW w:w="815" w:type="pct"/>
                  <w:tcBorders>
                    <w:tl2br w:val="nil"/>
                    <w:tr2bl w:val="nil"/>
                  </w:tcBorders>
                  <w:vAlign w:val="center"/>
                </w:tcPr>
                <w:p w14:paraId="5B28834C">
                  <w:pPr>
                    <w:wordWrap w:val="0"/>
                    <w:jc w:val="center"/>
                    <w:rPr>
                      <w:color w:val="auto"/>
                      <w:szCs w:val="21"/>
                    </w:rPr>
                  </w:pPr>
                  <w:r>
                    <w:rPr>
                      <w:color w:val="auto"/>
                      <w:szCs w:val="21"/>
                    </w:rPr>
                    <w:t>固废防治</w:t>
                  </w:r>
                </w:p>
              </w:tc>
              <w:tc>
                <w:tcPr>
                  <w:tcW w:w="1267" w:type="pct"/>
                  <w:tcBorders>
                    <w:tl2br w:val="nil"/>
                    <w:tr2bl w:val="nil"/>
                  </w:tcBorders>
                  <w:vAlign w:val="center"/>
                </w:tcPr>
                <w:p w14:paraId="3C41D26D">
                  <w:pPr>
                    <w:wordWrap w:val="0"/>
                    <w:jc w:val="center"/>
                    <w:rPr>
                      <w:color w:val="auto"/>
                      <w:szCs w:val="21"/>
                    </w:rPr>
                  </w:pPr>
                  <w:r>
                    <w:rPr>
                      <w:rFonts w:hint="eastAsia"/>
                      <w:color w:val="auto"/>
                      <w:szCs w:val="21"/>
                    </w:rPr>
                    <w:t>25</w:t>
                  </w:r>
                </w:p>
              </w:tc>
              <w:tc>
                <w:tcPr>
                  <w:tcW w:w="2510" w:type="pct"/>
                  <w:tcBorders>
                    <w:tl2br w:val="nil"/>
                    <w:tr2bl w:val="nil"/>
                  </w:tcBorders>
                  <w:vAlign w:val="center"/>
                </w:tcPr>
                <w:p w14:paraId="443274F1">
                  <w:pPr>
                    <w:wordWrap w:val="0"/>
                    <w:jc w:val="center"/>
                    <w:rPr>
                      <w:color w:val="auto"/>
                      <w:szCs w:val="21"/>
                    </w:rPr>
                  </w:pPr>
                  <w:r>
                    <w:rPr>
                      <w:color w:val="auto"/>
                      <w:szCs w:val="21"/>
                    </w:rPr>
                    <w:t>垃圾箱、固废间、危废委托处置等</w:t>
                  </w:r>
                </w:p>
              </w:tc>
            </w:tr>
            <w:tr w14:paraId="136C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2" w:type="pct"/>
                  <w:gridSpan w:val="2"/>
                  <w:tcBorders>
                    <w:tl2br w:val="nil"/>
                    <w:tr2bl w:val="nil"/>
                  </w:tcBorders>
                  <w:vAlign w:val="center"/>
                </w:tcPr>
                <w:p w14:paraId="172CC460">
                  <w:pPr>
                    <w:wordWrap w:val="0"/>
                    <w:jc w:val="center"/>
                    <w:rPr>
                      <w:color w:val="auto"/>
                      <w:szCs w:val="21"/>
                    </w:rPr>
                  </w:pPr>
                  <w:r>
                    <w:rPr>
                      <w:color w:val="auto"/>
                      <w:szCs w:val="21"/>
                    </w:rPr>
                    <w:t>合计</w:t>
                  </w:r>
                </w:p>
              </w:tc>
              <w:tc>
                <w:tcPr>
                  <w:tcW w:w="1267" w:type="pct"/>
                  <w:tcBorders>
                    <w:tl2br w:val="nil"/>
                    <w:tr2bl w:val="nil"/>
                  </w:tcBorders>
                  <w:vAlign w:val="center"/>
                </w:tcPr>
                <w:p w14:paraId="2B764EA0">
                  <w:pPr>
                    <w:wordWrap w:val="0"/>
                    <w:jc w:val="center"/>
                    <w:rPr>
                      <w:rFonts w:hint="default" w:eastAsia="宋体"/>
                      <w:color w:val="auto"/>
                      <w:szCs w:val="21"/>
                      <w:lang w:val="en-US" w:eastAsia="zh-CN"/>
                    </w:rPr>
                  </w:pPr>
                  <w:r>
                    <w:rPr>
                      <w:rFonts w:hint="eastAsia"/>
                      <w:color w:val="auto"/>
                      <w:szCs w:val="21"/>
                      <w:lang w:val="en-US" w:eastAsia="zh-CN"/>
                    </w:rPr>
                    <w:t>105</w:t>
                  </w:r>
                </w:p>
              </w:tc>
              <w:tc>
                <w:tcPr>
                  <w:tcW w:w="2510" w:type="pct"/>
                  <w:tcBorders>
                    <w:tl2br w:val="nil"/>
                    <w:tr2bl w:val="nil"/>
                  </w:tcBorders>
                  <w:vAlign w:val="center"/>
                </w:tcPr>
                <w:p w14:paraId="74B308FE">
                  <w:pPr>
                    <w:wordWrap w:val="0"/>
                    <w:jc w:val="center"/>
                    <w:rPr>
                      <w:color w:val="auto"/>
                      <w:szCs w:val="21"/>
                    </w:rPr>
                  </w:pPr>
                  <w:r>
                    <w:rPr>
                      <w:rFonts w:hint="eastAsia"/>
                      <w:color w:val="auto"/>
                      <w:szCs w:val="21"/>
                    </w:rPr>
                    <w:t>/</w:t>
                  </w:r>
                </w:p>
              </w:tc>
            </w:tr>
          </w:tbl>
          <w:p w14:paraId="55BEDB11">
            <w:pPr>
              <w:adjustRightInd w:val="0"/>
              <w:spacing w:line="360" w:lineRule="auto"/>
              <w:ind w:firstLine="425"/>
              <w:rPr>
                <w:color w:val="auto"/>
                <w:sz w:val="24"/>
              </w:rPr>
            </w:pPr>
            <w:r>
              <w:rPr>
                <w:color w:val="auto"/>
                <w:sz w:val="24"/>
              </w:rPr>
              <w:t>根据上表所示，本项目需环保投资</w:t>
            </w:r>
            <w:r>
              <w:rPr>
                <w:rFonts w:hint="eastAsia"/>
                <w:color w:val="auto"/>
                <w:sz w:val="24"/>
                <w:lang w:val="en-US" w:eastAsia="zh-CN"/>
              </w:rPr>
              <w:t>105</w:t>
            </w:r>
            <w:r>
              <w:rPr>
                <w:color w:val="auto"/>
                <w:sz w:val="24"/>
              </w:rPr>
              <w:t>万元，</w:t>
            </w:r>
            <w:r>
              <w:rPr>
                <w:rFonts w:hint="eastAsia"/>
                <w:color w:val="auto"/>
                <w:sz w:val="24"/>
              </w:rPr>
              <w:t>项目</w:t>
            </w:r>
            <w:r>
              <w:rPr>
                <w:color w:val="auto"/>
                <w:sz w:val="24"/>
              </w:rPr>
              <w:t>总投资</w:t>
            </w:r>
            <w:r>
              <w:rPr>
                <w:rFonts w:hint="eastAsia"/>
                <w:color w:val="auto"/>
                <w:sz w:val="24"/>
              </w:rPr>
              <w:t>13000</w:t>
            </w:r>
            <w:r>
              <w:rPr>
                <w:color w:val="auto"/>
                <w:sz w:val="24"/>
              </w:rPr>
              <w:t>万元，约占项目总投资的0.</w:t>
            </w:r>
            <w:r>
              <w:rPr>
                <w:rFonts w:hint="eastAsia"/>
                <w:color w:val="auto"/>
                <w:sz w:val="24"/>
                <w:lang w:val="en-US" w:eastAsia="zh-CN"/>
              </w:rPr>
              <w:t>81</w:t>
            </w:r>
            <w:r>
              <w:rPr>
                <w:color w:val="auto"/>
                <w:sz w:val="24"/>
              </w:rPr>
              <w:t>%。</w:t>
            </w:r>
          </w:p>
        </w:tc>
      </w:tr>
    </w:tbl>
    <w:p w14:paraId="56F69BC6">
      <w:pPr>
        <w:rPr>
          <w:rFonts w:eastAsia="黑体"/>
          <w:snapToGrid w:val="0"/>
          <w:color w:val="auto"/>
          <w:sz w:val="30"/>
          <w:szCs w:val="30"/>
        </w:rPr>
      </w:pPr>
      <w:r>
        <w:rPr>
          <w:rFonts w:eastAsia="黑体"/>
          <w:snapToGrid w:val="0"/>
          <w:color w:val="auto"/>
          <w:sz w:val="30"/>
          <w:szCs w:val="30"/>
        </w:rPr>
        <w:br w:type="page"/>
      </w:r>
    </w:p>
    <w:p w14:paraId="4DC2D43E">
      <w:pPr>
        <w:pStyle w:val="82"/>
        <w:jc w:val="center"/>
        <w:outlineLvl w:val="0"/>
        <w:rPr>
          <w:rFonts w:ascii="Times New Roman" w:hAnsi="Times New Roman" w:eastAsia="黑体"/>
          <w:snapToGrid w:val="0"/>
          <w:color w:val="auto"/>
          <w:sz w:val="30"/>
          <w:szCs w:val="30"/>
        </w:rPr>
        <w:sectPr>
          <w:pgSz w:w="11907" w:h="16840"/>
          <w:pgMar w:top="2126"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6553C25">
      <w:pPr>
        <w:pStyle w:val="82"/>
        <w:spacing w:before="0" w:beforeAutospacing="0" w:after="0" w:afterAutospacing="0"/>
        <w:jc w:val="center"/>
        <w:outlineLvl w:val="0"/>
        <w:rPr>
          <w:rFonts w:ascii="Times New Roman" w:hAnsi="Times New Roman" w:eastAsia="黑体"/>
          <w:snapToGrid w:val="0"/>
          <w:color w:val="auto"/>
          <w:sz w:val="30"/>
          <w:szCs w:val="30"/>
        </w:rPr>
      </w:pPr>
      <w:bookmarkStart w:id="11" w:name="_Toc67930374"/>
      <w:r>
        <w:rPr>
          <w:rFonts w:ascii="Times New Roman" w:hAnsi="Times New Roman" w:eastAsia="黑体"/>
          <w:snapToGrid w:val="0"/>
          <w:color w:val="auto"/>
          <w:sz w:val="30"/>
          <w:szCs w:val="30"/>
        </w:rPr>
        <w:t>五、</w:t>
      </w:r>
      <w:bookmarkStart w:id="12" w:name="_Hlk54167917"/>
      <w:r>
        <w:rPr>
          <w:rFonts w:ascii="Times New Roman" w:hAnsi="Times New Roman" w:eastAsia="黑体"/>
          <w:snapToGrid w:val="0"/>
          <w:color w:val="auto"/>
          <w:sz w:val="30"/>
          <w:szCs w:val="30"/>
        </w:rPr>
        <w:t>环境保护措施监督检查清单</w:t>
      </w:r>
      <w:bookmarkEnd w:id="11"/>
      <w:bookmarkEnd w:id="12"/>
    </w:p>
    <w:tbl>
      <w:tblPr>
        <w:tblStyle w:val="88"/>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487"/>
        <w:gridCol w:w="1324"/>
        <w:gridCol w:w="2686"/>
        <w:gridCol w:w="2090"/>
      </w:tblGrid>
      <w:tr w14:paraId="6EC99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tcBorders>
              <w:tl2br w:val="single" w:color="auto" w:sz="4" w:space="0"/>
            </w:tcBorders>
          </w:tcPr>
          <w:p w14:paraId="4EF12750">
            <w:pPr>
              <w:adjustRightInd w:val="0"/>
              <w:snapToGrid w:val="0"/>
              <w:jc w:val="right"/>
              <w:rPr>
                <w:b/>
                <w:bCs/>
                <w:color w:val="auto"/>
                <w:szCs w:val="21"/>
              </w:rPr>
            </w:pPr>
            <w:r>
              <w:rPr>
                <w:b/>
                <w:bCs/>
                <w:color w:val="auto"/>
                <w:szCs w:val="21"/>
              </w:rPr>
              <w:t>内容</w:t>
            </w:r>
          </w:p>
          <w:p w14:paraId="147E1A08">
            <w:pPr>
              <w:adjustRightInd w:val="0"/>
              <w:snapToGrid w:val="0"/>
              <w:rPr>
                <w:b/>
                <w:bCs/>
                <w:color w:val="auto"/>
                <w:szCs w:val="21"/>
              </w:rPr>
            </w:pPr>
            <w:r>
              <w:rPr>
                <w:b/>
                <w:bCs/>
                <w:color w:val="auto"/>
                <w:szCs w:val="21"/>
              </w:rPr>
              <w:t>要素</w:t>
            </w:r>
          </w:p>
        </w:tc>
        <w:tc>
          <w:tcPr>
            <w:tcW w:w="821" w:type="pct"/>
            <w:vAlign w:val="center"/>
          </w:tcPr>
          <w:p w14:paraId="44B962F2">
            <w:pPr>
              <w:adjustRightInd w:val="0"/>
              <w:snapToGrid w:val="0"/>
              <w:jc w:val="center"/>
              <w:rPr>
                <w:b/>
                <w:bCs/>
                <w:color w:val="auto"/>
                <w:szCs w:val="21"/>
              </w:rPr>
            </w:pPr>
            <w:r>
              <w:rPr>
                <w:b/>
                <w:bCs/>
                <w:color w:val="auto"/>
                <w:szCs w:val="21"/>
              </w:rPr>
              <w:t>排放口（编号、</w:t>
            </w:r>
          </w:p>
          <w:p w14:paraId="1715C70B">
            <w:pPr>
              <w:adjustRightInd w:val="0"/>
              <w:snapToGrid w:val="0"/>
              <w:jc w:val="center"/>
              <w:rPr>
                <w:b/>
                <w:bCs/>
                <w:color w:val="auto"/>
                <w:szCs w:val="21"/>
              </w:rPr>
            </w:pPr>
            <w:r>
              <w:rPr>
                <w:b/>
                <w:bCs/>
                <w:color w:val="auto"/>
                <w:szCs w:val="21"/>
              </w:rPr>
              <w:t>名称）/污染源</w:t>
            </w:r>
          </w:p>
        </w:tc>
        <w:tc>
          <w:tcPr>
            <w:tcW w:w="731" w:type="pct"/>
            <w:vAlign w:val="center"/>
          </w:tcPr>
          <w:p w14:paraId="39819E67">
            <w:pPr>
              <w:adjustRightInd w:val="0"/>
              <w:snapToGrid w:val="0"/>
              <w:jc w:val="center"/>
              <w:rPr>
                <w:b/>
                <w:bCs/>
                <w:color w:val="auto"/>
                <w:szCs w:val="21"/>
              </w:rPr>
            </w:pPr>
            <w:r>
              <w:rPr>
                <w:b/>
                <w:bCs/>
                <w:color w:val="auto"/>
                <w:szCs w:val="21"/>
              </w:rPr>
              <w:t>污染物项目</w:t>
            </w:r>
          </w:p>
        </w:tc>
        <w:tc>
          <w:tcPr>
            <w:tcW w:w="1483" w:type="pct"/>
            <w:vAlign w:val="center"/>
          </w:tcPr>
          <w:p w14:paraId="3CA6B21B">
            <w:pPr>
              <w:adjustRightInd w:val="0"/>
              <w:snapToGrid w:val="0"/>
              <w:jc w:val="center"/>
              <w:rPr>
                <w:b/>
                <w:bCs/>
                <w:color w:val="auto"/>
                <w:szCs w:val="21"/>
              </w:rPr>
            </w:pPr>
            <w:r>
              <w:rPr>
                <w:b/>
                <w:bCs/>
                <w:color w:val="auto"/>
                <w:szCs w:val="21"/>
              </w:rPr>
              <w:t>环境保护措施</w:t>
            </w:r>
          </w:p>
        </w:tc>
        <w:tc>
          <w:tcPr>
            <w:tcW w:w="1153" w:type="pct"/>
            <w:vAlign w:val="center"/>
          </w:tcPr>
          <w:p w14:paraId="620B83BB">
            <w:pPr>
              <w:adjustRightInd w:val="0"/>
              <w:snapToGrid w:val="0"/>
              <w:jc w:val="center"/>
              <w:rPr>
                <w:b/>
                <w:bCs/>
                <w:color w:val="auto"/>
                <w:szCs w:val="21"/>
              </w:rPr>
            </w:pPr>
            <w:r>
              <w:rPr>
                <w:b/>
                <w:bCs/>
                <w:color w:val="auto"/>
                <w:szCs w:val="21"/>
              </w:rPr>
              <w:t>执行标准</w:t>
            </w:r>
          </w:p>
        </w:tc>
      </w:tr>
      <w:tr w14:paraId="5253F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restart"/>
            <w:vAlign w:val="center"/>
          </w:tcPr>
          <w:p w14:paraId="47141F98">
            <w:pPr>
              <w:adjustRightInd w:val="0"/>
              <w:snapToGrid w:val="0"/>
              <w:jc w:val="center"/>
              <w:rPr>
                <w:color w:val="auto"/>
                <w:szCs w:val="21"/>
              </w:rPr>
            </w:pPr>
            <w:r>
              <w:rPr>
                <w:color w:val="auto"/>
                <w:szCs w:val="21"/>
              </w:rPr>
              <w:t>大气环境</w:t>
            </w:r>
          </w:p>
        </w:tc>
        <w:tc>
          <w:tcPr>
            <w:tcW w:w="821" w:type="pct"/>
            <w:vAlign w:val="center"/>
          </w:tcPr>
          <w:p w14:paraId="6A0CE9C0">
            <w:pPr>
              <w:wordWrap w:val="0"/>
              <w:jc w:val="center"/>
              <w:rPr>
                <w:rFonts w:hint="default" w:eastAsia="宋体"/>
                <w:color w:val="auto"/>
                <w:szCs w:val="21"/>
                <w:lang w:val="en-US" w:eastAsia="zh-CN"/>
              </w:rPr>
            </w:pPr>
            <w:r>
              <w:rPr>
                <w:rFonts w:hint="eastAsia"/>
                <w:color w:val="auto"/>
                <w:szCs w:val="21"/>
                <w:lang w:val="en-US" w:eastAsia="zh-CN"/>
              </w:rPr>
              <w:t>投料、</w:t>
            </w:r>
            <w:r>
              <w:rPr>
                <w:rFonts w:hint="eastAsia"/>
                <w:color w:val="auto"/>
                <w:szCs w:val="21"/>
              </w:rPr>
              <w:t>混料废气</w:t>
            </w:r>
            <w:r>
              <w:rPr>
                <w:rFonts w:hint="eastAsia"/>
                <w:color w:val="auto"/>
                <w:szCs w:val="21"/>
                <w:lang w:eastAsia="zh-CN"/>
              </w:rPr>
              <w:t>，</w:t>
            </w:r>
            <w:r>
              <w:rPr>
                <w:rFonts w:hint="eastAsia"/>
                <w:color w:val="auto"/>
                <w:szCs w:val="21"/>
                <w:lang w:val="en-US" w:eastAsia="zh-CN"/>
              </w:rPr>
              <w:t>呼吸废气</w:t>
            </w:r>
          </w:p>
          <w:p w14:paraId="0C705B4C">
            <w:pPr>
              <w:wordWrap w:val="0"/>
              <w:jc w:val="center"/>
              <w:rPr>
                <w:color w:val="auto"/>
                <w:szCs w:val="21"/>
              </w:rPr>
            </w:pPr>
          </w:p>
        </w:tc>
        <w:tc>
          <w:tcPr>
            <w:tcW w:w="731" w:type="pct"/>
            <w:vAlign w:val="center"/>
          </w:tcPr>
          <w:p w14:paraId="4D6B1F57">
            <w:pPr>
              <w:wordWrap w:val="0"/>
              <w:adjustRightInd w:val="0"/>
              <w:snapToGrid w:val="0"/>
              <w:jc w:val="center"/>
              <w:rPr>
                <w:color w:val="auto"/>
                <w:szCs w:val="21"/>
              </w:rPr>
            </w:pPr>
            <w:r>
              <w:rPr>
                <w:rFonts w:hint="eastAsia"/>
                <w:color w:val="auto"/>
                <w:szCs w:val="21"/>
              </w:rPr>
              <w:t>颗粒物</w:t>
            </w:r>
          </w:p>
        </w:tc>
        <w:tc>
          <w:tcPr>
            <w:tcW w:w="1483" w:type="pct"/>
            <w:vAlign w:val="center"/>
          </w:tcPr>
          <w:p w14:paraId="219E374E">
            <w:pPr>
              <w:adjustRightInd w:val="0"/>
              <w:snapToGrid w:val="0"/>
              <w:rPr>
                <w:color w:val="auto"/>
                <w:szCs w:val="21"/>
              </w:rPr>
            </w:pPr>
            <w:r>
              <w:rPr>
                <w:rFonts w:hint="eastAsia"/>
                <w:color w:val="auto"/>
                <w:szCs w:val="21"/>
              </w:rPr>
              <w:t>在投料、混料区设置密闭车间，投料、混料时保持全程密闭，废气经整体微负压进行收集，收集后的废气送入布袋除尘装置处理，净化后的气体在密闭车间内循环。</w:t>
            </w:r>
          </w:p>
        </w:tc>
        <w:tc>
          <w:tcPr>
            <w:tcW w:w="1153" w:type="pct"/>
            <w:vAlign w:val="center"/>
          </w:tcPr>
          <w:p w14:paraId="4DBC77FD">
            <w:pPr>
              <w:rPr>
                <w:bCs/>
                <w:color w:val="auto"/>
                <w:szCs w:val="21"/>
              </w:rPr>
            </w:pPr>
            <w:r>
              <w:rPr>
                <w:rFonts w:hint="eastAsia"/>
                <w:bCs/>
                <w:color w:val="auto"/>
                <w:szCs w:val="21"/>
              </w:rPr>
              <w:t>《大气污染物综合排放标准》（GB16297-1996）</w:t>
            </w:r>
          </w:p>
        </w:tc>
      </w:tr>
      <w:tr w14:paraId="18391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7A558972">
            <w:pPr>
              <w:adjustRightInd w:val="0"/>
              <w:snapToGrid w:val="0"/>
              <w:jc w:val="center"/>
              <w:rPr>
                <w:color w:val="auto"/>
                <w:szCs w:val="21"/>
              </w:rPr>
            </w:pPr>
          </w:p>
        </w:tc>
        <w:tc>
          <w:tcPr>
            <w:tcW w:w="821" w:type="pct"/>
            <w:vAlign w:val="center"/>
          </w:tcPr>
          <w:p w14:paraId="3E86D9CB">
            <w:pPr>
              <w:adjustRightInd w:val="0"/>
              <w:snapToGrid w:val="0"/>
              <w:jc w:val="center"/>
              <w:rPr>
                <w:color w:val="auto"/>
                <w:kern w:val="0"/>
                <w:szCs w:val="21"/>
              </w:rPr>
            </w:pPr>
            <w:r>
              <w:rPr>
                <w:rFonts w:hint="eastAsia"/>
                <w:bCs/>
                <w:color w:val="auto"/>
                <w:szCs w:val="21"/>
              </w:rPr>
              <w:t>挤出废气</w:t>
            </w:r>
            <w:r>
              <w:rPr>
                <w:bCs/>
                <w:color w:val="auto"/>
                <w:szCs w:val="21"/>
              </w:rPr>
              <w:t>（DA00</w:t>
            </w:r>
            <w:r>
              <w:rPr>
                <w:rFonts w:hint="eastAsia"/>
                <w:bCs/>
                <w:color w:val="auto"/>
                <w:szCs w:val="21"/>
                <w:lang w:val="en-US" w:eastAsia="zh-CN"/>
              </w:rPr>
              <w:t>1</w:t>
            </w:r>
            <w:r>
              <w:rPr>
                <w:bCs/>
                <w:color w:val="auto"/>
                <w:szCs w:val="21"/>
              </w:rPr>
              <w:t>）</w:t>
            </w:r>
          </w:p>
        </w:tc>
        <w:tc>
          <w:tcPr>
            <w:tcW w:w="731" w:type="pct"/>
            <w:vAlign w:val="center"/>
          </w:tcPr>
          <w:p w14:paraId="565E127E">
            <w:pPr>
              <w:adjustRightInd w:val="0"/>
              <w:snapToGrid w:val="0"/>
              <w:jc w:val="center"/>
              <w:rPr>
                <w:color w:val="auto"/>
                <w:szCs w:val="21"/>
              </w:rPr>
            </w:pPr>
            <w:r>
              <w:rPr>
                <w:bCs/>
                <w:color w:val="auto"/>
                <w:szCs w:val="21"/>
              </w:rPr>
              <w:t>非甲烷总烃、氯化氢、氯乙烯、臭气浓度</w:t>
            </w:r>
          </w:p>
        </w:tc>
        <w:tc>
          <w:tcPr>
            <w:tcW w:w="1483" w:type="pct"/>
            <w:vAlign w:val="center"/>
          </w:tcPr>
          <w:p w14:paraId="71F84C21">
            <w:pPr>
              <w:rPr>
                <w:color w:val="auto"/>
                <w:szCs w:val="21"/>
              </w:rPr>
            </w:pPr>
            <w:r>
              <w:rPr>
                <w:rFonts w:hint="eastAsia"/>
                <w:color w:val="auto"/>
                <w:szCs w:val="21"/>
              </w:rPr>
              <w:t>经集气罩收集（集气罩下方设置软帘，形成较密闭空间）后经1套二级活性炭吸附装置处理后通过15m排气筒（DA00</w:t>
            </w:r>
            <w:r>
              <w:rPr>
                <w:rFonts w:hint="eastAsia"/>
                <w:color w:val="auto"/>
                <w:szCs w:val="21"/>
                <w:lang w:val="en-US" w:eastAsia="zh-CN"/>
              </w:rPr>
              <w:t>1</w:t>
            </w:r>
            <w:r>
              <w:rPr>
                <w:rFonts w:hint="eastAsia"/>
                <w:color w:val="auto"/>
                <w:szCs w:val="21"/>
              </w:rPr>
              <w:t>）高空排放</w:t>
            </w:r>
          </w:p>
        </w:tc>
        <w:tc>
          <w:tcPr>
            <w:tcW w:w="1153" w:type="pct"/>
            <w:vAlign w:val="center"/>
          </w:tcPr>
          <w:p w14:paraId="5D8D7E74">
            <w:pPr>
              <w:rPr>
                <w:bCs/>
                <w:color w:val="auto"/>
                <w:szCs w:val="21"/>
              </w:rPr>
            </w:pPr>
            <w:r>
              <w:rPr>
                <w:rFonts w:hint="eastAsia"/>
                <w:bCs/>
                <w:color w:val="auto"/>
                <w:szCs w:val="21"/>
              </w:rPr>
              <w:t>《大气污染物综合排放标准》（GB16297-1996）、</w:t>
            </w:r>
            <w:r>
              <w:rPr>
                <w:bCs/>
                <w:color w:val="auto"/>
                <w:szCs w:val="21"/>
              </w:rPr>
              <w:t>《恶臭污染物排放标准》（GB14554-93）中的二级标准</w:t>
            </w:r>
          </w:p>
        </w:tc>
      </w:tr>
      <w:tr w14:paraId="6BB69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61C2612D">
            <w:pPr>
              <w:adjustRightInd w:val="0"/>
              <w:snapToGrid w:val="0"/>
              <w:jc w:val="center"/>
              <w:rPr>
                <w:color w:val="auto"/>
                <w:szCs w:val="21"/>
              </w:rPr>
            </w:pPr>
            <w:r>
              <w:rPr>
                <w:color w:val="auto"/>
                <w:szCs w:val="21"/>
              </w:rPr>
              <w:t>地表水环境</w:t>
            </w:r>
          </w:p>
        </w:tc>
        <w:tc>
          <w:tcPr>
            <w:tcW w:w="821" w:type="pct"/>
            <w:vAlign w:val="center"/>
          </w:tcPr>
          <w:p w14:paraId="7916E9DD">
            <w:pPr>
              <w:adjustRightInd w:val="0"/>
              <w:snapToGrid w:val="0"/>
              <w:jc w:val="center"/>
              <w:rPr>
                <w:color w:val="auto"/>
                <w:szCs w:val="21"/>
              </w:rPr>
            </w:pPr>
            <w:r>
              <w:rPr>
                <w:bCs/>
                <w:color w:val="auto"/>
                <w:szCs w:val="21"/>
              </w:rPr>
              <w:t>生活污水</w:t>
            </w:r>
            <w:r>
              <w:rPr>
                <w:rFonts w:hint="eastAsia"/>
                <w:bCs/>
                <w:color w:val="auto"/>
                <w:szCs w:val="21"/>
              </w:rPr>
              <w:t>（DW001）</w:t>
            </w:r>
          </w:p>
        </w:tc>
        <w:tc>
          <w:tcPr>
            <w:tcW w:w="731" w:type="pct"/>
            <w:vAlign w:val="center"/>
          </w:tcPr>
          <w:p w14:paraId="7F16C069">
            <w:pPr>
              <w:jc w:val="center"/>
              <w:rPr>
                <w:color w:val="auto"/>
                <w:szCs w:val="21"/>
              </w:rPr>
            </w:pPr>
            <w:r>
              <w:rPr>
                <w:bCs/>
                <w:color w:val="auto"/>
                <w:szCs w:val="21"/>
              </w:rPr>
              <w:t>COD、氨氮</w:t>
            </w:r>
            <w:r>
              <w:rPr>
                <w:rFonts w:hint="eastAsia"/>
                <w:bCs/>
                <w:color w:val="auto"/>
                <w:szCs w:val="21"/>
              </w:rPr>
              <w:t>、SS</w:t>
            </w:r>
          </w:p>
        </w:tc>
        <w:tc>
          <w:tcPr>
            <w:tcW w:w="1483" w:type="pct"/>
            <w:vAlign w:val="center"/>
          </w:tcPr>
          <w:p w14:paraId="26E08989">
            <w:pPr>
              <w:snapToGrid w:val="0"/>
              <w:rPr>
                <w:color w:val="auto"/>
                <w:szCs w:val="21"/>
              </w:rPr>
            </w:pPr>
            <w:r>
              <w:rPr>
                <w:bCs/>
                <w:color w:val="auto"/>
                <w:szCs w:val="21"/>
              </w:rPr>
              <w:t>生活污水经园区化粪池预处理达标后纳管</w:t>
            </w:r>
          </w:p>
        </w:tc>
        <w:tc>
          <w:tcPr>
            <w:tcW w:w="1153" w:type="pct"/>
            <w:vAlign w:val="center"/>
          </w:tcPr>
          <w:p w14:paraId="0F091D52">
            <w:pPr>
              <w:adjustRightInd w:val="0"/>
              <w:snapToGrid w:val="0"/>
              <w:rPr>
                <w:color w:val="auto"/>
                <w:szCs w:val="21"/>
              </w:rPr>
            </w:pPr>
            <w:r>
              <w:rPr>
                <w:bCs/>
                <w:color w:val="auto"/>
                <w:szCs w:val="21"/>
              </w:rPr>
              <w:t>《污水综合排放标准》（GB8978-1996）、《</w:t>
            </w:r>
            <w:r>
              <w:rPr>
                <w:rFonts w:hint="eastAsia"/>
                <w:bCs/>
                <w:color w:val="auto"/>
                <w:szCs w:val="21"/>
              </w:rPr>
              <w:t>污水排入城镇下水道水质标准</w:t>
            </w:r>
            <w:r>
              <w:rPr>
                <w:bCs/>
                <w:color w:val="auto"/>
                <w:szCs w:val="21"/>
              </w:rPr>
              <w:t>》（</w:t>
            </w:r>
            <w:r>
              <w:rPr>
                <w:rFonts w:hint="eastAsia"/>
                <w:bCs/>
                <w:color w:val="auto"/>
                <w:szCs w:val="21"/>
              </w:rPr>
              <w:t>GB/T31962-2015</w:t>
            </w:r>
            <w:r>
              <w:rPr>
                <w:bCs/>
                <w:color w:val="auto"/>
                <w:szCs w:val="21"/>
              </w:rPr>
              <w:t>）</w:t>
            </w:r>
          </w:p>
        </w:tc>
      </w:tr>
      <w:tr w14:paraId="5DA39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55CDBEEA">
            <w:pPr>
              <w:adjustRightInd w:val="0"/>
              <w:snapToGrid w:val="0"/>
              <w:jc w:val="center"/>
              <w:rPr>
                <w:color w:val="auto"/>
                <w:szCs w:val="21"/>
              </w:rPr>
            </w:pPr>
            <w:r>
              <w:rPr>
                <w:color w:val="auto"/>
                <w:szCs w:val="21"/>
              </w:rPr>
              <w:t>声环境</w:t>
            </w:r>
          </w:p>
        </w:tc>
        <w:tc>
          <w:tcPr>
            <w:tcW w:w="821" w:type="pct"/>
            <w:vAlign w:val="center"/>
          </w:tcPr>
          <w:p w14:paraId="51220394">
            <w:pPr>
              <w:adjustRightInd w:val="0"/>
              <w:snapToGrid w:val="0"/>
              <w:jc w:val="center"/>
              <w:rPr>
                <w:color w:val="auto"/>
                <w:szCs w:val="21"/>
              </w:rPr>
            </w:pPr>
            <w:r>
              <w:rPr>
                <w:color w:val="auto"/>
                <w:szCs w:val="21"/>
              </w:rPr>
              <w:t>噪声</w:t>
            </w:r>
          </w:p>
        </w:tc>
        <w:tc>
          <w:tcPr>
            <w:tcW w:w="731" w:type="pct"/>
            <w:vAlign w:val="center"/>
          </w:tcPr>
          <w:p w14:paraId="20F0262D">
            <w:pPr>
              <w:adjustRightInd w:val="0"/>
              <w:snapToGrid w:val="0"/>
              <w:jc w:val="center"/>
              <w:rPr>
                <w:color w:val="auto"/>
                <w:szCs w:val="21"/>
              </w:rPr>
            </w:pPr>
            <w:r>
              <w:rPr>
                <w:color w:val="auto"/>
                <w:szCs w:val="21"/>
              </w:rPr>
              <w:t>设备噪声</w:t>
            </w:r>
          </w:p>
        </w:tc>
        <w:tc>
          <w:tcPr>
            <w:tcW w:w="1483" w:type="pct"/>
            <w:vAlign w:val="center"/>
          </w:tcPr>
          <w:p w14:paraId="37F544EB">
            <w:pPr>
              <w:adjustRightInd w:val="0"/>
              <w:snapToGrid w:val="0"/>
              <w:rPr>
                <w:color w:val="auto"/>
                <w:szCs w:val="21"/>
              </w:rPr>
            </w:pPr>
            <w:r>
              <w:rPr>
                <w:color w:val="auto"/>
                <w:szCs w:val="21"/>
              </w:rPr>
              <w:t>高噪设备加设减振垫，生产时关闭门窗；加强设备养护和保养等措施等</w:t>
            </w:r>
          </w:p>
        </w:tc>
        <w:tc>
          <w:tcPr>
            <w:tcW w:w="1153" w:type="pct"/>
            <w:vAlign w:val="center"/>
          </w:tcPr>
          <w:p w14:paraId="5761CA87">
            <w:pPr>
              <w:adjustRightInd w:val="0"/>
              <w:snapToGrid w:val="0"/>
              <w:rPr>
                <w:color w:val="auto"/>
                <w:szCs w:val="21"/>
              </w:rPr>
            </w:pPr>
            <w:r>
              <w:rPr>
                <w:color w:val="auto"/>
                <w:szCs w:val="21"/>
              </w:rPr>
              <w:t>厂界噪声达到《工业企业厂界环境噪声排放标准》（GB12348-2008）中的2类标准</w:t>
            </w:r>
          </w:p>
        </w:tc>
      </w:tr>
      <w:tr w14:paraId="1FB9A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6702A082">
            <w:pPr>
              <w:adjustRightInd w:val="0"/>
              <w:snapToGrid w:val="0"/>
              <w:jc w:val="center"/>
              <w:rPr>
                <w:color w:val="auto"/>
                <w:szCs w:val="21"/>
              </w:rPr>
            </w:pPr>
            <w:r>
              <w:rPr>
                <w:color w:val="auto"/>
                <w:szCs w:val="21"/>
              </w:rPr>
              <w:t>电磁辐射</w:t>
            </w:r>
          </w:p>
        </w:tc>
        <w:tc>
          <w:tcPr>
            <w:tcW w:w="821" w:type="pct"/>
            <w:vAlign w:val="center"/>
          </w:tcPr>
          <w:p w14:paraId="6AD4840D">
            <w:pPr>
              <w:adjustRightInd w:val="0"/>
              <w:snapToGrid w:val="0"/>
              <w:jc w:val="center"/>
              <w:rPr>
                <w:color w:val="auto"/>
                <w:szCs w:val="21"/>
              </w:rPr>
            </w:pPr>
            <w:r>
              <w:rPr>
                <w:color w:val="auto"/>
                <w:szCs w:val="21"/>
              </w:rPr>
              <w:t>/</w:t>
            </w:r>
          </w:p>
        </w:tc>
        <w:tc>
          <w:tcPr>
            <w:tcW w:w="731" w:type="pct"/>
            <w:vAlign w:val="center"/>
          </w:tcPr>
          <w:p w14:paraId="75DAC4FB">
            <w:pPr>
              <w:adjustRightInd w:val="0"/>
              <w:snapToGrid w:val="0"/>
              <w:jc w:val="center"/>
              <w:rPr>
                <w:color w:val="auto"/>
                <w:szCs w:val="21"/>
              </w:rPr>
            </w:pPr>
            <w:r>
              <w:rPr>
                <w:color w:val="auto"/>
                <w:szCs w:val="21"/>
              </w:rPr>
              <w:t>/</w:t>
            </w:r>
          </w:p>
        </w:tc>
        <w:tc>
          <w:tcPr>
            <w:tcW w:w="1483" w:type="pct"/>
            <w:vAlign w:val="center"/>
          </w:tcPr>
          <w:p w14:paraId="64C3BE81">
            <w:pPr>
              <w:adjustRightInd w:val="0"/>
              <w:snapToGrid w:val="0"/>
              <w:jc w:val="center"/>
              <w:rPr>
                <w:color w:val="auto"/>
                <w:szCs w:val="21"/>
              </w:rPr>
            </w:pPr>
            <w:r>
              <w:rPr>
                <w:color w:val="auto"/>
                <w:szCs w:val="21"/>
              </w:rPr>
              <w:t>/</w:t>
            </w:r>
          </w:p>
        </w:tc>
        <w:tc>
          <w:tcPr>
            <w:tcW w:w="1153" w:type="pct"/>
            <w:vAlign w:val="center"/>
          </w:tcPr>
          <w:p w14:paraId="4470354D">
            <w:pPr>
              <w:adjustRightInd w:val="0"/>
              <w:snapToGrid w:val="0"/>
              <w:jc w:val="center"/>
              <w:rPr>
                <w:color w:val="auto"/>
                <w:szCs w:val="21"/>
              </w:rPr>
            </w:pPr>
            <w:r>
              <w:rPr>
                <w:color w:val="auto"/>
                <w:szCs w:val="21"/>
              </w:rPr>
              <w:t>/</w:t>
            </w:r>
          </w:p>
        </w:tc>
      </w:tr>
      <w:tr w14:paraId="1DE57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restart"/>
            <w:vAlign w:val="center"/>
          </w:tcPr>
          <w:p w14:paraId="31562154">
            <w:pPr>
              <w:adjustRightInd w:val="0"/>
              <w:snapToGrid w:val="0"/>
              <w:jc w:val="center"/>
              <w:rPr>
                <w:color w:val="auto"/>
                <w:szCs w:val="21"/>
              </w:rPr>
            </w:pPr>
            <w:r>
              <w:rPr>
                <w:color w:val="auto"/>
                <w:szCs w:val="21"/>
              </w:rPr>
              <w:t>固体废物</w:t>
            </w:r>
          </w:p>
        </w:tc>
        <w:tc>
          <w:tcPr>
            <w:tcW w:w="821" w:type="pct"/>
            <w:vMerge w:val="restart"/>
            <w:vAlign w:val="center"/>
          </w:tcPr>
          <w:p w14:paraId="504964BD">
            <w:pPr>
              <w:adjustRightInd w:val="0"/>
              <w:snapToGrid w:val="0"/>
              <w:jc w:val="center"/>
              <w:rPr>
                <w:color w:val="auto"/>
                <w:szCs w:val="21"/>
              </w:rPr>
            </w:pPr>
            <w:r>
              <w:rPr>
                <w:color w:val="auto"/>
                <w:kern w:val="0"/>
                <w:szCs w:val="21"/>
              </w:rPr>
              <w:t>一般固废</w:t>
            </w:r>
          </w:p>
        </w:tc>
        <w:tc>
          <w:tcPr>
            <w:tcW w:w="731" w:type="pct"/>
            <w:vAlign w:val="center"/>
          </w:tcPr>
          <w:p w14:paraId="2AAA7C9B">
            <w:pPr>
              <w:adjustRightInd w:val="0"/>
              <w:snapToGrid w:val="0"/>
              <w:jc w:val="center"/>
              <w:rPr>
                <w:color w:val="auto"/>
                <w:szCs w:val="21"/>
              </w:rPr>
            </w:pPr>
            <w:r>
              <w:rPr>
                <w:rFonts w:hint="eastAsia"/>
                <w:color w:val="auto"/>
                <w:szCs w:val="21"/>
              </w:rPr>
              <w:t>一般固废</w:t>
            </w:r>
          </w:p>
        </w:tc>
        <w:tc>
          <w:tcPr>
            <w:tcW w:w="1483" w:type="pct"/>
            <w:vAlign w:val="center"/>
          </w:tcPr>
          <w:p w14:paraId="697B06E5">
            <w:pPr>
              <w:adjustRightInd w:val="0"/>
              <w:snapToGrid w:val="0"/>
              <w:rPr>
                <w:color w:val="auto"/>
                <w:szCs w:val="21"/>
              </w:rPr>
            </w:pPr>
            <w:r>
              <w:rPr>
                <w:rFonts w:hint="eastAsia"/>
                <w:color w:val="auto"/>
                <w:szCs w:val="21"/>
              </w:rPr>
              <w:t>收集粉尘回用于生产，边角料、不合格品</w:t>
            </w:r>
            <w:r>
              <w:rPr>
                <w:rFonts w:hint="eastAsia"/>
                <w:color w:val="auto"/>
                <w:szCs w:val="21"/>
                <w:lang w:eastAsia="zh-CN"/>
              </w:rPr>
              <w:t>、</w:t>
            </w:r>
            <w:r>
              <w:rPr>
                <w:rFonts w:hint="eastAsia"/>
                <w:color w:val="auto"/>
                <w:szCs w:val="21"/>
              </w:rPr>
              <w:t>一般废包装材料出售给回收公司综合利用。</w:t>
            </w:r>
          </w:p>
        </w:tc>
        <w:tc>
          <w:tcPr>
            <w:tcW w:w="1153" w:type="pct"/>
            <w:vAlign w:val="center"/>
          </w:tcPr>
          <w:p w14:paraId="2FC46F10">
            <w:pPr>
              <w:adjustRightInd w:val="0"/>
              <w:snapToGrid w:val="0"/>
              <w:rPr>
                <w:color w:val="auto"/>
                <w:szCs w:val="21"/>
              </w:rPr>
            </w:pPr>
            <w:r>
              <w:rPr>
                <w:color w:val="auto"/>
                <w:szCs w:val="21"/>
              </w:rPr>
              <w:t>应满足《一般工业固体废物贮存和填埋污染控制标准》（GB18599-2020）防渗漏、防雨淋、防扬尘等环境保护要求</w:t>
            </w:r>
          </w:p>
        </w:tc>
      </w:tr>
      <w:tr w14:paraId="5C858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068EF804">
            <w:pPr>
              <w:adjustRightInd w:val="0"/>
              <w:snapToGrid w:val="0"/>
              <w:jc w:val="center"/>
              <w:rPr>
                <w:color w:val="auto"/>
                <w:szCs w:val="21"/>
              </w:rPr>
            </w:pPr>
          </w:p>
        </w:tc>
        <w:tc>
          <w:tcPr>
            <w:tcW w:w="821" w:type="pct"/>
            <w:vMerge w:val="continue"/>
            <w:vAlign w:val="center"/>
          </w:tcPr>
          <w:p w14:paraId="35CD545F">
            <w:pPr>
              <w:adjustRightInd w:val="0"/>
              <w:snapToGrid w:val="0"/>
              <w:jc w:val="center"/>
              <w:rPr>
                <w:color w:val="auto"/>
                <w:szCs w:val="21"/>
              </w:rPr>
            </w:pPr>
          </w:p>
        </w:tc>
        <w:tc>
          <w:tcPr>
            <w:tcW w:w="731" w:type="pct"/>
            <w:vAlign w:val="center"/>
          </w:tcPr>
          <w:p w14:paraId="212A8CB7">
            <w:pPr>
              <w:adjustRightInd w:val="0"/>
              <w:snapToGrid w:val="0"/>
              <w:jc w:val="center"/>
              <w:rPr>
                <w:color w:val="auto"/>
                <w:szCs w:val="21"/>
              </w:rPr>
            </w:pPr>
            <w:r>
              <w:rPr>
                <w:color w:val="auto"/>
                <w:szCs w:val="21"/>
              </w:rPr>
              <w:t>生活垃圾</w:t>
            </w:r>
          </w:p>
        </w:tc>
        <w:tc>
          <w:tcPr>
            <w:tcW w:w="1483" w:type="pct"/>
            <w:vAlign w:val="center"/>
          </w:tcPr>
          <w:p w14:paraId="786517E7">
            <w:pPr>
              <w:adjustRightInd w:val="0"/>
              <w:snapToGrid w:val="0"/>
              <w:jc w:val="center"/>
              <w:rPr>
                <w:color w:val="auto"/>
                <w:szCs w:val="21"/>
              </w:rPr>
            </w:pPr>
            <w:r>
              <w:rPr>
                <w:color w:val="auto"/>
                <w:kern w:val="0"/>
                <w:szCs w:val="21"/>
              </w:rPr>
              <w:t>委托环卫部门处置</w:t>
            </w:r>
          </w:p>
        </w:tc>
        <w:tc>
          <w:tcPr>
            <w:tcW w:w="1153" w:type="pct"/>
            <w:vAlign w:val="center"/>
          </w:tcPr>
          <w:p w14:paraId="5952E770">
            <w:pPr>
              <w:adjustRightInd w:val="0"/>
              <w:snapToGrid w:val="0"/>
              <w:jc w:val="center"/>
              <w:rPr>
                <w:color w:val="auto"/>
                <w:szCs w:val="21"/>
              </w:rPr>
            </w:pPr>
            <w:r>
              <w:rPr>
                <w:color w:val="auto"/>
                <w:szCs w:val="21"/>
              </w:rPr>
              <w:t>《湖州市生活垃圾分类实施方案》</w:t>
            </w:r>
          </w:p>
        </w:tc>
      </w:tr>
      <w:tr w14:paraId="17C36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Merge w:val="continue"/>
            <w:vAlign w:val="center"/>
          </w:tcPr>
          <w:p w14:paraId="0A204AE4">
            <w:pPr>
              <w:adjustRightInd w:val="0"/>
              <w:snapToGrid w:val="0"/>
              <w:jc w:val="center"/>
              <w:rPr>
                <w:color w:val="auto"/>
                <w:szCs w:val="21"/>
              </w:rPr>
            </w:pPr>
          </w:p>
        </w:tc>
        <w:tc>
          <w:tcPr>
            <w:tcW w:w="821" w:type="pct"/>
            <w:vAlign w:val="center"/>
          </w:tcPr>
          <w:p w14:paraId="13E5CB3F">
            <w:pPr>
              <w:adjustRightInd w:val="0"/>
              <w:snapToGrid w:val="0"/>
              <w:jc w:val="center"/>
              <w:rPr>
                <w:color w:val="auto"/>
                <w:szCs w:val="21"/>
              </w:rPr>
            </w:pPr>
            <w:r>
              <w:rPr>
                <w:color w:val="auto"/>
                <w:kern w:val="0"/>
                <w:szCs w:val="21"/>
              </w:rPr>
              <w:t>危险废物</w:t>
            </w:r>
          </w:p>
        </w:tc>
        <w:tc>
          <w:tcPr>
            <w:tcW w:w="731" w:type="pct"/>
            <w:vAlign w:val="center"/>
          </w:tcPr>
          <w:p w14:paraId="71B2EF20">
            <w:pPr>
              <w:adjustRightInd w:val="0"/>
              <w:snapToGrid w:val="0"/>
              <w:jc w:val="center"/>
              <w:rPr>
                <w:color w:val="auto"/>
                <w:szCs w:val="21"/>
              </w:rPr>
            </w:pPr>
            <w:r>
              <w:rPr>
                <w:rFonts w:hint="eastAsia"/>
                <w:color w:val="auto"/>
                <w:szCs w:val="21"/>
              </w:rPr>
              <w:t>危废</w:t>
            </w:r>
          </w:p>
        </w:tc>
        <w:tc>
          <w:tcPr>
            <w:tcW w:w="1483" w:type="pct"/>
            <w:vAlign w:val="center"/>
          </w:tcPr>
          <w:p w14:paraId="788C8426">
            <w:pPr>
              <w:adjustRightInd w:val="0"/>
              <w:snapToGrid w:val="0"/>
              <w:rPr>
                <w:color w:val="auto"/>
                <w:kern w:val="0"/>
                <w:szCs w:val="21"/>
              </w:rPr>
            </w:pPr>
            <w:r>
              <w:rPr>
                <w:rFonts w:hint="eastAsia"/>
                <w:color w:val="auto"/>
                <w:szCs w:val="21"/>
              </w:rPr>
              <w:t>废</w:t>
            </w:r>
            <w:r>
              <w:rPr>
                <w:rFonts w:hint="eastAsia"/>
                <w:color w:val="auto"/>
                <w:szCs w:val="21"/>
                <w:lang w:val="en-US" w:eastAsia="zh-CN"/>
              </w:rPr>
              <w:t>液压油</w:t>
            </w:r>
            <w:r>
              <w:rPr>
                <w:rFonts w:hint="eastAsia"/>
                <w:color w:val="auto"/>
                <w:szCs w:val="21"/>
              </w:rPr>
              <w:t>、废包装桶、废活性炭、含油废劳保集中收集后委托有资质单位处置</w:t>
            </w:r>
          </w:p>
        </w:tc>
        <w:tc>
          <w:tcPr>
            <w:tcW w:w="1153" w:type="pct"/>
            <w:vAlign w:val="center"/>
          </w:tcPr>
          <w:p w14:paraId="41B6AACD">
            <w:pPr>
              <w:adjustRightInd w:val="0"/>
              <w:snapToGrid w:val="0"/>
              <w:rPr>
                <w:color w:val="auto"/>
                <w:kern w:val="0"/>
                <w:szCs w:val="21"/>
              </w:rPr>
            </w:pPr>
            <w:r>
              <w:rPr>
                <w:color w:val="auto"/>
                <w:kern w:val="0"/>
                <w:szCs w:val="21"/>
                <w:lang w:val="zh-CN"/>
              </w:rPr>
              <w:t>《中华人民共和国固体废物污染环境防治法》、《危险废物贮存污染控制标准》（GB18597-2023）中有关危险废物的管理条款</w:t>
            </w:r>
          </w:p>
        </w:tc>
      </w:tr>
      <w:tr w14:paraId="5FFEC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3DE7B751">
            <w:pPr>
              <w:adjustRightInd w:val="0"/>
              <w:snapToGrid w:val="0"/>
              <w:jc w:val="center"/>
              <w:rPr>
                <w:color w:val="auto"/>
                <w:szCs w:val="21"/>
              </w:rPr>
            </w:pPr>
            <w:r>
              <w:rPr>
                <w:color w:val="auto"/>
                <w:szCs w:val="21"/>
              </w:rPr>
              <w:t>土壤及地下水污染防治措施</w:t>
            </w:r>
          </w:p>
        </w:tc>
        <w:tc>
          <w:tcPr>
            <w:tcW w:w="4189" w:type="pct"/>
            <w:gridSpan w:val="4"/>
            <w:vAlign w:val="center"/>
          </w:tcPr>
          <w:p w14:paraId="7D708081">
            <w:pPr>
              <w:adjustRightInd w:val="0"/>
              <w:snapToGrid w:val="0"/>
              <w:rPr>
                <w:color w:val="auto"/>
                <w:szCs w:val="21"/>
              </w:rPr>
            </w:pPr>
            <w:r>
              <w:rPr>
                <w:color w:val="auto"/>
                <w:szCs w:val="21"/>
              </w:rPr>
              <w:t>从原料和产品储存、生产过程、污染处理等全过程控制各种有毒有害原辅材料、中间材料泄漏（含跑、冒、滴、漏），同时对有害物质可能泄漏到地面的区域采取防渗措施，阻止其渗入地下水中，即从源头到末端全方位采取控制措施。</w:t>
            </w:r>
          </w:p>
        </w:tc>
      </w:tr>
      <w:tr w14:paraId="2D266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4CEAAE3D">
            <w:pPr>
              <w:adjustRightInd w:val="0"/>
              <w:snapToGrid w:val="0"/>
              <w:jc w:val="center"/>
              <w:rPr>
                <w:color w:val="auto"/>
                <w:szCs w:val="21"/>
              </w:rPr>
            </w:pPr>
            <w:r>
              <w:rPr>
                <w:rFonts w:hint="eastAsia"/>
                <w:color w:val="auto"/>
                <w:szCs w:val="21"/>
              </w:rPr>
              <w:t>生态保护措施</w:t>
            </w:r>
          </w:p>
        </w:tc>
        <w:tc>
          <w:tcPr>
            <w:tcW w:w="4189" w:type="pct"/>
            <w:gridSpan w:val="4"/>
            <w:vAlign w:val="center"/>
          </w:tcPr>
          <w:p w14:paraId="622B2B3B">
            <w:pPr>
              <w:adjustRightInd w:val="0"/>
              <w:snapToGrid w:val="0"/>
              <w:jc w:val="center"/>
              <w:rPr>
                <w:color w:val="auto"/>
                <w:szCs w:val="21"/>
              </w:rPr>
            </w:pPr>
            <w:r>
              <w:rPr>
                <w:rFonts w:hint="eastAsia"/>
                <w:color w:val="auto"/>
                <w:szCs w:val="21"/>
              </w:rPr>
              <w:t>无</w:t>
            </w:r>
          </w:p>
        </w:tc>
      </w:tr>
      <w:tr w14:paraId="20035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34F5FBAB">
            <w:pPr>
              <w:adjustRightInd w:val="0"/>
              <w:snapToGrid w:val="0"/>
              <w:jc w:val="center"/>
              <w:rPr>
                <w:color w:val="auto"/>
                <w:spacing w:val="-8"/>
                <w:szCs w:val="21"/>
              </w:rPr>
            </w:pPr>
            <w:r>
              <w:rPr>
                <w:color w:val="auto"/>
                <w:spacing w:val="-8"/>
                <w:szCs w:val="21"/>
              </w:rPr>
              <w:t>环境风险防范措施</w:t>
            </w:r>
          </w:p>
        </w:tc>
        <w:tc>
          <w:tcPr>
            <w:tcW w:w="4189" w:type="pct"/>
            <w:gridSpan w:val="4"/>
            <w:vAlign w:val="center"/>
          </w:tcPr>
          <w:p w14:paraId="5BC497E0">
            <w:pPr>
              <w:adjustRightInd w:val="0"/>
              <w:snapToGrid w:val="0"/>
              <w:rPr>
                <w:color w:val="auto"/>
                <w:szCs w:val="21"/>
              </w:rPr>
            </w:pPr>
            <w:r>
              <w:rPr>
                <w:color w:val="auto"/>
                <w:szCs w:val="21"/>
              </w:rPr>
              <w:t>地面进行防渗处理，安排专人巡查，设置灭火器、消防沙等应急物资。加强废气处理设施和各类生产设备的检修及保养，提高管理人员素质，并设置事故应急措施及管理制度，确保设备长期处于良好状态，使设备达到预期的处理效果。</w:t>
            </w:r>
          </w:p>
        </w:tc>
      </w:tr>
      <w:tr w14:paraId="78D19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0" w:type="pct"/>
            <w:vAlign w:val="center"/>
          </w:tcPr>
          <w:p w14:paraId="3ACE84F4">
            <w:pPr>
              <w:adjustRightInd w:val="0"/>
              <w:snapToGrid w:val="0"/>
              <w:jc w:val="center"/>
              <w:rPr>
                <w:color w:val="auto"/>
                <w:spacing w:val="-8"/>
                <w:szCs w:val="21"/>
              </w:rPr>
            </w:pPr>
            <w:r>
              <w:rPr>
                <w:color w:val="auto"/>
                <w:spacing w:val="-8"/>
                <w:szCs w:val="21"/>
              </w:rPr>
              <w:t>其他环境管理要求</w:t>
            </w:r>
          </w:p>
        </w:tc>
        <w:tc>
          <w:tcPr>
            <w:tcW w:w="4189" w:type="pct"/>
            <w:gridSpan w:val="4"/>
            <w:vAlign w:val="center"/>
          </w:tcPr>
          <w:p w14:paraId="1FCF4A2D">
            <w:pPr>
              <w:adjustRightInd w:val="0"/>
              <w:snapToGrid w:val="0"/>
              <w:rPr>
                <w:color w:val="auto"/>
              </w:rPr>
            </w:pPr>
            <w:r>
              <w:rPr>
                <w:rFonts w:hint="eastAsia"/>
                <w:color w:val="auto"/>
              </w:rPr>
              <w:t>（1）严格执行“三同时”的管理条例。在项目筹备、实施、建设阶段，严格执行建设项目环境影响评价的制度，并将继续按照国家法律法规要求，严格执行“三同时”，确保污染处理设施能够和生产工艺“同时设计”，和项目主体工程“同时施工”，做到与项目生产“同时验收运行”。</w:t>
            </w:r>
          </w:p>
          <w:p w14:paraId="6E5D6966">
            <w:pPr>
              <w:adjustRightInd w:val="0"/>
              <w:snapToGrid w:val="0"/>
              <w:rPr>
                <w:color w:val="auto"/>
              </w:rPr>
            </w:pPr>
            <w:r>
              <w:rPr>
                <w:rFonts w:hint="eastAsia"/>
                <w:color w:val="auto"/>
              </w:rPr>
              <w:t>（2）排污许可制度。根据《国务院办公厅关于印发控制污染物排放许可制实施方案的通知》（国办发[2016]81号）等文件的要求，需根据《排污许可证申请与核发技术规范总则》（HJ942-2018）申领排污许可证，并应按照排污许可证中的相关许可内容进行排污，具体要求如下：</w:t>
            </w:r>
          </w:p>
          <w:p w14:paraId="10A17215">
            <w:pPr>
              <w:adjustRightInd w:val="0"/>
              <w:snapToGrid w:val="0"/>
              <w:rPr>
                <w:color w:val="auto"/>
              </w:rPr>
            </w:pPr>
            <w:r>
              <w:rPr>
                <w:rFonts w:hint="eastAsia"/>
                <w:color w:val="auto"/>
              </w:rPr>
              <w:t>a）排污口位置和数量、排放方式、排放去向、排放污染物种类、排放浓度和排放量、执行的排放标准等符合排污许可证的规定，不得私设暗管或以其他方式逃避监管。</w:t>
            </w:r>
          </w:p>
          <w:p w14:paraId="1CA24535">
            <w:pPr>
              <w:adjustRightInd w:val="0"/>
              <w:snapToGrid w:val="0"/>
              <w:rPr>
                <w:color w:val="auto"/>
              </w:rPr>
            </w:pPr>
            <w:r>
              <w:rPr>
                <w:rFonts w:hint="eastAsia"/>
                <w:color w:val="auto"/>
              </w:rPr>
              <w:t>b）按排污许可证规定的监测点位、监测因子、监测频次和相关监测技术规范开展自行监测并公开。</w:t>
            </w:r>
          </w:p>
          <w:p w14:paraId="1845B0DD">
            <w:pPr>
              <w:adjustRightInd w:val="0"/>
              <w:snapToGrid w:val="0"/>
              <w:rPr>
                <w:color w:val="auto"/>
              </w:rPr>
            </w:pPr>
            <w:r>
              <w:rPr>
                <w:rFonts w:hint="eastAsia"/>
                <w:color w:val="auto"/>
              </w:rPr>
              <w:t>c）按规范进行台账记录，主要内容包括生产信息、原辅材料使用情况、污染防治设施运行记录、监测数据等。</w:t>
            </w:r>
          </w:p>
          <w:p w14:paraId="449EC103">
            <w:pPr>
              <w:adjustRightInd w:val="0"/>
              <w:snapToGrid w:val="0"/>
              <w:rPr>
                <w:color w:val="auto"/>
              </w:rPr>
            </w:pPr>
            <w:r>
              <w:rPr>
                <w:rFonts w:hint="eastAsia"/>
                <w:color w:val="auto"/>
              </w:rPr>
              <w:t>d）按排污许可证规定，定期在国家排污许可证管理信息平台填报信息，编制排污许可证执行报告，及时报送有核发权的生态环境主管部门并公开，执行报告主要内容包括生产信息、污染防治设施运行情况、污染物按证排放情况等。</w:t>
            </w:r>
          </w:p>
          <w:p w14:paraId="195F68CF">
            <w:pPr>
              <w:adjustRightInd w:val="0"/>
              <w:snapToGrid w:val="0"/>
              <w:rPr>
                <w:color w:val="auto"/>
              </w:rPr>
            </w:pPr>
            <w:r>
              <w:rPr>
                <w:rFonts w:hint="eastAsia"/>
                <w:color w:val="auto"/>
              </w:rPr>
              <w:t>（3）严格实行监测和坚决做到达标排放。定期监测，确保废水、废气稳定达标排放。</w:t>
            </w:r>
          </w:p>
          <w:p w14:paraId="7C448312">
            <w:pPr>
              <w:adjustRightInd w:val="0"/>
              <w:snapToGrid w:val="0"/>
              <w:rPr>
                <w:color w:val="auto"/>
              </w:rPr>
            </w:pPr>
            <w:r>
              <w:rPr>
                <w:rFonts w:hint="eastAsia"/>
                <w:color w:val="auto"/>
              </w:rPr>
              <w:t>（4）健全污染处理设施管理制度。保证处理设施能够长期、稳定、有效地进行处理运行。净化设施的操作管理与生产经营活动一起纳入日常管理工作的范畴，落实责任人、操作人员、维修人员、运行经费、设备的备品备件和其他原辅材料。制定各级岗位责任制，编制操作规程，建立管理台账。</w:t>
            </w:r>
          </w:p>
          <w:p w14:paraId="6B653A61">
            <w:pPr>
              <w:adjustRightInd w:val="0"/>
              <w:snapToGrid w:val="0"/>
              <w:rPr>
                <w:color w:val="auto"/>
              </w:rPr>
            </w:pPr>
            <w:r>
              <w:rPr>
                <w:rFonts w:hint="eastAsia"/>
                <w:color w:val="auto"/>
              </w:rPr>
              <w:t>（5）建立企业环境监督员制度，实行职业资格管理，定期参加专业技能培训。</w:t>
            </w:r>
          </w:p>
          <w:p w14:paraId="257D8A5C">
            <w:pPr>
              <w:adjustRightInd w:val="0"/>
              <w:snapToGrid w:val="0"/>
              <w:rPr>
                <w:color w:val="auto"/>
              </w:rPr>
            </w:pPr>
            <w:r>
              <w:rPr>
                <w:rFonts w:hint="eastAsia"/>
                <w:color w:val="auto"/>
              </w:rPr>
              <w:t>（6）竣工环境保护验收。根据《建设项目环境保护管理条例》和《建设项目竣工环境保护验收暂行办法》，本项目建设完成后需由企业组织对配套建设的环保设施进行自主验收，编制验收报告，公开相关信息，接受社会监督，确保建设项目需要配套建设的环保设施与主体工程同时投产或者使用，并对验收内容、结论和所公开信息的真实性、准确性和完整性负责，不得在验收过程中弄虚作假。</w:t>
            </w:r>
          </w:p>
          <w:p w14:paraId="5C31AD48">
            <w:pPr>
              <w:adjustRightInd w:val="0"/>
              <w:snapToGrid w:val="0"/>
              <w:rPr>
                <w:color w:val="auto"/>
                <w:szCs w:val="21"/>
              </w:rPr>
            </w:pPr>
            <w:r>
              <w:rPr>
                <w:rFonts w:hint="eastAsia"/>
                <w:color w:val="auto"/>
              </w:rPr>
              <w:t>（7）根据建设项目环境影响评价信息公开相关法律法规要求，公司将进行报批前信息公开。</w:t>
            </w:r>
          </w:p>
        </w:tc>
      </w:tr>
    </w:tbl>
    <w:p w14:paraId="1B838878">
      <w:pPr>
        <w:pStyle w:val="8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13" w:name="_Toc67930375"/>
      <w:r>
        <w:rPr>
          <w:rFonts w:ascii="Times New Roman" w:hAnsi="Times New Roman" w:eastAsia="黑体"/>
          <w:snapToGrid w:val="0"/>
          <w:color w:val="auto"/>
          <w:sz w:val="30"/>
          <w:szCs w:val="30"/>
        </w:rPr>
        <w:t>六、结论</w:t>
      </w:r>
      <w:bookmarkEnd w:id="13"/>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9498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1" w:hRule="atLeast"/>
          <w:jc w:val="center"/>
        </w:trPr>
        <w:tc>
          <w:tcPr>
            <w:tcW w:w="8865" w:type="dxa"/>
          </w:tcPr>
          <w:p w14:paraId="20172D1A">
            <w:pPr>
              <w:pStyle w:val="21"/>
              <w:spacing w:line="520" w:lineRule="exact"/>
              <w:ind w:firstLine="425" w:firstLineChars="0"/>
              <w:rPr>
                <w:color w:val="auto"/>
                <w:sz w:val="24"/>
              </w:rPr>
            </w:pPr>
            <w:r>
              <w:rPr>
                <w:color w:val="auto"/>
                <w:sz w:val="24"/>
              </w:rPr>
              <w:t>综上所述，裕达新材料年产</w:t>
            </w:r>
            <w:r>
              <w:rPr>
                <w:rFonts w:hint="eastAsia"/>
                <w:color w:val="auto"/>
                <w:sz w:val="24"/>
                <w:lang w:val="en-US" w:eastAsia="zh-CN"/>
              </w:rPr>
              <w:t>10</w:t>
            </w:r>
            <w:r>
              <w:rPr>
                <w:color w:val="auto"/>
                <w:sz w:val="24"/>
              </w:rPr>
              <w:t>万套木塑门、</w:t>
            </w:r>
            <w:r>
              <w:rPr>
                <w:rFonts w:hint="eastAsia"/>
                <w:color w:val="auto"/>
                <w:sz w:val="24"/>
                <w:lang w:val="en-US" w:eastAsia="zh-CN"/>
              </w:rPr>
              <w:t>200</w:t>
            </w:r>
            <w:r>
              <w:rPr>
                <w:color w:val="auto"/>
                <w:sz w:val="24"/>
              </w:rPr>
              <w:t>万米木塑线条项目符合当地总体规划和土地利用规划，符合国家和地方产业政策，符合生态环境分区管控动态更新方案相关要求，项目选址和总体布局合理；污染物排放符合国家和地方污染排放标准和总量控制要求；项目建成后能够维持当地环境质量，符合功能区要求，并具有明显的社会、经济、环境综合效益，符合建设项目环保审批原则。</w:t>
            </w:r>
          </w:p>
          <w:p w14:paraId="3429F931">
            <w:pPr>
              <w:pStyle w:val="21"/>
              <w:spacing w:line="520" w:lineRule="exact"/>
              <w:ind w:firstLine="425" w:firstLineChars="0"/>
              <w:rPr>
                <w:color w:val="auto"/>
                <w:sz w:val="24"/>
              </w:rPr>
            </w:pPr>
            <w:r>
              <w:rPr>
                <w:color w:val="auto"/>
                <w:sz w:val="24"/>
              </w:rPr>
              <w:t>建设单位应严格执行国家有关的环境保护法规，切实执行本评价提出的各项环境保护措施，实施清洁生产，严格执行“三同时”，把工程对环境的影响降到最低程度。则从环保角度分析，项目的建设是可行的。</w:t>
            </w:r>
          </w:p>
        </w:tc>
      </w:tr>
    </w:tbl>
    <w:p w14:paraId="2620DA91">
      <w:pPr>
        <w:pStyle w:val="109"/>
        <w:spacing w:beforeLines="0" w:afterLines="0"/>
        <w:jc w:val="left"/>
        <w:rPr>
          <w:rFonts w:ascii="Times New Roman"/>
          <w:color w:val="auto"/>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56DB8E0">
      <w:pPr>
        <w:pStyle w:val="82"/>
        <w:adjustRightInd w:val="0"/>
        <w:snapToGrid w:val="0"/>
        <w:spacing w:before="0" w:beforeAutospacing="0" w:after="0" w:afterAutospacing="0"/>
        <w:outlineLvl w:val="0"/>
        <w:rPr>
          <w:rFonts w:ascii="Times New Roman" w:hAnsi="Times New Roman"/>
          <w:b/>
          <w:bCs/>
          <w:snapToGrid w:val="0"/>
          <w:color w:val="auto"/>
          <w:sz w:val="32"/>
          <w:szCs w:val="32"/>
        </w:rPr>
      </w:pPr>
      <w:bookmarkStart w:id="14" w:name="_Toc67319961"/>
      <w:bookmarkStart w:id="15" w:name="_Toc15331"/>
      <w:r>
        <w:rPr>
          <w:rFonts w:ascii="Times New Roman" w:hAnsi="Times New Roman"/>
          <w:b/>
          <w:bCs/>
          <w:snapToGrid w:val="0"/>
          <w:color w:val="auto"/>
          <w:sz w:val="32"/>
          <w:szCs w:val="32"/>
        </w:rPr>
        <w:t>附表</w:t>
      </w:r>
      <w:bookmarkEnd w:id="14"/>
      <w:bookmarkEnd w:id="15"/>
    </w:p>
    <w:p w14:paraId="6D5A5F29">
      <w:pPr>
        <w:pStyle w:val="82"/>
        <w:adjustRightInd w:val="0"/>
        <w:snapToGrid w:val="0"/>
        <w:spacing w:before="0" w:beforeAutospacing="0" w:after="0" w:afterAutospacing="0" w:line="360" w:lineRule="auto"/>
        <w:jc w:val="center"/>
        <w:rPr>
          <w:rFonts w:ascii="Times New Roman" w:hAnsi="Times New Roman"/>
          <w:b/>
          <w:bCs/>
          <w:snapToGrid w:val="0"/>
          <w:color w:val="auto"/>
          <w:sz w:val="38"/>
          <w:szCs w:val="38"/>
        </w:rPr>
      </w:pPr>
      <w:r>
        <w:rPr>
          <w:rFonts w:ascii="Times New Roman" w:hAnsi="Times New Roman"/>
          <w:b/>
          <w:bCs/>
          <w:snapToGrid w:val="0"/>
          <w:color w:val="auto"/>
          <w:sz w:val="38"/>
          <w:szCs w:val="38"/>
        </w:rPr>
        <w:t>建设项目污染物排放量汇总表</w:t>
      </w:r>
      <w:r>
        <w:rPr>
          <w:rFonts w:hint="eastAsia" w:ascii="Times New Roman" w:hAnsi="Times New Roman"/>
          <w:b/>
          <w:bCs/>
          <w:snapToGrid w:val="0"/>
          <w:color w:val="auto"/>
          <w:sz w:val="38"/>
          <w:szCs w:val="38"/>
        </w:rPr>
        <w:t xml:space="preserve">   单位：t/a（废水量为万t/a）</w:t>
      </w:r>
    </w:p>
    <w:tbl>
      <w:tblPr>
        <w:tblStyle w:val="8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619"/>
        <w:gridCol w:w="1789"/>
        <w:gridCol w:w="1188"/>
        <w:gridCol w:w="1776"/>
        <w:gridCol w:w="1484"/>
        <w:gridCol w:w="1761"/>
        <w:gridCol w:w="1707"/>
        <w:gridCol w:w="1078"/>
      </w:tblGrid>
      <w:tr w14:paraId="269FF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86" w:type="dxa"/>
            <w:tcBorders>
              <w:tl2br w:val="single" w:color="auto" w:sz="4" w:space="0"/>
            </w:tcBorders>
            <w:tcMar>
              <w:left w:w="28" w:type="dxa"/>
              <w:right w:w="28" w:type="dxa"/>
            </w:tcMar>
            <w:vAlign w:val="center"/>
          </w:tcPr>
          <w:p w14:paraId="3F01966A">
            <w:pPr>
              <w:pStyle w:val="109"/>
              <w:spacing w:before="0" w:beforeLines="0" w:after="0" w:afterLines="0" w:line="240" w:lineRule="auto"/>
              <w:ind w:right="0"/>
              <w:jc w:val="righ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项目</w:t>
            </w:r>
          </w:p>
          <w:p w14:paraId="3AF4375A">
            <w:pPr>
              <w:pStyle w:val="109"/>
              <w:spacing w:before="0" w:beforeLines="0" w:after="0" w:afterLines="0" w:line="240" w:lineRule="auto"/>
              <w:ind w:right="0"/>
              <w:jc w:val="left"/>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分类</w:t>
            </w:r>
          </w:p>
        </w:tc>
        <w:tc>
          <w:tcPr>
            <w:tcW w:w="1619" w:type="dxa"/>
            <w:tcMar>
              <w:left w:w="28" w:type="dxa"/>
              <w:right w:w="28" w:type="dxa"/>
            </w:tcMar>
            <w:vAlign w:val="center"/>
          </w:tcPr>
          <w:p w14:paraId="45FC3F2D">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污染物名称</w:t>
            </w:r>
          </w:p>
        </w:tc>
        <w:tc>
          <w:tcPr>
            <w:tcW w:w="1789" w:type="dxa"/>
            <w:tcMar>
              <w:left w:w="28" w:type="dxa"/>
              <w:right w:w="28" w:type="dxa"/>
            </w:tcMar>
            <w:vAlign w:val="center"/>
          </w:tcPr>
          <w:p w14:paraId="79108620">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现有工程排放量</w:t>
            </w:r>
          </w:p>
          <w:p w14:paraId="09F65F3B">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1 \* GB3 \* MERGEFORMAT </w:instrText>
            </w:r>
            <w:r>
              <w:rPr>
                <w:rFonts w:ascii="Times New Roman"/>
                <w:b/>
                <w:bCs/>
                <w:snapToGrid w:val="0"/>
                <w:color w:val="auto"/>
                <w:spacing w:val="-6"/>
                <w:kern w:val="21"/>
                <w:sz w:val="21"/>
                <w:szCs w:val="21"/>
              </w:rPr>
              <w:fldChar w:fldCharType="separate"/>
            </w:r>
            <w:r>
              <w:rPr>
                <w:rFonts w:ascii="Times New Roman"/>
                <w:b/>
                <w:bCs/>
                <w:color w:val="auto"/>
                <w:kern w:val="2"/>
                <w:sz w:val="21"/>
                <w:szCs w:val="21"/>
              </w:rPr>
              <w:t>①</w:t>
            </w:r>
            <w:r>
              <w:rPr>
                <w:rFonts w:ascii="Times New Roman"/>
                <w:b/>
                <w:bCs/>
                <w:snapToGrid w:val="0"/>
                <w:color w:val="auto"/>
                <w:spacing w:val="-6"/>
                <w:kern w:val="21"/>
                <w:sz w:val="21"/>
                <w:szCs w:val="21"/>
              </w:rPr>
              <w:fldChar w:fldCharType="end"/>
            </w:r>
          </w:p>
        </w:tc>
        <w:tc>
          <w:tcPr>
            <w:tcW w:w="1188" w:type="dxa"/>
            <w:tcMar>
              <w:left w:w="28" w:type="dxa"/>
              <w:right w:w="28" w:type="dxa"/>
            </w:tcMar>
            <w:vAlign w:val="center"/>
          </w:tcPr>
          <w:p w14:paraId="4BB01999">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现有工程许可排放量</w:t>
            </w:r>
          </w:p>
          <w:p w14:paraId="3DD2E124">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2 \* GB3 \* MERGEFORMAT </w:instrText>
            </w:r>
            <w:r>
              <w:rPr>
                <w:rFonts w:ascii="Times New Roman"/>
                <w:b/>
                <w:bCs/>
                <w:snapToGrid w:val="0"/>
                <w:color w:val="auto"/>
                <w:spacing w:val="-6"/>
                <w:kern w:val="21"/>
                <w:sz w:val="21"/>
                <w:szCs w:val="21"/>
              </w:rPr>
              <w:fldChar w:fldCharType="separate"/>
            </w:r>
            <w:r>
              <w:rPr>
                <w:rFonts w:ascii="Times New Roman"/>
                <w:b/>
                <w:bCs/>
                <w:snapToGrid w:val="0"/>
                <w:color w:val="auto"/>
                <w:spacing w:val="-6"/>
                <w:kern w:val="21"/>
                <w:sz w:val="21"/>
                <w:szCs w:val="21"/>
              </w:rPr>
              <w:t>②</w:t>
            </w:r>
            <w:r>
              <w:rPr>
                <w:rFonts w:ascii="Times New Roman"/>
                <w:b/>
                <w:bCs/>
                <w:snapToGrid w:val="0"/>
                <w:color w:val="auto"/>
                <w:spacing w:val="-6"/>
                <w:kern w:val="21"/>
                <w:sz w:val="21"/>
                <w:szCs w:val="21"/>
              </w:rPr>
              <w:fldChar w:fldCharType="end"/>
            </w:r>
          </w:p>
        </w:tc>
        <w:tc>
          <w:tcPr>
            <w:tcW w:w="1776" w:type="dxa"/>
            <w:tcMar>
              <w:left w:w="28" w:type="dxa"/>
              <w:right w:w="28" w:type="dxa"/>
            </w:tcMar>
            <w:vAlign w:val="center"/>
          </w:tcPr>
          <w:p w14:paraId="5E1404C2">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在建工程排放量</w:t>
            </w:r>
          </w:p>
          <w:p w14:paraId="410768C8">
            <w:pPr>
              <w:pStyle w:val="109"/>
              <w:spacing w:before="0" w:beforeLines="0" w:after="0" w:afterLines="0" w:line="240" w:lineRule="auto"/>
              <w:ind w:right="0"/>
              <w:rPr>
                <w:rFonts w:ascii="Times New Roman"/>
                <w:b/>
                <w:bCs/>
                <w:snapToGrid w:val="0"/>
                <w:color w:val="auto"/>
                <w:spacing w:val="-6"/>
                <w:kern w:val="21"/>
                <w:sz w:val="21"/>
                <w:szCs w:val="21"/>
              </w:rPr>
            </w:pPr>
            <w:r>
              <w:rPr>
                <w:rFonts w:hint="eastAsia" w:ascii="Times New Roman"/>
                <w:b/>
                <w:bCs/>
                <w:snapToGrid w:val="0"/>
                <w:color w:val="auto"/>
                <w:spacing w:val="-6"/>
                <w:kern w:val="21"/>
                <w:sz w:val="21"/>
                <w:szCs w:val="21"/>
              </w:rPr>
              <w:t>（</w:t>
            </w:r>
            <w:r>
              <w:rPr>
                <w:rFonts w:ascii="Times New Roman"/>
                <w:b/>
                <w:bCs/>
                <w:snapToGrid w:val="0"/>
                <w:color w:val="auto"/>
                <w:spacing w:val="-6"/>
                <w:kern w:val="21"/>
                <w:sz w:val="21"/>
                <w:szCs w:val="21"/>
              </w:rPr>
              <w:t>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3 \* GB3 \* MERGEFORMAT </w:instrText>
            </w:r>
            <w:r>
              <w:rPr>
                <w:rFonts w:ascii="Times New Roman"/>
                <w:b/>
                <w:bCs/>
                <w:snapToGrid w:val="0"/>
                <w:color w:val="auto"/>
                <w:spacing w:val="-6"/>
                <w:kern w:val="21"/>
                <w:sz w:val="21"/>
                <w:szCs w:val="21"/>
              </w:rPr>
              <w:fldChar w:fldCharType="separate"/>
            </w:r>
            <w:r>
              <w:rPr>
                <w:rFonts w:ascii="Times New Roman"/>
                <w:b/>
                <w:bCs/>
                <w:color w:val="auto"/>
                <w:kern w:val="2"/>
                <w:sz w:val="21"/>
                <w:szCs w:val="21"/>
              </w:rPr>
              <w:t>③</w:t>
            </w:r>
            <w:r>
              <w:rPr>
                <w:rFonts w:ascii="Times New Roman"/>
                <w:b/>
                <w:bCs/>
                <w:snapToGrid w:val="0"/>
                <w:color w:val="auto"/>
                <w:spacing w:val="-6"/>
                <w:kern w:val="21"/>
                <w:sz w:val="21"/>
                <w:szCs w:val="21"/>
              </w:rPr>
              <w:fldChar w:fldCharType="end"/>
            </w:r>
          </w:p>
        </w:tc>
        <w:tc>
          <w:tcPr>
            <w:tcW w:w="1484" w:type="dxa"/>
            <w:tcMar>
              <w:left w:w="28" w:type="dxa"/>
              <w:right w:w="28" w:type="dxa"/>
            </w:tcMar>
            <w:vAlign w:val="center"/>
          </w:tcPr>
          <w:p w14:paraId="544BA67C">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本项目排放量</w:t>
            </w:r>
          </w:p>
          <w:p w14:paraId="753EB71D">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（固体废物产生量）</w:t>
            </w: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4 \* GB3 \* MERGEFORMAT </w:instrText>
            </w:r>
            <w:r>
              <w:rPr>
                <w:rFonts w:ascii="Times New Roman"/>
                <w:b/>
                <w:bCs/>
                <w:snapToGrid w:val="0"/>
                <w:color w:val="auto"/>
                <w:spacing w:val="-6"/>
                <w:kern w:val="21"/>
                <w:sz w:val="21"/>
                <w:szCs w:val="21"/>
              </w:rPr>
              <w:fldChar w:fldCharType="separate"/>
            </w:r>
            <w:r>
              <w:rPr>
                <w:rFonts w:ascii="Times New Roman"/>
                <w:b/>
                <w:bCs/>
                <w:color w:val="auto"/>
                <w:kern w:val="2"/>
                <w:sz w:val="21"/>
                <w:szCs w:val="21"/>
              </w:rPr>
              <w:t>④</w:t>
            </w:r>
            <w:r>
              <w:rPr>
                <w:rFonts w:ascii="Times New Roman"/>
                <w:b/>
                <w:bCs/>
                <w:snapToGrid w:val="0"/>
                <w:color w:val="auto"/>
                <w:spacing w:val="-6"/>
                <w:kern w:val="21"/>
                <w:sz w:val="21"/>
                <w:szCs w:val="21"/>
              </w:rPr>
              <w:fldChar w:fldCharType="end"/>
            </w:r>
          </w:p>
        </w:tc>
        <w:tc>
          <w:tcPr>
            <w:tcW w:w="1761" w:type="dxa"/>
            <w:tcMar>
              <w:left w:w="28" w:type="dxa"/>
              <w:right w:w="28" w:type="dxa"/>
            </w:tcMar>
            <w:vAlign w:val="center"/>
          </w:tcPr>
          <w:p w14:paraId="0203CC19">
            <w:pPr>
              <w:pStyle w:val="109"/>
              <w:spacing w:before="0" w:beforeLines="0" w:after="0" w:afterLines="0" w:line="240" w:lineRule="auto"/>
              <w:ind w:right="0"/>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以新带老削减</w:t>
            </w:r>
            <w:r>
              <w:rPr>
                <w:rFonts w:hint="eastAsia" w:ascii="Times New Roman"/>
                <w:b/>
                <w:bCs/>
                <w:snapToGrid w:val="0"/>
                <w:color w:val="auto"/>
                <w:spacing w:val="-16"/>
                <w:kern w:val="21"/>
                <w:sz w:val="21"/>
                <w:szCs w:val="21"/>
              </w:rPr>
              <w:t>量</w:t>
            </w:r>
          </w:p>
          <w:p w14:paraId="66B99899">
            <w:pPr>
              <w:pStyle w:val="109"/>
              <w:spacing w:before="0" w:beforeLines="0" w:after="0" w:afterLines="0" w:line="240" w:lineRule="auto"/>
              <w:ind w:right="0"/>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（新建项目不填）</w:t>
            </w:r>
          </w:p>
          <w:p w14:paraId="7920044A">
            <w:pPr>
              <w:pStyle w:val="109"/>
              <w:spacing w:before="0" w:beforeLines="0" w:after="0" w:afterLines="0" w:line="240" w:lineRule="auto"/>
              <w:ind w:right="0"/>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fldChar w:fldCharType="begin"/>
            </w:r>
            <w:r>
              <w:rPr>
                <w:rFonts w:ascii="Times New Roman"/>
                <w:b/>
                <w:bCs/>
                <w:snapToGrid w:val="0"/>
                <w:color w:val="auto"/>
                <w:spacing w:val="-16"/>
                <w:kern w:val="21"/>
                <w:sz w:val="21"/>
                <w:szCs w:val="21"/>
              </w:rPr>
              <w:instrText xml:space="preserve"> = 5 \* GB3 \* MERGEFORMAT </w:instrText>
            </w:r>
            <w:r>
              <w:rPr>
                <w:rFonts w:ascii="Times New Roman"/>
                <w:b/>
                <w:bCs/>
                <w:snapToGrid w:val="0"/>
                <w:color w:val="auto"/>
                <w:spacing w:val="-16"/>
                <w:kern w:val="21"/>
                <w:sz w:val="21"/>
                <w:szCs w:val="21"/>
              </w:rPr>
              <w:fldChar w:fldCharType="separate"/>
            </w:r>
            <w:r>
              <w:rPr>
                <w:rFonts w:ascii="Times New Roman"/>
                <w:b/>
                <w:bCs/>
                <w:color w:val="auto"/>
                <w:kern w:val="2"/>
                <w:sz w:val="21"/>
                <w:szCs w:val="21"/>
              </w:rPr>
              <w:t>⑤</w:t>
            </w:r>
            <w:r>
              <w:rPr>
                <w:rFonts w:ascii="Times New Roman"/>
                <w:b/>
                <w:bCs/>
                <w:snapToGrid w:val="0"/>
                <w:color w:val="auto"/>
                <w:spacing w:val="-16"/>
                <w:kern w:val="21"/>
                <w:sz w:val="21"/>
                <w:szCs w:val="21"/>
              </w:rPr>
              <w:fldChar w:fldCharType="end"/>
            </w:r>
          </w:p>
        </w:tc>
        <w:tc>
          <w:tcPr>
            <w:tcW w:w="1707" w:type="dxa"/>
            <w:tcMar>
              <w:left w:w="28" w:type="dxa"/>
              <w:right w:w="28" w:type="dxa"/>
            </w:tcMar>
            <w:vAlign w:val="center"/>
          </w:tcPr>
          <w:p w14:paraId="5C519280">
            <w:pPr>
              <w:pStyle w:val="109"/>
              <w:spacing w:before="0" w:beforeLines="0" w:after="0" w:afterLines="0" w:line="240" w:lineRule="auto"/>
              <w:ind w:right="0"/>
              <w:rPr>
                <w:rFonts w:ascii="Times New Roman"/>
                <w:b/>
                <w:bCs/>
                <w:snapToGrid w:val="0"/>
                <w:color w:val="auto"/>
                <w:spacing w:val="-16"/>
                <w:kern w:val="21"/>
                <w:sz w:val="21"/>
                <w:szCs w:val="21"/>
              </w:rPr>
            </w:pPr>
            <w:r>
              <w:rPr>
                <w:rFonts w:ascii="Times New Roman"/>
                <w:b/>
                <w:bCs/>
                <w:snapToGrid w:val="0"/>
                <w:color w:val="auto"/>
                <w:spacing w:val="-16"/>
                <w:kern w:val="21"/>
                <w:sz w:val="21"/>
                <w:szCs w:val="21"/>
              </w:rPr>
              <w:t>本项目建成后全厂排放量（固体废物产生量）</w:t>
            </w:r>
            <w:r>
              <w:rPr>
                <w:rFonts w:ascii="Times New Roman"/>
                <w:b/>
                <w:bCs/>
                <w:snapToGrid w:val="0"/>
                <w:color w:val="auto"/>
                <w:spacing w:val="-16"/>
                <w:kern w:val="21"/>
                <w:sz w:val="21"/>
                <w:szCs w:val="21"/>
              </w:rPr>
              <w:fldChar w:fldCharType="begin"/>
            </w:r>
            <w:r>
              <w:rPr>
                <w:rFonts w:ascii="Times New Roman"/>
                <w:b/>
                <w:bCs/>
                <w:snapToGrid w:val="0"/>
                <w:color w:val="auto"/>
                <w:spacing w:val="-16"/>
                <w:kern w:val="21"/>
                <w:sz w:val="21"/>
                <w:szCs w:val="21"/>
              </w:rPr>
              <w:instrText xml:space="preserve"> = 6 \* GB3 \* MERGEFORMAT </w:instrText>
            </w:r>
            <w:r>
              <w:rPr>
                <w:rFonts w:ascii="Times New Roman"/>
                <w:b/>
                <w:bCs/>
                <w:snapToGrid w:val="0"/>
                <w:color w:val="auto"/>
                <w:spacing w:val="-16"/>
                <w:kern w:val="21"/>
                <w:sz w:val="21"/>
                <w:szCs w:val="21"/>
              </w:rPr>
              <w:fldChar w:fldCharType="separate"/>
            </w:r>
            <w:r>
              <w:rPr>
                <w:rFonts w:ascii="Times New Roman"/>
                <w:b/>
                <w:bCs/>
                <w:color w:val="auto"/>
                <w:kern w:val="2"/>
                <w:sz w:val="21"/>
                <w:szCs w:val="21"/>
              </w:rPr>
              <w:t>⑥</w:t>
            </w:r>
            <w:r>
              <w:rPr>
                <w:rFonts w:ascii="Times New Roman"/>
                <w:b/>
                <w:bCs/>
                <w:snapToGrid w:val="0"/>
                <w:color w:val="auto"/>
                <w:spacing w:val="-16"/>
                <w:kern w:val="21"/>
                <w:sz w:val="21"/>
                <w:szCs w:val="21"/>
              </w:rPr>
              <w:fldChar w:fldCharType="end"/>
            </w:r>
          </w:p>
        </w:tc>
        <w:tc>
          <w:tcPr>
            <w:tcW w:w="1078" w:type="dxa"/>
            <w:tcMar>
              <w:left w:w="28" w:type="dxa"/>
              <w:right w:w="28" w:type="dxa"/>
            </w:tcMar>
            <w:vAlign w:val="center"/>
          </w:tcPr>
          <w:p w14:paraId="406E3003">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t>变化量</w:t>
            </w:r>
          </w:p>
          <w:p w14:paraId="5E34B210">
            <w:pPr>
              <w:pStyle w:val="109"/>
              <w:spacing w:before="0" w:beforeLines="0" w:after="0" w:afterLines="0" w:line="240" w:lineRule="auto"/>
              <w:ind w:right="0"/>
              <w:rPr>
                <w:rFonts w:ascii="Times New Roman"/>
                <w:b/>
                <w:bCs/>
                <w:snapToGrid w:val="0"/>
                <w:color w:val="auto"/>
                <w:spacing w:val="-6"/>
                <w:kern w:val="21"/>
                <w:sz w:val="21"/>
                <w:szCs w:val="21"/>
              </w:rPr>
            </w:pPr>
            <w:r>
              <w:rPr>
                <w:rFonts w:ascii="Times New Roman"/>
                <w:b/>
                <w:bCs/>
                <w:snapToGrid w:val="0"/>
                <w:color w:val="auto"/>
                <w:spacing w:val="-6"/>
                <w:kern w:val="21"/>
                <w:sz w:val="21"/>
                <w:szCs w:val="21"/>
              </w:rPr>
              <w:fldChar w:fldCharType="begin"/>
            </w:r>
            <w:r>
              <w:rPr>
                <w:rFonts w:ascii="Times New Roman"/>
                <w:b/>
                <w:bCs/>
                <w:snapToGrid w:val="0"/>
                <w:color w:val="auto"/>
                <w:spacing w:val="-6"/>
                <w:kern w:val="21"/>
                <w:sz w:val="21"/>
                <w:szCs w:val="21"/>
              </w:rPr>
              <w:instrText xml:space="preserve"> = 7 \* GB3 \* MERGEFORMAT </w:instrText>
            </w:r>
            <w:r>
              <w:rPr>
                <w:rFonts w:ascii="Times New Roman"/>
                <w:b/>
                <w:bCs/>
                <w:snapToGrid w:val="0"/>
                <w:color w:val="auto"/>
                <w:spacing w:val="-6"/>
                <w:kern w:val="21"/>
                <w:sz w:val="21"/>
                <w:szCs w:val="21"/>
              </w:rPr>
              <w:fldChar w:fldCharType="separate"/>
            </w:r>
            <w:r>
              <w:rPr>
                <w:rFonts w:ascii="Times New Roman"/>
                <w:b/>
                <w:bCs/>
                <w:color w:val="auto"/>
                <w:kern w:val="2"/>
                <w:sz w:val="21"/>
                <w:szCs w:val="21"/>
              </w:rPr>
              <w:t>⑦</w:t>
            </w:r>
            <w:r>
              <w:rPr>
                <w:rFonts w:ascii="Times New Roman"/>
                <w:b/>
                <w:bCs/>
                <w:snapToGrid w:val="0"/>
                <w:color w:val="auto"/>
                <w:spacing w:val="-6"/>
                <w:kern w:val="21"/>
                <w:sz w:val="21"/>
                <w:szCs w:val="21"/>
              </w:rPr>
              <w:fldChar w:fldCharType="end"/>
            </w:r>
          </w:p>
        </w:tc>
      </w:tr>
      <w:tr w14:paraId="2FDA7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vAlign w:val="center"/>
          </w:tcPr>
          <w:p w14:paraId="62689F98">
            <w:pPr>
              <w:pStyle w:val="109"/>
              <w:spacing w:before="0" w:beforeLines="0" w:after="0" w:afterLines="0" w:line="240" w:lineRule="auto"/>
              <w:ind w:right="0"/>
              <w:rPr>
                <w:rFonts w:ascii="Times New Roman"/>
                <w:b/>
                <w:bCs/>
                <w:snapToGrid w:val="0"/>
                <w:color w:val="auto"/>
                <w:kern w:val="21"/>
                <w:sz w:val="21"/>
                <w:szCs w:val="21"/>
              </w:rPr>
            </w:pPr>
            <w:r>
              <w:rPr>
                <w:rFonts w:ascii="Times New Roman"/>
                <w:b/>
                <w:bCs/>
                <w:snapToGrid w:val="0"/>
                <w:color w:val="auto"/>
                <w:kern w:val="21"/>
                <w:sz w:val="21"/>
                <w:szCs w:val="21"/>
              </w:rPr>
              <w:t>废气</w:t>
            </w:r>
          </w:p>
        </w:tc>
        <w:tc>
          <w:tcPr>
            <w:tcW w:w="1619" w:type="dxa"/>
            <w:vAlign w:val="center"/>
          </w:tcPr>
          <w:p w14:paraId="62BF6ED8">
            <w:pPr>
              <w:adjustRightInd w:val="0"/>
              <w:snapToGrid w:val="0"/>
              <w:jc w:val="center"/>
              <w:rPr>
                <w:color w:val="auto"/>
                <w:kern w:val="0"/>
                <w:szCs w:val="21"/>
              </w:rPr>
            </w:pPr>
            <w:r>
              <w:rPr>
                <w:rFonts w:hint="eastAsia"/>
                <w:color w:val="auto"/>
                <w:kern w:val="0"/>
                <w:szCs w:val="21"/>
              </w:rPr>
              <w:t>颗粒物</w:t>
            </w:r>
          </w:p>
        </w:tc>
        <w:tc>
          <w:tcPr>
            <w:tcW w:w="1789" w:type="dxa"/>
            <w:vAlign w:val="center"/>
          </w:tcPr>
          <w:p w14:paraId="650C527F">
            <w:pPr>
              <w:pStyle w:val="109"/>
              <w:spacing w:before="0" w:beforeLines="0" w:after="0" w:afterLines="0" w:line="240" w:lineRule="auto"/>
              <w:ind w:right="0"/>
              <w:rPr>
                <w:rFonts w:ascii="Times New Roman"/>
                <w:color w:val="auto"/>
              </w:rPr>
            </w:pPr>
            <w:r>
              <w:rPr>
                <w:rFonts w:hint="eastAsia" w:ascii="Times New Roman"/>
                <w:snapToGrid w:val="0"/>
                <w:color w:val="auto"/>
                <w:kern w:val="21"/>
                <w:sz w:val="21"/>
                <w:szCs w:val="21"/>
              </w:rPr>
              <w:t>/</w:t>
            </w:r>
          </w:p>
        </w:tc>
        <w:tc>
          <w:tcPr>
            <w:tcW w:w="1188" w:type="dxa"/>
            <w:vAlign w:val="center"/>
          </w:tcPr>
          <w:p w14:paraId="24C5BFE9">
            <w:pPr>
              <w:pStyle w:val="109"/>
              <w:spacing w:before="0" w:beforeLines="0" w:after="0" w:afterLines="0" w:line="240" w:lineRule="auto"/>
              <w:ind w:right="0"/>
              <w:rPr>
                <w:rFonts w:ascii="Times New Roman"/>
                <w:color w:val="auto"/>
              </w:rPr>
            </w:pPr>
            <w:r>
              <w:rPr>
                <w:rFonts w:hint="eastAsia" w:ascii="Times New Roman"/>
                <w:snapToGrid w:val="0"/>
                <w:color w:val="auto"/>
                <w:kern w:val="21"/>
                <w:sz w:val="21"/>
                <w:szCs w:val="21"/>
              </w:rPr>
              <w:t>/</w:t>
            </w:r>
          </w:p>
        </w:tc>
        <w:tc>
          <w:tcPr>
            <w:tcW w:w="1776" w:type="dxa"/>
            <w:vAlign w:val="center"/>
          </w:tcPr>
          <w:p w14:paraId="51600517">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484" w:type="dxa"/>
            <w:vAlign w:val="center"/>
          </w:tcPr>
          <w:p w14:paraId="6BB02D14">
            <w:pPr>
              <w:jc w:val="center"/>
              <w:rPr>
                <w:rFonts w:hint="default" w:eastAsia="宋体"/>
                <w:color w:val="auto"/>
                <w:lang w:val="en-US" w:eastAsia="zh-CN"/>
              </w:rPr>
            </w:pPr>
            <w:r>
              <w:rPr>
                <w:rFonts w:hint="eastAsia"/>
                <w:color w:val="auto"/>
                <w:lang w:val="en-US" w:eastAsia="zh-CN"/>
              </w:rPr>
              <w:t>0.773</w:t>
            </w:r>
          </w:p>
        </w:tc>
        <w:tc>
          <w:tcPr>
            <w:tcW w:w="1761" w:type="dxa"/>
            <w:vAlign w:val="center"/>
          </w:tcPr>
          <w:p w14:paraId="60BE3D6B">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707" w:type="dxa"/>
            <w:vAlign w:val="center"/>
          </w:tcPr>
          <w:p w14:paraId="7D471419">
            <w:pPr>
              <w:jc w:val="center"/>
              <w:rPr>
                <w:rFonts w:hint="default" w:eastAsia="宋体"/>
                <w:color w:val="auto"/>
                <w:lang w:val="en-US" w:eastAsia="zh-CN"/>
              </w:rPr>
            </w:pPr>
            <w:r>
              <w:rPr>
                <w:rFonts w:hint="eastAsia"/>
                <w:color w:val="auto"/>
                <w:lang w:val="en-US" w:eastAsia="zh-CN"/>
              </w:rPr>
              <w:t>0.773</w:t>
            </w:r>
          </w:p>
        </w:tc>
        <w:tc>
          <w:tcPr>
            <w:tcW w:w="1078" w:type="dxa"/>
            <w:vAlign w:val="center"/>
          </w:tcPr>
          <w:p w14:paraId="2ADB084E">
            <w:pPr>
              <w:jc w:val="center"/>
              <w:rPr>
                <w:rFonts w:hint="default" w:eastAsia="宋体"/>
                <w:color w:val="auto"/>
                <w:lang w:val="en-US" w:eastAsia="zh-CN"/>
              </w:rPr>
            </w:pPr>
            <w:r>
              <w:rPr>
                <w:rFonts w:hint="eastAsia"/>
                <w:color w:val="auto"/>
              </w:rPr>
              <w:t>+</w:t>
            </w:r>
            <w:r>
              <w:rPr>
                <w:rFonts w:hint="eastAsia"/>
                <w:color w:val="auto"/>
                <w:lang w:val="en-US" w:eastAsia="zh-CN"/>
              </w:rPr>
              <w:t>0.773</w:t>
            </w:r>
          </w:p>
        </w:tc>
      </w:tr>
      <w:tr w14:paraId="409E3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6A217C9B">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21B62565">
            <w:pPr>
              <w:adjustRightInd w:val="0"/>
              <w:snapToGrid w:val="0"/>
              <w:jc w:val="center"/>
              <w:rPr>
                <w:color w:val="auto"/>
              </w:rPr>
            </w:pPr>
            <w:r>
              <w:rPr>
                <w:rFonts w:hint="eastAsia"/>
                <w:color w:val="auto"/>
                <w:kern w:val="0"/>
                <w:szCs w:val="21"/>
              </w:rPr>
              <w:t>VOCs</w:t>
            </w:r>
          </w:p>
        </w:tc>
        <w:tc>
          <w:tcPr>
            <w:tcW w:w="1789" w:type="dxa"/>
            <w:vAlign w:val="center"/>
          </w:tcPr>
          <w:p w14:paraId="63C55A6C">
            <w:pPr>
              <w:jc w:val="center"/>
              <w:rPr>
                <w:snapToGrid w:val="0"/>
                <w:color w:val="auto"/>
                <w:kern w:val="21"/>
                <w:szCs w:val="21"/>
              </w:rPr>
            </w:pPr>
            <w:r>
              <w:rPr>
                <w:rFonts w:hint="eastAsia"/>
                <w:snapToGrid w:val="0"/>
                <w:color w:val="auto"/>
                <w:kern w:val="21"/>
                <w:szCs w:val="21"/>
              </w:rPr>
              <w:t>/</w:t>
            </w:r>
          </w:p>
        </w:tc>
        <w:tc>
          <w:tcPr>
            <w:tcW w:w="1188" w:type="dxa"/>
            <w:vAlign w:val="center"/>
          </w:tcPr>
          <w:p w14:paraId="252ACD0F">
            <w:pPr>
              <w:jc w:val="center"/>
              <w:rPr>
                <w:snapToGrid w:val="0"/>
                <w:color w:val="auto"/>
                <w:kern w:val="21"/>
                <w:szCs w:val="21"/>
              </w:rPr>
            </w:pPr>
            <w:r>
              <w:rPr>
                <w:rFonts w:hint="eastAsia"/>
                <w:snapToGrid w:val="0"/>
                <w:color w:val="auto"/>
                <w:kern w:val="21"/>
                <w:szCs w:val="21"/>
              </w:rPr>
              <w:t>/</w:t>
            </w:r>
          </w:p>
        </w:tc>
        <w:tc>
          <w:tcPr>
            <w:tcW w:w="1776" w:type="dxa"/>
            <w:vAlign w:val="center"/>
          </w:tcPr>
          <w:p w14:paraId="76097A88">
            <w:pPr>
              <w:jc w:val="center"/>
              <w:rPr>
                <w:snapToGrid w:val="0"/>
                <w:color w:val="auto"/>
                <w:kern w:val="21"/>
                <w:szCs w:val="21"/>
              </w:rPr>
            </w:pPr>
            <w:r>
              <w:rPr>
                <w:rFonts w:hint="eastAsia"/>
                <w:snapToGrid w:val="0"/>
                <w:color w:val="auto"/>
                <w:kern w:val="21"/>
                <w:szCs w:val="21"/>
              </w:rPr>
              <w:t>/</w:t>
            </w:r>
          </w:p>
        </w:tc>
        <w:tc>
          <w:tcPr>
            <w:tcW w:w="1484" w:type="dxa"/>
            <w:vAlign w:val="center"/>
          </w:tcPr>
          <w:p w14:paraId="64AEBB8D">
            <w:pPr>
              <w:jc w:val="center"/>
              <w:rPr>
                <w:rFonts w:hint="default" w:eastAsia="宋体"/>
                <w:color w:val="auto"/>
                <w:lang w:val="en-US" w:eastAsia="zh-CN"/>
              </w:rPr>
            </w:pPr>
            <w:r>
              <w:rPr>
                <w:rFonts w:hint="eastAsia"/>
                <w:color w:val="auto"/>
                <w:lang w:val="en-US" w:eastAsia="zh-CN"/>
              </w:rPr>
              <w:t>0.544</w:t>
            </w:r>
          </w:p>
        </w:tc>
        <w:tc>
          <w:tcPr>
            <w:tcW w:w="1761" w:type="dxa"/>
            <w:vAlign w:val="center"/>
          </w:tcPr>
          <w:p w14:paraId="1E5DEBB6">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707" w:type="dxa"/>
            <w:vAlign w:val="center"/>
          </w:tcPr>
          <w:p w14:paraId="142876A4">
            <w:pPr>
              <w:jc w:val="center"/>
              <w:rPr>
                <w:rFonts w:hint="default"/>
                <w:color w:val="auto"/>
                <w:lang w:val="en-US"/>
              </w:rPr>
            </w:pPr>
            <w:r>
              <w:rPr>
                <w:rFonts w:hint="eastAsia"/>
                <w:color w:val="auto"/>
                <w:lang w:val="en-US" w:eastAsia="zh-CN"/>
              </w:rPr>
              <w:t>0.544</w:t>
            </w:r>
          </w:p>
        </w:tc>
        <w:tc>
          <w:tcPr>
            <w:tcW w:w="1078" w:type="dxa"/>
            <w:vAlign w:val="center"/>
          </w:tcPr>
          <w:p w14:paraId="6F5C3D07">
            <w:pPr>
              <w:jc w:val="center"/>
              <w:rPr>
                <w:rFonts w:hint="default" w:eastAsia="宋体"/>
                <w:color w:val="auto"/>
                <w:lang w:val="en-US" w:eastAsia="zh-CN"/>
              </w:rPr>
            </w:pPr>
            <w:r>
              <w:rPr>
                <w:rFonts w:hint="eastAsia"/>
                <w:color w:val="auto"/>
              </w:rPr>
              <w:t>+</w:t>
            </w:r>
            <w:r>
              <w:rPr>
                <w:rFonts w:hint="eastAsia"/>
                <w:color w:val="auto"/>
                <w:lang w:val="en-US" w:eastAsia="zh-CN"/>
              </w:rPr>
              <w:t>0.544</w:t>
            </w:r>
          </w:p>
        </w:tc>
      </w:tr>
      <w:tr w14:paraId="60A49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vAlign w:val="center"/>
          </w:tcPr>
          <w:p w14:paraId="0FFF5808">
            <w:pPr>
              <w:pStyle w:val="109"/>
              <w:spacing w:before="0" w:beforeLines="0" w:after="0" w:afterLines="0" w:line="240" w:lineRule="auto"/>
              <w:ind w:right="0"/>
              <w:rPr>
                <w:rFonts w:ascii="Times New Roman"/>
                <w:b/>
                <w:bCs/>
                <w:snapToGrid w:val="0"/>
                <w:color w:val="auto"/>
                <w:kern w:val="21"/>
                <w:sz w:val="21"/>
                <w:szCs w:val="21"/>
              </w:rPr>
            </w:pPr>
            <w:r>
              <w:rPr>
                <w:rFonts w:ascii="Times New Roman"/>
                <w:b/>
                <w:bCs/>
                <w:snapToGrid w:val="0"/>
                <w:color w:val="auto"/>
                <w:kern w:val="21"/>
                <w:sz w:val="21"/>
                <w:szCs w:val="21"/>
              </w:rPr>
              <w:t>废水</w:t>
            </w:r>
          </w:p>
        </w:tc>
        <w:tc>
          <w:tcPr>
            <w:tcW w:w="1619" w:type="dxa"/>
            <w:vAlign w:val="center"/>
          </w:tcPr>
          <w:p w14:paraId="51E0E580">
            <w:pPr>
              <w:pStyle w:val="109"/>
              <w:spacing w:before="0" w:beforeLines="0" w:after="0" w:afterLines="0" w:line="240" w:lineRule="auto"/>
              <w:ind w:right="0"/>
              <w:rPr>
                <w:rFonts w:ascii="Times New Roman"/>
                <w:snapToGrid w:val="0"/>
                <w:color w:val="auto"/>
                <w:kern w:val="21"/>
                <w:sz w:val="21"/>
                <w:szCs w:val="21"/>
              </w:rPr>
            </w:pPr>
            <w:r>
              <w:rPr>
                <w:rFonts w:ascii="Times New Roman"/>
                <w:snapToGrid w:val="0"/>
                <w:color w:val="auto"/>
                <w:kern w:val="21"/>
                <w:sz w:val="21"/>
                <w:szCs w:val="21"/>
              </w:rPr>
              <w:t>废水量</w:t>
            </w:r>
            <w:r>
              <w:rPr>
                <w:rFonts w:hint="eastAsia" w:ascii="Times New Roman"/>
                <w:snapToGrid w:val="0"/>
                <w:color w:val="auto"/>
                <w:kern w:val="21"/>
                <w:sz w:val="21"/>
                <w:szCs w:val="21"/>
              </w:rPr>
              <w:t>（万t/a）</w:t>
            </w:r>
          </w:p>
        </w:tc>
        <w:tc>
          <w:tcPr>
            <w:tcW w:w="1789" w:type="dxa"/>
            <w:vAlign w:val="center"/>
          </w:tcPr>
          <w:p w14:paraId="3BD13AFD">
            <w:pPr>
              <w:pStyle w:val="109"/>
              <w:spacing w:before="0" w:beforeLines="0" w:after="0" w:afterLines="0" w:line="240" w:lineRule="auto"/>
              <w:ind w:right="0"/>
              <w:rPr>
                <w:rFonts w:ascii="Times New Roman"/>
                <w:color w:val="auto"/>
              </w:rPr>
            </w:pPr>
            <w:r>
              <w:rPr>
                <w:rFonts w:hint="eastAsia" w:ascii="Times New Roman"/>
                <w:snapToGrid w:val="0"/>
                <w:color w:val="auto"/>
                <w:kern w:val="21"/>
                <w:sz w:val="21"/>
                <w:szCs w:val="21"/>
              </w:rPr>
              <w:t>/</w:t>
            </w:r>
          </w:p>
        </w:tc>
        <w:tc>
          <w:tcPr>
            <w:tcW w:w="1188" w:type="dxa"/>
            <w:vAlign w:val="center"/>
          </w:tcPr>
          <w:p w14:paraId="64D0CD6E">
            <w:pPr>
              <w:pStyle w:val="109"/>
              <w:spacing w:before="0" w:beforeLines="0" w:after="0" w:afterLines="0" w:line="240" w:lineRule="auto"/>
              <w:ind w:right="0"/>
              <w:rPr>
                <w:rFonts w:ascii="Times New Roman"/>
                <w:color w:val="auto"/>
              </w:rPr>
            </w:pPr>
            <w:r>
              <w:rPr>
                <w:rFonts w:hint="eastAsia" w:ascii="Times New Roman"/>
                <w:snapToGrid w:val="0"/>
                <w:color w:val="auto"/>
                <w:kern w:val="21"/>
                <w:sz w:val="21"/>
                <w:szCs w:val="21"/>
              </w:rPr>
              <w:t>/</w:t>
            </w:r>
          </w:p>
        </w:tc>
        <w:tc>
          <w:tcPr>
            <w:tcW w:w="1776" w:type="dxa"/>
            <w:vAlign w:val="center"/>
          </w:tcPr>
          <w:p w14:paraId="3965E6C7">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484" w:type="dxa"/>
            <w:vAlign w:val="center"/>
          </w:tcPr>
          <w:p w14:paraId="155336C3">
            <w:pPr>
              <w:jc w:val="center"/>
              <w:rPr>
                <w:color w:val="auto"/>
              </w:rPr>
            </w:pPr>
            <w:r>
              <w:rPr>
                <w:rFonts w:hint="eastAsia"/>
                <w:color w:val="auto"/>
              </w:rPr>
              <w:t>0.0768</w:t>
            </w:r>
          </w:p>
        </w:tc>
        <w:tc>
          <w:tcPr>
            <w:tcW w:w="1761" w:type="dxa"/>
            <w:vAlign w:val="center"/>
          </w:tcPr>
          <w:p w14:paraId="3468A1D8">
            <w:pPr>
              <w:jc w:val="center"/>
              <w:rPr>
                <w:color w:val="auto"/>
              </w:rPr>
            </w:pPr>
            <w:r>
              <w:rPr>
                <w:rFonts w:hint="eastAsia"/>
                <w:color w:val="auto"/>
              </w:rPr>
              <w:t>/</w:t>
            </w:r>
          </w:p>
        </w:tc>
        <w:tc>
          <w:tcPr>
            <w:tcW w:w="1707" w:type="dxa"/>
            <w:vAlign w:val="center"/>
          </w:tcPr>
          <w:p w14:paraId="2D15AE7E">
            <w:pPr>
              <w:jc w:val="center"/>
              <w:rPr>
                <w:color w:val="auto"/>
              </w:rPr>
            </w:pPr>
            <w:r>
              <w:rPr>
                <w:rFonts w:hint="eastAsia"/>
                <w:color w:val="auto"/>
              </w:rPr>
              <w:t>0.0768</w:t>
            </w:r>
          </w:p>
        </w:tc>
        <w:tc>
          <w:tcPr>
            <w:tcW w:w="1078" w:type="dxa"/>
            <w:vAlign w:val="center"/>
          </w:tcPr>
          <w:p w14:paraId="33D3D524">
            <w:pPr>
              <w:jc w:val="center"/>
              <w:rPr>
                <w:color w:val="auto"/>
              </w:rPr>
            </w:pPr>
            <w:r>
              <w:rPr>
                <w:rFonts w:hint="eastAsia"/>
                <w:color w:val="auto"/>
              </w:rPr>
              <w:t>+0.0768</w:t>
            </w:r>
          </w:p>
        </w:tc>
      </w:tr>
      <w:tr w14:paraId="2D37E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253BFBB1">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09338E9E">
            <w:pPr>
              <w:pStyle w:val="109"/>
              <w:spacing w:before="0" w:beforeLines="0" w:after="0" w:afterLines="0" w:line="240" w:lineRule="auto"/>
              <w:ind w:right="0"/>
              <w:rPr>
                <w:rFonts w:ascii="Times New Roman"/>
                <w:snapToGrid w:val="0"/>
                <w:color w:val="auto"/>
                <w:kern w:val="21"/>
                <w:sz w:val="21"/>
                <w:szCs w:val="21"/>
              </w:rPr>
            </w:pPr>
            <w:r>
              <w:rPr>
                <w:rFonts w:ascii="Times New Roman"/>
                <w:snapToGrid w:val="0"/>
                <w:color w:val="auto"/>
                <w:kern w:val="21"/>
                <w:sz w:val="21"/>
                <w:szCs w:val="21"/>
              </w:rPr>
              <w:t>COD</w:t>
            </w:r>
            <w:r>
              <w:rPr>
                <w:rFonts w:hint="eastAsia" w:ascii="Times New Roman"/>
                <w:snapToGrid w:val="0"/>
                <w:color w:val="auto"/>
                <w:kern w:val="21"/>
                <w:sz w:val="21"/>
                <w:szCs w:val="21"/>
                <w:vertAlign w:val="subscript"/>
              </w:rPr>
              <w:t>Cr</w:t>
            </w:r>
          </w:p>
        </w:tc>
        <w:tc>
          <w:tcPr>
            <w:tcW w:w="1789" w:type="dxa"/>
            <w:vAlign w:val="center"/>
          </w:tcPr>
          <w:p w14:paraId="19F30AA8">
            <w:pPr>
              <w:jc w:val="center"/>
              <w:rPr>
                <w:color w:val="auto"/>
              </w:rPr>
            </w:pPr>
            <w:r>
              <w:rPr>
                <w:rFonts w:hint="eastAsia"/>
                <w:snapToGrid w:val="0"/>
                <w:color w:val="auto"/>
                <w:kern w:val="21"/>
                <w:szCs w:val="21"/>
              </w:rPr>
              <w:t>/</w:t>
            </w:r>
          </w:p>
        </w:tc>
        <w:tc>
          <w:tcPr>
            <w:tcW w:w="1188" w:type="dxa"/>
            <w:vAlign w:val="center"/>
          </w:tcPr>
          <w:p w14:paraId="1BEC9EE8">
            <w:pPr>
              <w:jc w:val="center"/>
              <w:rPr>
                <w:color w:val="auto"/>
                <w:szCs w:val="21"/>
              </w:rPr>
            </w:pPr>
            <w:r>
              <w:rPr>
                <w:rFonts w:hint="eastAsia"/>
                <w:snapToGrid w:val="0"/>
                <w:color w:val="auto"/>
                <w:kern w:val="21"/>
                <w:szCs w:val="21"/>
              </w:rPr>
              <w:t>/</w:t>
            </w:r>
          </w:p>
        </w:tc>
        <w:tc>
          <w:tcPr>
            <w:tcW w:w="1776" w:type="dxa"/>
            <w:vAlign w:val="center"/>
          </w:tcPr>
          <w:p w14:paraId="5F98F5E2">
            <w:pPr>
              <w:jc w:val="center"/>
              <w:rPr>
                <w:snapToGrid w:val="0"/>
                <w:color w:val="auto"/>
                <w:kern w:val="21"/>
                <w:szCs w:val="21"/>
              </w:rPr>
            </w:pPr>
            <w:r>
              <w:rPr>
                <w:rFonts w:hint="eastAsia"/>
                <w:snapToGrid w:val="0"/>
                <w:color w:val="auto"/>
                <w:kern w:val="21"/>
                <w:szCs w:val="21"/>
              </w:rPr>
              <w:t>/</w:t>
            </w:r>
          </w:p>
        </w:tc>
        <w:tc>
          <w:tcPr>
            <w:tcW w:w="1484" w:type="dxa"/>
            <w:vAlign w:val="center"/>
          </w:tcPr>
          <w:p w14:paraId="0A1DC382">
            <w:pPr>
              <w:jc w:val="center"/>
              <w:rPr>
                <w:color w:val="auto"/>
              </w:rPr>
            </w:pPr>
            <w:r>
              <w:rPr>
                <w:rFonts w:hint="eastAsia"/>
                <w:color w:val="auto"/>
              </w:rPr>
              <w:t>0.031</w:t>
            </w:r>
          </w:p>
        </w:tc>
        <w:tc>
          <w:tcPr>
            <w:tcW w:w="1761" w:type="dxa"/>
            <w:vAlign w:val="center"/>
          </w:tcPr>
          <w:p w14:paraId="32E214FD">
            <w:pPr>
              <w:jc w:val="center"/>
              <w:rPr>
                <w:color w:val="auto"/>
              </w:rPr>
            </w:pPr>
            <w:r>
              <w:rPr>
                <w:rFonts w:hint="eastAsia"/>
                <w:color w:val="auto"/>
              </w:rPr>
              <w:t>/</w:t>
            </w:r>
          </w:p>
        </w:tc>
        <w:tc>
          <w:tcPr>
            <w:tcW w:w="1707" w:type="dxa"/>
            <w:vAlign w:val="center"/>
          </w:tcPr>
          <w:p w14:paraId="264C01AF">
            <w:pPr>
              <w:jc w:val="center"/>
              <w:rPr>
                <w:color w:val="auto"/>
              </w:rPr>
            </w:pPr>
            <w:r>
              <w:rPr>
                <w:rFonts w:hint="eastAsia"/>
                <w:color w:val="auto"/>
              </w:rPr>
              <w:t>0.031</w:t>
            </w:r>
          </w:p>
        </w:tc>
        <w:tc>
          <w:tcPr>
            <w:tcW w:w="1078" w:type="dxa"/>
            <w:vAlign w:val="center"/>
          </w:tcPr>
          <w:p w14:paraId="4CE94CE6">
            <w:pPr>
              <w:jc w:val="center"/>
              <w:rPr>
                <w:color w:val="auto"/>
              </w:rPr>
            </w:pPr>
            <w:r>
              <w:rPr>
                <w:rFonts w:hint="eastAsia"/>
                <w:color w:val="auto"/>
              </w:rPr>
              <w:t>+0.031</w:t>
            </w:r>
          </w:p>
        </w:tc>
      </w:tr>
      <w:tr w14:paraId="4CFE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53D201ED">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3AA0BD8F">
            <w:pPr>
              <w:pStyle w:val="109"/>
              <w:spacing w:before="0" w:beforeLines="0" w:after="0" w:afterLines="0" w:line="240" w:lineRule="auto"/>
              <w:ind w:right="0"/>
              <w:rPr>
                <w:rFonts w:ascii="Times New Roman"/>
                <w:snapToGrid w:val="0"/>
                <w:color w:val="auto"/>
                <w:kern w:val="21"/>
                <w:sz w:val="21"/>
                <w:szCs w:val="21"/>
              </w:rPr>
            </w:pPr>
            <w:r>
              <w:rPr>
                <w:rFonts w:ascii="Times New Roman"/>
                <w:snapToGrid w:val="0"/>
                <w:color w:val="auto"/>
                <w:kern w:val="21"/>
                <w:sz w:val="21"/>
                <w:szCs w:val="21"/>
              </w:rPr>
              <w:t>氨氮</w:t>
            </w:r>
          </w:p>
        </w:tc>
        <w:tc>
          <w:tcPr>
            <w:tcW w:w="1789" w:type="dxa"/>
            <w:vAlign w:val="center"/>
          </w:tcPr>
          <w:p w14:paraId="4394F655">
            <w:pPr>
              <w:pStyle w:val="109"/>
              <w:spacing w:before="0" w:beforeLines="0" w:after="0" w:afterLines="0" w:line="240" w:lineRule="auto"/>
              <w:ind w:right="0"/>
              <w:rPr>
                <w:rFonts w:ascii="Times New Roman"/>
                <w:color w:val="auto"/>
              </w:rPr>
            </w:pPr>
            <w:r>
              <w:rPr>
                <w:rFonts w:hint="eastAsia" w:ascii="Times New Roman"/>
                <w:snapToGrid w:val="0"/>
                <w:color w:val="auto"/>
                <w:kern w:val="21"/>
                <w:sz w:val="21"/>
                <w:szCs w:val="21"/>
              </w:rPr>
              <w:t>/</w:t>
            </w:r>
          </w:p>
        </w:tc>
        <w:tc>
          <w:tcPr>
            <w:tcW w:w="1188" w:type="dxa"/>
            <w:vAlign w:val="center"/>
          </w:tcPr>
          <w:p w14:paraId="44BAFD7C">
            <w:pPr>
              <w:pStyle w:val="109"/>
              <w:spacing w:before="0" w:beforeLines="0" w:after="0" w:afterLines="0" w:line="240" w:lineRule="auto"/>
              <w:ind w:right="0"/>
              <w:rPr>
                <w:rFonts w:ascii="Times New Roman"/>
                <w:color w:val="auto"/>
                <w:sz w:val="21"/>
                <w:szCs w:val="21"/>
              </w:rPr>
            </w:pPr>
            <w:r>
              <w:rPr>
                <w:rFonts w:hint="eastAsia" w:ascii="Times New Roman"/>
                <w:snapToGrid w:val="0"/>
                <w:color w:val="auto"/>
                <w:kern w:val="21"/>
                <w:sz w:val="21"/>
                <w:szCs w:val="21"/>
              </w:rPr>
              <w:t>/</w:t>
            </w:r>
          </w:p>
        </w:tc>
        <w:tc>
          <w:tcPr>
            <w:tcW w:w="1776" w:type="dxa"/>
            <w:vAlign w:val="center"/>
          </w:tcPr>
          <w:p w14:paraId="549B5962">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484" w:type="dxa"/>
            <w:vAlign w:val="center"/>
          </w:tcPr>
          <w:p w14:paraId="66C0EE8C">
            <w:pPr>
              <w:jc w:val="center"/>
              <w:rPr>
                <w:color w:val="auto"/>
              </w:rPr>
            </w:pPr>
            <w:r>
              <w:rPr>
                <w:rFonts w:hint="eastAsia"/>
                <w:color w:val="auto"/>
              </w:rPr>
              <w:t>0.002</w:t>
            </w:r>
          </w:p>
        </w:tc>
        <w:tc>
          <w:tcPr>
            <w:tcW w:w="1761" w:type="dxa"/>
            <w:vAlign w:val="center"/>
          </w:tcPr>
          <w:p w14:paraId="128C6AEC">
            <w:pPr>
              <w:jc w:val="center"/>
              <w:rPr>
                <w:color w:val="auto"/>
              </w:rPr>
            </w:pPr>
            <w:r>
              <w:rPr>
                <w:rFonts w:hint="eastAsia"/>
                <w:color w:val="auto"/>
              </w:rPr>
              <w:t>/</w:t>
            </w:r>
          </w:p>
        </w:tc>
        <w:tc>
          <w:tcPr>
            <w:tcW w:w="1707" w:type="dxa"/>
            <w:vAlign w:val="center"/>
          </w:tcPr>
          <w:p w14:paraId="2FEE8F17">
            <w:pPr>
              <w:jc w:val="center"/>
              <w:rPr>
                <w:color w:val="auto"/>
              </w:rPr>
            </w:pPr>
            <w:r>
              <w:rPr>
                <w:rFonts w:hint="eastAsia"/>
                <w:color w:val="auto"/>
              </w:rPr>
              <w:t>0.002</w:t>
            </w:r>
          </w:p>
        </w:tc>
        <w:tc>
          <w:tcPr>
            <w:tcW w:w="1078" w:type="dxa"/>
            <w:vAlign w:val="center"/>
          </w:tcPr>
          <w:p w14:paraId="6DF43766">
            <w:pPr>
              <w:jc w:val="center"/>
              <w:rPr>
                <w:color w:val="auto"/>
              </w:rPr>
            </w:pPr>
            <w:r>
              <w:rPr>
                <w:rFonts w:hint="eastAsia"/>
                <w:color w:val="auto"/>
              </w:rPr>
              <w:t>+0.002</w:t>
            </w:r>
          </w:p>
        </w:tc>
      </w:tr>
      <w:tr w14:paraId="74BF6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vAlign w:val="center"/>
          </w:tcPr>
          <w:p w14:paraId="50F510A7">
            <w:pPr>
              <w:pStyle w:val="109"/>
              <w:spacing w:before="0" w:beforeLines="0" w:after="0" w:afterLines="0" w:line="240" w:lineRule="auto"/>
              <w:ind w:right="0"/>
              <w:rPr>
                <w:rFonts w:ascii="Times New Roman"/>
                <w:b/>
                <w:bCs/>
                <w:snapToGrid w:val="0"/>
                <w:color w:val="auto"/>
                <w:kern w:val="21"/>
                <w:sz w:val="21"/>
                <w:szCs w:val="21"/>
              </w:rPr>
            </w:pPr>
            <w:r>
              <w:rPr>
                <w:rFonts w:ascii="Times New Roman"/>
                <w:b/>
                <w:bCs/>
                <w:snapToGrid w:val="0"/>
                <w:color w:val="auto"/>
                <w:kern w:val="21"/>
                <w:sz w:val="21"/>
                <w:szCs w:val="21"/>
              </w:rPr>
              <w:t>一般工业</w:t>
            </w:r>
          </w:p>
          <w:p w14:paraId="648CB23A">
            <w:pPr>
              <w:pStyle w:val="109"/>
              <w:spacing w:before="0" w:beforeLines="0" w:after="0" w:afterLines="0" w:line="240" w:lineRule="auto"/>
              <w:ind w:right="0"/>
              <w:rPr>
                <w:rFonts w:ascii="Times New Roman"/>
                <w:b/>
                <w:bCs/>
                <w:snapToGrid w:val="0"/>
                <w:color w:val="auto"/>
                <w:kern w:val="21"/>
                <w:sz w:val="21"/>
                <w:szCs w:val="21"/>
              </w:rPr>
            </w:pPr>
            <w:r>
              <w:rPr>
                <w:rFonts w:ascii="Times New Roman"/>
                <w:b/>
                <w:bCs/>
                <w:snapToGrid w:val="0"/>
                <w:color w:val="auto"/>
                <w:kern w:val="21"/>
                <w:sz w:val="21"/>
                <w:szCs w:val="21"/>
              </w:rPr>
              <w:t>固体废物</w:t>
            </w:r>
          </w:p>
        </w:tc>
        <w:tc>
          <w:tcPr>
            <w:tcW w:w="1619" w:type="dxa"/>
            <w:vAlign w:val="center"/>
          </w:tcPr>
          <w:p w14:paraId="049E59EE">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边角料、不合格品</w:t>
            </w:r>
          </w:p>
        </w:tc>
        <w:tc>
          <w:tcPr>
            <w:tcW w:w="1789" w:type="dxa"/>
            <w:vAlign w:val="center"/>
          </w:tcPr>
          <w:p w14:paraId="49ECA06E">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188" w:type="dxa"/>
            <w:vAlign w:val="center"/>
          </w:tcPr>
          <w:p w14:paraId="15D372CE">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776" w:type="dxa"/>
            <w:vAlign w:val="center"/>
          </w:tcPr>
          <w:p w14:paraId="6BE81051">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484" w:type="dxa"/>
            <w:vAlign w:val="center"/>
          </w:tcPr>
          <w:p w14:paraId="40C6D834">
            <w:pPr>
              <w:jc w:val="center"/>
              <w:rPr>
                <w:rFonts w:hint="default" w:eastAsia="宋体"/>
                <w:snapToGrid w:val="0"/>
                <w:color w:val="auto"/>
                <w:kern w:val="21"/>
                <w:lang w:val="en-US" w:eastAsia="zh-CN"/>
              </w:rPr>
            </w:pPr>
            <w:r>
              <w:rPr>
                <w:rFonts w:hint="eastAsia"/>
                <w:color w:val="auto"/>
                <w:kern w:val="0"/>
                <w:szCs w:val="21"/>
                <w:lang w:val="en-US" w:eastAsia="zh-CN"/>
              </w:rPr>
              <w:t>121.954</w:t>
            </w:r>
          </w:p>
        </w:tc>
        <w:tc>
          <w:tcPr>
            <w:tcW w:w="1761" w:type="dxa"/>
            <w:vAlign w:val="center"/>
          </w:tcPr>
          <w:p w14:paraId="27612892">
            <w:pPr>
              <w:jc w:val="center"/>
              <w:rPr>
                <w:snapToGrid w:val="0"/>
                <w:color w:val="auto"/>
                <w:kern w:val="21"/>
                <w:szCs w:val="21"/>
              </w:rPr>
            </w:pPr>
            <w:r>
              <w:rPr>
                <w:rFonts w:hint="eastAsia"/>
                <w:color w:val="auto"/>
              </w:rPr>
              <w:t>/</w:t>
            </w:r>
          </w:p>
        </w:tc>
        <w:tc>
          <w:tcPr>
            <w:tcW w:w="1707" w:type="dxa"/>
            <w:vAlign w:val="center"/>
          </w:tcPr>
          <w:p w14:paraId="555E2F2C">
            <w:pPr>
              <w:jc w:val="center"/>
              <w:rPr>
                <w:rFonts w:hint="default" w:eastAsia="宋体"/>
                <w:snapToGrid w:val="0"/>
                <w:color w:val="auto"/>
                <w:kern w:val="21"/>
                <w:szCs w:val="21"/>
                <w:lang w:val="en-US" w:eastAsia="zh-CN"/>
              </w:rPr>
            </w:pPr>
            <w:r>
              <w:rPr>
                <w:rFonts w:hint="eastAsia"/>
                <w:color w:val="auto"/>
                <w:kern w:val="0"/>
                <w:szCs w:val="21"/>
                <w:lang w:val="en-US" w:eastAsia="zh-CN"/>
              </w:rPr>
              <w:t>121.954</w:t>
            </w:r>
          </w:p>
        </w:tc>
        <w:tc>
          <w:tcPr>
            <w:tcW w:w="1078" w:type="dxa"/>
            <w:vAlign w:val="center"/>
          </w:tcPr>
          <w:p w14:paraId="1944856D">
            <w:pPr>
              <w:jc w:val="center"/>
              <w:rPr>
                <w:rFonts w:hint="default" w:eastAsia="宋体"/>
                <w:color w:val="auto"/>
                <w:lang w:val="en-US" w:eastAsia="zh-CN"/>
              </w:rPr>
            </w:pPr>
            <w:r>
              <w:rPr>
                <w:rFonts w:hint="eastAsia"/>
                <w:color w:val="auto"/>
                <w:kern w:val="0"/>
                <w:szCs w:val="21"/>
                <w:lang w:val="en-US" w:eastAsia="zh-CN"/>
              </w:rPr>
              <w:t>+121.954</w:t>
            </w:r>
          </w:p>
        </w:tc>
      </w:tr>
      <w:tr w14:paraId="2AFF9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6D50ECAA">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54942D6B">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收集粉尘</w:t>
            </w:r>
          </w:p>
        </w:tc>
        <w:tc>
          <w:tcPr>
            <w:tcW w:w="1789" w:type="dxa"/>
            <w:vAlign w:val="center"/>
          </w:tcPr>
          <w:p w14:paraId="539F3EDB">
            <w:pPr>
              <w:jc w:val="center"/>
              <w:rPr>
                <w:snapToGrid w:val="0"/>
                <w:color w:val="auto"/>
                <w:kern w:val="21"/>
              </w:rPr>
            </w:pPr>
            <w:r>
              <w:rPr>
                <w:rFonts w:hint="eastAsia"/>
                <w:snapToGrid w:val="0"/>
                <w:color w:val="auto"/>
                <w:kern w:val="21"/>
                <w:szCs w:val="21"/>
              </w:rPr>
              <w:t>/</w:t>
            </w:r>
          </w:p>
        </w:tc>
        <w:tc>
          <w:tcPr>
            <w:tcW w:w="1188" w:type="dxa"/>
            <w:vAlign w:val="center"/>
          </w:tcPr>
          <w:p w14:paraId="1F3B415C">
            <w:pPr>
              <w:jc w:val="center"/>
              <w:rPr>
                <w:snapToGrid w:val="0"/>
                <w:color w:val="auto"/>
                <w:kern w:val="21"/>
              </w:rPr>
            </w:pPr>
            <w:r>
              <w:rPr>
                <w:rFonts w:hint="eastAsia"/>
                <w:snapToGrid w:val="0"/>
                <w:color w:val="auto"/>
                <w:kern w:val="21"/>
                <w:szCs w:val="21"/>
              </w:rPr>
              <w:t>/</w:t>
            </w:r>
          </w:p>
        </w:tc>
        <w:tc>
          <w:tcPr>
            <w:tcW w:w="1776" w:type="dxa"/>
            <w:vAlign w:val="center"/>
          </w:tcPr>
          <w:p w14:paraId="3F472C2E">
            <w:pPr>
              <w:jc w:val="center"/>
              <w:rPr>
                <w:snapToGrid w:val="0"/>
                <w:color w:val="auto"/>
                <w:kern w:val="21"/>
              </w:rPr>
            </w:pPr>
            <w:r>
              <w:rPr>
                <w:rFonts w:hint="eastAsia"/>
                <w:snapToGrid w:val="0"/>
                <w:color w:val="auto"/>
                <w:kern w:val="21"/>
                <w:szCs w:val="21"/>
              </w:rPr>
              <w:t>/</w:t>
            </w:r>
          </w:p>
        </w:tc>
        <w:tc>
          <w:tcPr>
            <w:tcW w:w="1484" w:type="dxa"/>
            <w:vAlign w:val="center"/>
          </w:tcPr>
          <w:p w14:paraId="2876BEAC">
            <w:pPr>
              <w:jc w:val="center"/>
              <w:rPr>
                <w:rFonts w:hint="default" w:eastAsia="宋体"/>
                <w:snapToGrid w:val="0"/>
                <w:color w:val="auto"/>
                <w:kern w:val="21"/>
                <w:lang w:val="en-US" w:eastAsia="zh-CN"/>
              </w:rPr>
            </w:pPr>
            <w:r>
              <w:rPr>
                <w:rFonts w:hint="eastAsia"/>
                <w:snapToGrid w:val="0"/>
                <w:color w:val="auto"/>
                <w:kern w:val="21"/>
                <w:lang w:val="en-US" w:eastAsia="zh-CN"/>
              </w:rPr>
              <w:t>37.498</w:t>
            </w:r>
          </w:p>
        </w:tc>
        <w:tc>
          <w:tcPr>
            <w:tcW w:w="1761" w:type="dxa"/>
            <w:vAlign w:val="center"/>
          </w:tcPr>
          <w:p w14:paraId="6E7D9DC7">
            <w:pPr>
              <w:jc w:val="center"/>
              <w:rPr>
                <w:snapToGrid w:val="0"/>
                <w:color w:val="auto"/>
                <w:kern w:val="21"/>
                <w:szCs w:val="21"/>
              </w:rPr>
            </w:pPr>
            <w:r>
              <w:rPr>
                <w:rFonts w:hint="eastAsia"/>
                <w:color w:val="auto"/>
              </w:rPr>
              <w:t>/</w:t>
            </w:r>
          </w:p>
        </w:tc>
        <w:tc>
          <w:tcPr>
            <w:tcW w:w="1707" w:type="dxa"/>
            <w:vAlign w:val="center"/>
          </w:tcPr>
          <w:p w14:paraId="641ADE91">
            <w:pPr>
              <w:jc w:val="center"/>
              <w:rPr>
                <w:rFonts w:hint="default" w:eastAsia="宋体"/>
                <w:snapToGrid w:val="0"/>
                <w:color w:val="auto"/>
                <w:kern w:val="21"/>
                <w:szCs w:val="21"/>
                <w:lang w:val="en-US" w:eastAsia="zh-CN"/>
              </w:rPr>
            </w:pPr>
            <w:r>
              <w:rPr>
                <w:rFonts w:hint="eastAsia"/>
                <w:snapToGrid w:val="0"/>
                <w:color w:val="auto"/>
                <w:kern w:val="21"/>
                <w:lang w:val="en-US" w:eastAsia="zh-CN"/>
              </w:rPr>
              <w:t>37.498</w:t>
            </w:r>
          </w:p>
        </w:tc>
        <w:tc>
          <w:tcPr>
            <w:tcW w:w="1078" w:type="dxa"/>
            <w:vAlign w:val="center"/>
          </w:tcPr>
          <w:p w14:paraId="75D94381">
            <w:pPr>
              <w:jc w:val="center"/>
              <w:rPr>
                <w:rFonts w:hint="default" w:eastAsia="宋体"/>
                <w:color w:val="auto"/>
                <w:lang w:val="en-US" w:eastAsia="zh-CN"/>
              </w:rPr>
            </w:pPr>
            <w:r>
              <w:rPr>
                <w:rFonts w:hint="eastAsia"/>
                <w:snapToGrid w:val="0"/>
                <w:color w:val="auto"/>
                <w:kern w:val="21"/>
                <w:lang w:val="en-US" w:eastAsia="zh-CN"/>
              </w:rPr>
              <w:t>+37.498</w:t>
            </w:r>
          </w:p>
        </w:tc>
      </w:tr>
      <w:tr w14:paraId="695C8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2B14958C">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4FB9D840">
            <w:pPr>
              <w:pStyle w:val="109"/>
              <w:spacing w:before="0" w:beforeLines="0" w:after="0" w:afterLines="0" w:line="240" w:lineRule="auto"/>
              <w:ind w:right="0"/>
              <w:rPr>
                <w:rFonts w:ascii="Times New Roman"/>
                <w:snapToGrid w:val="0"/>
                <w:color w:val="auto"/>
                <w:kern w:val="21"/>
                <w:sz w:val="21"/>
                <w:szCs w:val="21"/>
                <w:lang w:val="eu"/>
              </w:rPr>
            </w:pPr>
            <w:r>
              <w:rPr>
                <w:rFonts w:hint="eastAsia" w:ascii="Times New Roman"/>
                <w:snapToGrid w:val="0"/>
                <w:color w:val="auto"/>
                <w:kern w:val="21"/>
                <w:sz w:val="21"/>
                <w:szCs w:val="21"/>
              </w:rPr>
              <w:t>一般废包装材料</w:t>
            </w:r>
          </w:p>
        </w:tc>
        <w:tc>
          <w:tcPr>
            <w:tcW w:w="1789" w:type="dxa"/>
            <w:vAlign w:val="center"/>
          </w:tcPr>
          <w:p w14:paraId="27A9F887">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188" w:type="dxa"/>
            <w:vAlign w:val="center"/>
          </w:tcPr>
          <w:p w14:paraId="3EB00E63">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776" w:type="dxa"/>
            <w:vAlign w:val="center"/>
          </w:tcPr>
          <w:p w14:paraId="0324C06A">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484" w:type="dxa"/>
            <w:vAlign w:val="center"/>
          </w:tcPr>
          <w:p w14:paraId="33F64AD2">
            <w:pPr>
              <w:jc w:val="center"/>
              <w:rPr>
                <w:rFonts w:hint="default" w:eastAsia="宋体"/>
                <w:snapToGrid w:val="0"/>
                <w:color w:val="auto"/>
                <w:kern w:val="21"/>
                <w:lang w:val="en-US" w:eastAsia="zh-CN"/>
              </w:rPr>
            </w:pPr>
            <w:r>
              <w:rPr>
                <w:rFonts w:hint="eastAsia"/>
                <w:snapToGrid w:val="0"/>
                <w:color w:val="auto"/>
                <w:kern w:val="21"/>
                <w:lang w:val="en-US" w:eastAsia="zh-CN"/>
              </w:rPr>
              <w:t>26.496</w:t>
            </w:r>
          </w:p>
        </w:tc>
        <w:tc>
          <w:tcPr>
            <w:tcW w:w="1761" w:type="dxa"/>
            <w:vAlign w:val="center"/>
          </w:tcPr>
          <w:p w14:paraId="0AA1297F">
            <w:pPr>
              <w:jc w:val="center"/>
              <w:rPr>
                <w:snapToGrid w:val="0"/>
                <w:color w:val="auto"/>
                <w:kern w:val="21"/>
                <w:szCs w:val="21"/>
              </w:rPr>
            </w:pPr>
            <w:r>
              <w:rPr>
                <w:rFonts w:hint="eastAsia"/>
                <w:color w:val="auto"/>
              </w:rPr>
              <w:t>/</w:t>
            </w:r>
          </w:p>
        </w:tc>
        <w:tc>
          <w:tcPr>
            <w:tcW w:w="1707" w:type="dxa"/>
            <w:vAlign w:val="center"/>
          </w:tcPr>
          <w:p w14:paraId="63C19107">
            <w:pPr>
              <w:jc w:val="center"/>
              <w:rPr>
                <w:rFonts w:hint="default" w:eastAsia="宋体"/>
                <w:snapToGrid w:val="0"/>
                <w:color w:val="auto"/>
                <w:kern w:val="21"/>
                <w:szCs w:val="21"/>
                <w:lang w:val="en-US" w:eastAsia="zh-CN"/>
              </w:rPr>
            </w:pPr>
            <w:r>
              <w:rPr>
                <w:rFonts w:hint="eastAsia"/>
                <w:snapToGrid w:val="0"/>
                <w:color w:val="auto"/>
                <w:kern w:val="21"/>
                <w:lang w:val="en-US" w:eastAsia="zh-CN"/>
              </w:rPr>
              <w:t>26.496</w:t>
            </w:r>
          </w:p>
        </w:tc>
        <w:tc>
          <w:tcPr>
            <w:tcW w:w="1078" w:type="dxa"/>
            <w:vAlign w:val="center"/>
          </w:tcPr>
          <w:p w14:paraId="13E5939C">
            <w:pPr>
              <w:jc w:val="center"/>
              <w:rPr>
                <w:rFonts w:hint="default" w:eastAsia="宋体"/>
                <w:color w:val="auto"/>
                <w:lang w:val="en-US" w:eastAsia="zh-CN"/>
              </w:rPr>
            </w:pPr>
            <w:r>
              <w:rPr>
                <w:rFonts w:hint="eastAsia"/>
                <w:snapToGrid w:val="0"/>
                <w:color w:val="auto"/>
                <w:kern w:val="21"/>
                <w:lang w:val="en-US" w:eastAsia="zh-CN"/>
              </w:rPr>
              <w:t>+26.496</w:t>
            </w:r>
          </w:p>
        </w:tc>
      </w:tr>
      <w:tr w14:paraId="2D1FF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Align w:val="center"/>
          </w:tcPr>
          <w:p w14:paraId="1DD5DC7E">
            <w:pPr>
              <w:pStyle w:val="109"/>
              <w:spacing w:before="0" w:beforeLines="0" w:after="0" w:afterLines="0" w:line="240" w:lineRule="auto"/>
              <w:ind w:right="0"/>
              <w:rPr>
                <w:rFonts w:ascii="Times New Roman"/>
                <w:b/>
                <w:bCs/>
                <w:snapToGrid w:val="0"/>
                <w:color w:val="auto"/>
                <w:kern w:val="21"/>
                <w:sz w:val="21"/>
                <w:szCs w:val="21"/>
              </w:rPr>
            </w:pPr>
            <w:r>
              <w:rPr>
                <w:rFonts w:hint="eastAsia" w:ascii="Times New Roman"/>
                <w:b/>
                <w:bCs/>
                <w:snapToGrid w:val="0"/>
                <w:color w:val="auto"/>
                <w:kern w:val="21"/>
                <w:sz w:val="21"/>
                <w:szCs w:val="21"/>
              </w:rPr>
              <w:t>生活垃圾</w:t>
            </w:r>
          </w:p>
        </w:tc>
        <w:tc>
          <w:tcPr>
            <w:tcW w:w="1619" w:type="dxa"/>
            <w:vAlign w:val="center"/>
          </w:tcPr>
          <w:p w14:paraId="30789D20">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生活垃圾</w:t>
            </w:r>
          </w:p>
        </w:tc>
        <w:tc>
          <w:tcPr>
            <w:tcW w:w="1789" w:type="dxa"/>
            <w:vAlign w:val="center"/>
          </w:tcPr>
          <w:p w14:paraId="1E3095D1">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188" w:type="dxa"/>
            <w:vAlign w:val="center"/>
          </w:tcPr>
          <w:p w14:paraId="48F02773">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776" w:type="dxa"/>
            <w:vAlign w:val="center"/>
          </w:tcPr>
          <w:p w14:paraId="40264D48">
            <w:pPr>
              <w:pStyle w:val="109"/>
              <w:spacing w:before="0" w:beforeLines="0" w:after="0" w:afterLines="0" w:line="240" w:lineRule="auto"/>
              <w:ind w:right="0"/>
              <w:rPr>
                <w:rFonts w:ascii="Times New Roman"/>
                <w:snapToGrid w:val="0"/>
                <w:color w:val="auto"/>
                <w:kern w:val="21"/>
                <w:sz w:val="21"/>
                <w:szCs w:val="21"/>
              </w:rPr>
            </w:pPr>
            <w:r>
              <w:rPr>
                <w:rFonts w:hint="eastAsia" w:ascii="Times New Roman"/>
                <w:snapToGrid w:val="0"/>
                <w:color w:val="auto"/>
                <w:kern w:val="21"/>
                <w:sz w:val="21"/>
                <w:szCs w:val="21"/>
              </w:rPr>
              <w:t>/</w:t>
            </w:r>
          </w:p>
        </w:tc>
        <w:tc>
          <w:tcPr>
            <w:tcW w:w="1484" w:type="dxa"/>
            <w:vAlign w:val="center"/>
          </w:tcPr>
          <w:p w14:paraId="186F8938">
            <w:pPr>
              <w:jc w:val="center"/>
              <w:rPr>
                <w:snapToGrid w:val="0"/>
                <w:color w:val="auto"/>
                <w:kern w:val="21"/>
              </w:rPr>
            </w:pPr>
            <w:r>
              <w:rPr>
                <w:rFonts w:hint="eastAsia"/>
                <w:snapToGrid w:val="0"/>
                <w:color w:val="auto"/>
                <w:kern w:val="21"/>
              </w:rPr>
              <w:t>4.5</w:t>
            </w:r>
          </w:p>
        </w:tc>
        <w:tc>
          <w:tcPr>
            <w:tcW w:w="1761" w:type="dxa"/>
            <w:vAlign w:val="center"/>
          </w:tcPr>
          <w:p w14:paraId="09EFD674">
            <w:pPr>
              <w:jc w:val="center"/>
              <w:rPr>
                <w:color w:val="auto"/>
              </w:rPr>
            </w:pPr>
            <w:r>
              <w:rPr>
                <w:rFonts w:hint="eastAsia"/>
                <w:color w:val="auto"/>
              </w:rPr>
              <w:t>/</w:t>
            </w:r>
          </w:p>
        </w:tc>
        <w:tc>
          <w:tcPr>
            <w:tcW w:w="1707" w:type="dxa"/>
            <w:vAlign w:val="center"/>
          </w:tcPr>
          <w:p w14:paraId="5102E0F4">
            <w:pPr>
              <w:jc w:val="center"/>
              <w:rPr>
                <w:snapToGrid w:val="0"/>
                <w:color w:val="auto"/>
                <w:kern w:val="21"/>
                <w:szCs w:val="21"/>
              </w:rPr>
            </w:pPr>
            <w:r>
              <w:rPr>
                <w:rFonts w:hint="eastAsia"/>
                <w:snapToGrid w:val="0"/>
                <w:color w:val="auto"/>
                <w:kern w:val="21"/>
              </w:rPr>
              <w:t>4.5</w:t>
            </w:r>
          </w:p>
        </w:tc>
        <w:tc>
          <w:tcPr>
            <w:tcW w:w="1078" w:type="dxa"/>
            <w:vAlign w:val="center"/>
          </w:tcPr>
          <w:p w14:paraId="767CCF0C">
            <w:pPr>
              <w:jc w:val="center"/>
              <w:rPr>
                <w:color w:val="auto"/>
                <w:kern w:val="0"/>
                <w:szCs w:val="21"/>
              </w:rPr>
            </w:pPr>
            <w:r>
              <w:rPr>
                <w:rFonts w:hint="eastAsia"/>
                <w:snapToGrid w:val="0"/>
                <w:color w:val="auto"/>
                <w:kern w:val="21"/>
                <w:lang w:val="en-US" w:eastAsia="zh-CN"/>
              </w:rPr>
              <w:t>+</w:t>
            </w:r>
            <w:r>
              <w:rPr>
                <w:rFonts w:hint="eastAsia"/>
                <w:snapToGrid w:val="0"/>
                <w:color w:val="auto"/>
                <w:kern w:val="21"/>
              </w:rPr>
              <w:t>4.5</w:t>
            </w:r>
          </w:p>
        </w:tc>
      </w:tr>
      <w:tr w14:paraId="2610F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restart"/>
            <w:vAlign w:val="center"/>
          </w:tcPr>
          <w:p w14:paraId="3ED891DB">
            <w:pPr>
              <w:pStyle w:val="109"/>
              <w:spacing w:before="0" w:beforeLines="0" w:after="0" w:afterLines="0" w:line="240" w:lineRule="auto"/>
              <w:ind w:right="0"/>
              <w:rPr>
                <w:rFonts w:ascii="Times New Roman"/>
                <w:b/>
                <w:bCs/>
                <w:snapToGrid w:val="0"/>
                <w:color w:val="auto"/>
                <w:kern w:val="21"/>
                <w:sz w:val="21"/>
                <w:szCs w:val="21"/>
              </w:rPr>
            </w:pPr>
            <w:r>
              <w:rPr>
                <w:rFonts w:ascii="Times New Roman"/>
                <w:b/>
                <w:bCs/>
                <w:snapToGrid w:val="0"/>
                <w:color w:val="auto"/>
                <w:kern w:val="21"/>
                <w:sz w:val="21"/>
                <w:szCs w:val="21"/>
              </w:rPr>
              <w:t>危险</w:t>
            </w:r>
            <w:r>
              <w:rPr>
                <w:rFonts w:hint="eastAsia" w:ascii="Times New Roman"/>
                <w:b/>
                <w:bCs/>
                <w:snapToGrid w:val="0"/>
                <w:color w:val="auto"/>
                <w:kern w:val="21"/>
                <w:sz w:val="21"/>
                <w:szCs w:val="21"/>
              </w:rPr>
              <w:t>固体</w:t>
            </w:r>
            <w:r>
              <w:rPr>
                <w:rFonts w:ascii="Times New Roman"/>
                <w:b/>
                <w:bCs/>
                <w:snapToGrid w:val="0"/>
                <w:color w:val="auto"/>
                <w:kern w:val="21"/>
                <w:sz w:val="21"/>
                <w:szCs w:val="21"/>
              </w:rPr>
              <w:t>废物</w:t>
            </w:r>
          </w:p>
        </w:tc>
        <w:tc>
          <w:tcPr>
            <w:tcW w:w="1619" w:type="dxa"/>
            <w:vAlign w:val="center"/>
          </w:tcPr>
          <w:p w14:paraId="1560443F">
            <w:pPr>
              <w:snapToGrid w:val="0"/>
              <w:jc w:val="center"/>
              <w:rPr>
                <w:rFonts w:hint="eastAsia" w:eastAsia="宋体"/>
                <w:color w:val="auto"/>
                <w:kern w:val="0"/>
                <w:szCs w:val="21"/>
                <w:lang w:eastAsia="zh-CN"/>
              </w:rPr>
            </w:pPr>
            <w:r>
              <w:rPr>
                <w:rFonts w:hint="eastAsia"/>
                <w:color w:val="auto"/>
                <w:kern w:val="0"/>
                <w:szCs w:val="21"/>
              </w:rPr>
              <w:t>废</w:t>
            </w:r>
            <w:r>
              <w:rPr>
                <w:rFonts w:hint="eastAsia"/>
                <w:color w:val="auto"/>
                <w:kern w:val="0"/>
                <w:szCs w:val="21"/>
                <w:lang w:val="en-US" w:eastAsia="zh-CN"/>
              </w:rPr>
              <w:t>液压油</w:t>
            </w:r>
          </w:p>
        </w:tc>
        <w:tc>
          <w:tcPr>
            <w:tcW w:w="1789" w:type="dxa"/>
            <w:vAlign w:val="center"/>
          </w:tcPr>
          <w:p w14:paraId="2926D584">
            <w:pPr>
              <w:jc w:val="center"/>
              <w:rPr>
                <w:color w:val="auto"/>
              </w:rPr>
            </w:pPr>
            <w:r>
              <w:rPr>
                <w:rFonts w:hint="eastAsia"/>
                <w:snapToGrid w:val="0"/>
                <w:color w:val="auto"/>
                <w:kern w:val="21"/>
                <w:szCs w:val="21"/>
              </w:rPr>
              <w:t>/</w:t>
            </w:r>
          </w:p>
        </w:tc>
        <w:tc>
          <w:tcPr>
            <w:tcW w:w="1188" w:type="dxa"/>
            <w:vAlign w:val="center"/>
          </w:tcPr>
          <w:p w14:paraId="51D9FE5F">
            <w:pPr>
              <w:jc w:val="center"/>
              <w:rPr>
                <w:color w:val="auto"/>
              </w:rPr>
            </w:pPr>
            <w:r>
              <w:rPr>
                <w:rFonts w:hint="eastAsia"/>
                <w:snapToGrid w:val="0"/>
                <w:color w:val="auto"/>
                <w:kern w:val="21"/>
                <w:szCs w:val="21"/>
              </w:rPr>
              <w:t>/</w:t>
            </w:r>
          </w:p>
        </w:tc>
        <w:tc>
          <w:tcPr>
            <w:tcW w:w="1776" w:type="dxa"/>
            <w:vAlign w:val="center"/>
          </w:tcPr>
          <w:p w14:paraId="33005F0D">
            <w:pPr>
              <w:jc w:val="center"/>
              <w:rPr>
                <w:color w:val="auto"/>
              </w:rPr>
            </w:pPr>
            <w:r>
              <w:rPr>
                <w:rFonts w:hint="eastAsia"/>
                <w:snapToGrid w:val="0"/>
                <w:color w:val="auto"/>
                <w:kern w:val="21"/>
                <w:szCs w:val="21"/>
              </w:rPr>
              <w:t>/</w:t>
            </w:r>
          </w:p>
        </w:tc>
        <w:tc>
          <w:tcPr>
            <w:tcW w:w="1484" w:type="dxa"/>
            <w:vAlign w:val="center"/>
          </w:tcPr>
          <w:p w14:paraId="304B35B6">
            <w:pPr>
              <w:snapToGrid w:val="0"/>
              <w:jc w:val="center"/>
              <w:rPr>
                <w:rFonts w:hint="eastAsia" w:eastAsia="宋体" w:cs="宋体"/>
                <w:color w:val="auto"/>
                <w:kern w:val="0"/>
                <w:szCs w:val="21"/>
                <w:lang w:eastAsia="zh-CN"/>
              </w:rPr>
            </w:pPr>
            <w:r>
              <w:rPr>
                <w:rFonts w:hint="eastAsia" w:cs="宋体"/>
                <w:color w:val="auto"/>
                <w:kern w:val="0"/>
                <w:szCs w:val="21"/>
              </w:rPr>
              <w:t>0.</w:t>
            </w:r>
            <w:r>
              <w:rPr>
                <w:rFonts w:hint="eastAsia" w:cs="宋体"/>
                <w:color w:val="auto"/>
                <w:kern w:val="0"/>
                <w:szCs w:val="21"/>
                <w:lang w:val="en-US" w:eastAsia="zh-CN"/>
              </w:rPr>
              <w:t>2</w:t>
            </w:r>
          </w:p>
        </w:tc>
        <w:tc>
          <w:tcPr>
            <w:tcW w:w="1761" w:type="dxa"/>
            <w:vAlign w:val="center"/>
          </w:tcPr>
          <w:p w14:paraId="5058659A">
            <w:pPr>
              <w:jc w:val="center"/>
              <w:rPr>
                <w:snapToGrid w:val="0"/>
                <w:color w:val="auto"/>
                <w:kern w:val="21"/>
              </w:rPr>
            </w:pPr>
            <w:r>
              <w:rPr>
                <w:rFonts w:hint="eastAsia"/>
                <w:color w:val="auto"/>
              </w:rPr>
              <w:t>/</w:t>
            </w:r>
          </w:p>
        </w:tc>
        <w:tc>
          <w:tcPr>
            <w:tcW w:w="1707" w:type="dxa"/>
            <w:vAlign w:val="center"/>
          </w:tcPr>
          <w:p w14:paraId="6A3EA0A8">
            <w:pPr>
              <w:snapToGrid w:val="0"/>
              <w:jc w:val="center"/>
              <w:rPr>
                <w:rFonts w:hint="default" w:eastAsia="宋体"/>
                <w:color w:val="auto"/>
                <w:lang w:val="en-US" w:eastAsia="zh-CN"/>
              </w:rPr>
            </w:pPr>
            <w:r>
              <w:rPr>
                <w:rFonts w:hint="eastAsia" w:cs="宋体"/>
                <w:color w:val="auto"/>
                <w:kern w:val="0"/>
                <w:szCs w:val="21"/>
                <w:lang w:val="en-US" w:eastAsia="zh-CN"/>
              </w:rPr>
              <w:t>0.2</w:t>
            </w:r>
          </w:p>
        </w:tc>
        <w:tc>
          <w:tcPr>
            <w:tcW w:w="1078" w:type="dxa"/>
            <w:vAlign w:val="center"/>
          </w:tcPr>
          <w:p w14:paraId="7FA63374">
            <w:pPr>
              <w:snapToGrid w:val="0"/>
              <w:jc w:val="center"/>
              <w:rPr>
                <w:rFonts w:hint="eastAsia" w:eastAsia="宋体"/>
                <w:color w:val="auto"/>
                <w:lang w:eastAsia="zh-CN"/>
              </w:rPr>
            </w:pPr>
            <w:r>
              <w:rPr>
                <w:rFonts w:hint="eastAsia" w:cs="宋体"/>
                <w:color w:val="auto"/>
                <w:kern w:val="0"/>
                <w:szCs w:val="21"/>
                <w:lang w:val="en-US" w:eastAsia="zh-CN"/>
              </w:rPr>
              <w:t>+</w:t>
            </w:r>
            <w:r>
              <w:rPr>
                <w:rFonts w:hint="eastAsia" w:cs="宋体"/>
                <w:color w:val="auto"/>
                <w:kern w:val="0"/>
                <w:szCs w:val="21"/>
              </w:rPr>
              <w:t>0.</w:t>
            </w:r>
            <w:r>
              <w:rPr>
                <w:rFonts w:hint="eastAsia" w:cs="宋体"/>
                <w:color w:val="auto"/>
                <w:kern w:val="0"/>
                <w:szCs w:val="21"/>
                <w:lang w:val="en-US" w:eastAsia="zh-CN"/>
              </w:rPr>
              <w:t>2</w:t>
            </w:r>
          </w:p>
        </w:tc>
      </w:tr>
      <w:tr w14:paraId="15451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739232BE">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4AB197C3">
            <w:pPr>
              <w:snapToGrid w:val="0"/>
              <w:jc w:val="center"/>
              <w:rPr>
                <w:snapToGrid w:val="0"/>
                <w:color w:val="auto"/>
                <w:kern w:val="21"/>
                <w:szCs w:val="21"/>
              </w:rPr>
            </w:pPr>
            <w:r>
              <w:rPr>
                <w:rFonts w:hint="eastAsia"/>
                <w:color w:val="auto"/>
                <w:kern w:val="0"/>
                <w:szCs w:val="21"/>
              </w:rPr>
              <w:t>废包装桶</w:t>
            </w:r>
          </w:p>
        </w:tc>
        <w:tc>
          <w:tcPr>
            <w:tcW w:w="1789" w:type="dxa"/>
            <w:vAlign w:val="center"/>
          </w:tcPr>
          <w:p w14:paraId="1A17EDAE">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188" w:type="dxa"/>
            <w:vAlign w:val="center"/>
          </w:tcPr>
          <w:p w14:paraId="2305FDE3">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776" w:type="dxa"/>
            <w:vAlign w:val="center"/>
          </w:tcPr>
          <w:p w14:paraId="37E9A07E">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484" w:type="dxa"/>
            <w:vAlign w:val="center"/>
          </w:tcPr>
          <w:p w14:paraId="18BED000">
            <w:pPr>
              <w:snapToGrid w:val="0"/>
              <w:jc w:val="center"/>
              <w:rPr>
                <w:snapToGrid w:val="0"/>
                <w:color w:val="auto"/>
                <w:kern w:val="21"/>
              </w:rPr>
            </w:pPr>
            <w:r>
              <w:rPr>
                <w:rFonts w:hint="eastAsia" w:cs="宋体"/>
                <w:color w:val="auto"/>
                <w:kern w:val="0"/>
                <w:szCs w:val="21"/>
              </w:rPr>
              <w:t>0.06</w:t>
            </w:r>
          </w:p>
        </w:tc>
        <w:tc>
          <w:tcPr>
            <w:tcW w:w="1761" w:type="dxa"/>
            <w:vAlign w:val="center"/>
          </w:tcPr>
          <w:p w14:paraId="6B3E5BC0">
            <w:pPr>
              <w:jc w:val="center"/>
              <w:rPr>
                <w:snapToGrid w:val="0"/>
                <w:color w:val="auto"/>
                <w:kern w:val="21"/>
              </w:rPr>
            </w:pPr>
            <w:r>
              <w:rPr>
                <w:rFonts w:hint="eastAsia"/>
                <w:color w:val="auto"/>
              </w:rPr>
              <w:t>/</w:t>
            </w:r>
          </w:p>
        </w:tc>
        <w:tc>
          <w:tcPr>
            <w:tcW w:w="1707" w:type="dxa"/>
            <w:vAlign w:val="center"/>
          </w:tcPr>
          <w:p w14:paraId="5252C717">
            <w:pPr>
              <w:snapToGrid w:val="0"/>
              <w:jc w:val="center"/>
              <w:rPr>
                <w:snapToGrid w:val="0"/>
                <w:color w:val="auto"/>
                <w:kern w:val="21"/>
                <w:szCs w:val="21"/>
              </w:rPr>
            </w:pPr>
            <w:r>
              <w:rPr>
                <w:rFonts w:hint="eastAsia" w:cs="宋体"/>
                <w:color w:val="auto"/>
                <w:kern w:val="0"/>
                <w:szCs w:val="21"/>
              </w:rPr>
              <w:t>0.06</w:t>
            </w:r>
          </w:p>
        </w:tc>
        <w:tc>
          <w:tcPr>
            <w:tcW w:w="1078" w:type="dxa"/>
            <w:vAlign w:val="center"/>
          </w:tcPr>
          <w:p w14:paraId="4CAC9E63">
            <w:pPr>
              <w:snapToGrid w:val="0"/>
              <w:jc w:val="center"/>
              <w:rPr>
                <w:color w:val="auto"/>
              </w:rPr>
            </w:pPr>
            <w:r>
              <w:rPr>
                <w:rFonts w:hint="eastAsia" w:cs="宋体"/>
                <w:color w:val="auto"/>
                <w:kern w:val="0"/>
                <w:szCs w:val="21"/>
                <w:lang w:val="en-US" w:eastAsia="zh-CN"/>
              </w:rPr>
              <w:t>+</w:t>
            </w:r>
            <w:r>
              <w:rPr>
                <w:rFonts w:hint="eastAsia" w:cs="宋体"/>
                <w:color w:val="auto"/>
                <w:kern w:val="0"/>
                <w:szCs w:val="21"/>
              </w:rPr>
              <w:t>0.06</w:t>
            </w:r>
          </w:p>
        </w:tc>
      </w:tr>
      <w:tr w14:paraId="7A0CC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17ACE2A3">
            <w:pPr>
              <w:pStyle w:val="109"/>
              <w:spacing w:before="0" w:beforeLines="0" w:after="0" w:afterLines="0" w:line="240" w:lineRule="auto"/>
              <w:ind w:right="0"/>
              <w:rPr>
                <w:rFonts w:ascii="Times New Roman"/>
                <w:b/>
                <w:bCs/>
                <w:snapToGrid w:val="0"/>
                <w:color w:val="auto"/>
                <w:kern w:val="21"/>
                <w:sz w:val="21"/>
                <w:szCs w:val="21"/>
              </w:rPr>
            </w:pPr>
          </w:p>
        </w:tc>
        <w:tc>
          <w:tcPr>
            <w:tcW w:w="1619" w:type="dxa"/>
            <w:vAlign w:val="center"/>
          </w:tcPr>
          <w:p w14:paraId="5E7F530A">
            <w:pPr>
              <w:snapToGrid w:val="0"/>
              <w:jc w:val="center"/>
              <w:rPr>
                <w:color w:val="auto"/>
                <w:szCs w:val="21"/>
                <w:lang w:val="eu" w:bidi="ar"/>
              </w:rPr>
            </w:pPr>
            <w:r>
              <w:rPr>
                <w:rFonts w:hint="eastAsia"/>
                <w:color w:val="auto"/>
                <w:szCs w:val="21"/>
              </w:rPr>
              <w:t>废活性炭</w:t>
            </w:r>
          </w:p>
        </w:tc>
        <w:tc>
          <w:tcPr>
            <w:tcW w:w="1789" w:type="dxa"/>
            <w:vAlign w:val="center"/>
          </w:tcPr>
          <w:p w14:paraId="55A19FF1">
            <w:pPr>
              <w:jc w:val="center"/>
              <w:rPr>
                <w:color w:val="auto"/>
              </w:rPr>
            </w:pPr>
            <w:r>
              <w:rPr>
                <w:rFonts w:hint="eastAsia"/>
                <w:snapToGrid w:val="0"/>
                <w:color w:val="auto"/>
                <w:kern w:val="21"/>
                <w:szCs w:val="21"/>
              </w:rPr>
              <w:t>/</w:t>
            </w:r>
          </w:p>
        </w:tc>
        <w:tc>
          <w:tcPr>
            <w:tcW w:w="1188" w:type="dxa"/>
            <w:vAlign w:val="center"/>
          </w:tcPr>
          <w:p w14:paraId="3481BD50">
            <w:pPr>
              <w:jc w:val="center"/>
              <w:rPr>
                <w:color w:val="auto"/>
              </w:rPr>
            </w:pPr>
            <w:r>
              <w:rPr>
                <w:rFonts w:hint="eastAsia"/>
                <w:snapToGrid w:val="0"/>
                <w:color w:val="auto"/>
                <w:kern w:val="21"/>
                <w:szCs w:val="21"/>
              </w:rPr>
              <w:t>/</w:t>
            </w:r>
          </w:p>
        </w:tc>
        <w:tc>
          <w:tcPr>
            <w:tcW w:w="1776" w:type="dxa"/>
            <w:vAlign w:val="center"/>
          </w:tcPr>
          <w:p w14:paraId="70487AF4">
            <w:pPr>
              <w:jc w:val="center"/>
              <w:rPr>
                <w:color w:val="auto"/>
              </w:rPr>
            </w:pPr>
            <w:r>
              <w:rPr>
                <w:rFonts w:hint="eastAsia"/>
                <w:snapToGrid w:val="0"/>
                <w:color w:val="auto"/>
                <w:kern w:val="21"/>
                <w:szCs w:val="21"/>
              </w:rPr>
              <w:t>/</w:t>
            </w:r>
          </w:p>
        </w:tc>
        <w:tc>
          <w:tcPr>
            <w:tcW w:w="1484" w:type="dxa"/>
            <w:vAlign w:val="center"/>
          </w:tcPr>
          <w:p w14:paraId="27A1DB21">
            <w:pPr>
              <w:snapToGrid w:val="0"/>
              <w:jc w:val="center"/>
              <w:rPr>
                <w:rFonts w:hint="default" w:eastAsia="宋体"/>
                <w:color w:val="auto"/>
                <w:lang w:val="en-US" w:eastAsia="zh-CN"/>
              </w:rPr>
            </w:pPr>
            <w:r>
              <w:rPr>
                <w:rFonts w:hint="eastAsia"/>
                <w:color w:val="auto"/>
                <w:lang w:val="en-US" w:eastAsia="zh-CN"/>
              </w:rPr>
              <w:t>8.957</w:t>
            </w:r>
          </w:p>
        </w:tc>
        <w:tc>
          <w:tcPr>
            <w:tcW w:w="1761" w:type="dxa"/>
            <w:vAlign w:val="center"/>
          </w:tcPr>
          <w:p w14:paraId="07603777">
            <w:pPr>
              <w:jc w:val="center"/>
              <w:rPr>
                <w:snapToGrid w:val="0"/>
                <w:color w:val="auto"/>
                <w:kern w:val="21"/>
              </w:rPr>
            </w:pPr>
            <w:r>
              <w:rPr>
                <w:rFonts w:hint="eastAsia"/>
                <w:color w:val="auto"/>
              </w:rPr>
              <w:t>/</w:t>
            </w:r>
          </w:p>
        </w:tc>
        <w:tc>
          <w:tcPr>
            <w:tcW w:w="1707" w:type="dxa"/>
            <w:vAlign w:val="center"/>
          </w:tcPr>
          <w:p w14:paraId="113C85BC">
            <w:pPr>
              <w:snapToGrid w:val="0"/>
              <w:jc w:val="center"/>
              <w:rPr>
                <w:rFonts w:hint="default" w:eastAsia="宋体"/>
                <w:color w:val="auto"/>
                <w:szCs w:val="21"/>
                <w:lang w:val="en-US" w:eastAsia="zh-CN"/>
              </w:rPr>
            </w:pPr>
            <w:r>
              <w:rPr>
                <w:rFonts w:hint="eastAsia"/>
                <w:color w:val="auto"/>
                <w:lang w:val="en-US" w:eastAsia="zh-CN"/>
              </w:rPr>
              <w:t>8.957</w:t>
            </w:r>
          </w:p>
        </w:tc>
        <w:tc>
          <w:tcPr>
            <w:tcW w:w="1078" w:type="dxa"/>
            <w:vAlign w:val="center"/>
          </w:tcPr>
          <w:p w14:paraId="59E324EF">
            <w:pPr>
              <w:snapToGrid w:val="0"/>
              <w:jc w:val="center"/>
              <w:rPr>
                <w:rFonts w:hint="default" w:eastAsia="宋体"/>
                <w:color w:val="auto"/>
                <w:lang w:val="en-US" w:eastAsia="zh-CN"/>
              </w:rPr>
            </w:pPr>
            <w:r>
              <w:rPr>
                <w:rFonts w:hint="eastAsia"/>
                <w:color w:val="auto"/>
                <w:lang w:val="en-US" w:eastAsia="zh-CN"/>
              </w:rPr>
              <w:t>+8.957</w:t>
            </w:r>
          </w:p>
        </w:tc>
      </w:tr>
      <w:tr w14:paraId="3C2C6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86" w:type="dxa"/>
            <w:vMerge w:val="continue"/>
            <w:vAlign w:val="center"/>
          </w:tcPr>
          <w:p w14:paraId="567CAB9C">
            <w:pPr>
              <w:pStyle w:val="109"/>
              <w:spacing w:before="0" w:beforeLines="0" w:after="0" w:afterLines="0" w:line="240" w:lineRule="auto"/>
              <w:ind w:right="0"/>
              <w:rPr>
                <w:rFonts w:ascii="Times New Roman"/>
                <w:snapToGrid w:val="0"/>
                <w:color w:val="auto"/>
                <w:kern w:val="21"/>
                <w:sz w:val="21"/>
                <w:szCs w:val="21"/>
              </w:rPr>
            </w:pPr>
          </w:p>
        </w:tc>
        <w:tc>
          <w:tcPr>
            <w:tcW w:w="1619" w:type="dxa"/>
            <w:vAlign w:val="center"/>
          </w:tcPr>
          <w:p w14:paraId="07D05F82">
            <w:pPr>
              <w:snapToGrid w:val="0"/>
              <w:jc w:val="center"/>
              <w:rPr>
                <w:snapToGrid w:val="0"/>
                <w:color w:val="auto"/>
                <w:kern w:val="21"/>
                <w:szCs w:val="21"/>
              </w:rPr>
            </w:pPr>
            <w:r>
              <w:rPr>
                <w:rFonts w:hint="eastAsia"/>
                <w:color w:val="auto"/>
                <w:szCs w:val="21"/>
              </w:rPr>
              <w:t>含油废劳保</w:t>
            </w:r>
          </w:p>
        </w:tc>
        <w:tc>
          <w:tcPr>
            <w:tcW w:w="1789" w:type="dxa"/>
            <w:vAlign w:val="center"/>
          </w:tcPr>
          <w:p w14:paraId="5FECBDEA">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188" w:type="dxa"/>
            <w:vAlign w:val="center"/>
          </w:tcPr>
          <w:p w14:paraId="183EA2FC">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776" w:type="dxa"/>
            <w:vAlign w:val="center"/>
          </w:tcPr>
          <w:p w14:paraId="35FF6362">
            <w:pPr>
              <w:pStyle w:val="109"/>
              <w:spacing w:before="0" w:beforeLines="0" w:after="0" w:afterLines="0" w:line="240" w:lineRule="auto"/>
              <w:ind w:right="0"/>
              <w:rPr>
                <w:rFonts w:ascii="Times New Roman"/>
                <w:snapToGrid w:val="0"/>
                <w:color w:val="auto"/>
                <w:kern w:val="21"/>
              </w:rPr>
            </w:pPr>
            <w:r>
              <w:rPr>
                <w:rFonts w:hint="eastAsia" w:ascii="Times New Roman"/>
                <w:snapToGrid w:val="0"/>
                <w:color w:val="auto"/>
                <w:kern w:val="21"/>
                <w:sz w:val="21"/>
                <w:szCs w:val="21"/>
              </w:rPr>
              <w:t>/</w:t>
            </w:r>
          </w:p>
        </w:tc>
        <w:tc>
          <w:tcPr>
            <w:tcW w:w="1484" w:type="dxa"/>
            <w:vAlign w:val="center"/>
          </w:tcPr>
          <w:p w14:paraId="2194652B">
            <w:pPr>
              <w:snapToGrid w:val="0"/>
              <w:jc w:val="center"/>
              <w:rPr>
                <w:snapToGrid w:val="0"/>
                <w:color w:val="auto"/>
                <w:kern w:val="21"/>
              </w:rPr>
            </w:pPr>
            <w:r>
              <w:rPr>
                <w:rFonts w:hint="eastAsia"/>
                <w:color w:val="auto"/>
                <w:kern w:val="0"/>
                <w:szCs w:val="21"/>
              </w:rPr>
              <w:t>0.05</w:t>
            </w:r>
          </w:p>
        </w:tc>
        <w:tc>
          <w:tcPr>
            <w:tcW w:w="1761" w:type="dxa"/>
            <w:vAlign w:val="center"/>
          </w:tcPr>
          <w:p w14:paraId="54F9EFCC">
            <w:pPr>
              <w:jc w:val="center"/>
              <w:rPr>
                <w:snapToGrid w:val="0"/>
                <w:color w:val="auto"/>
                <w:kern w:val="21"/>
              </w:rPr>
            </w:pPr>
            <w:r>
              <w:rPr>
                <w:rFonts w:hint="eastAsia"/>
                <w:color w:val="auto"/>
              </w:rPr>
              <w:t>/</w:t>
            </w:r>
          </w:p>
        </w:tc>
        <w:tc>
          <w:tcPr>
            <w:tcW w:w="1707" w:type="dxa"/>
            <w:vAlign w:val="center"/>
          </w:tcPr>
          <w:p w14:paraId="13714266">
            <w:pPr>
              <w:snapToGrid w:val="0"/>
              <w:jc w:val="center"/>
              <w:rPr>
                <w:snapToGrid w:val="0"/>
                <w:color w:val="auto"/>
                <w:kern w:val="21"/>
                <w:szCs w:val="21"/>
              </w:rPr>
            </w:pPr>
            <w:r>
              <w:rPr>
                <w:rFonts w:hint="eastAsia"/>
                <w:color w:val="auto"/>
                <w:kern w:val="0"/>
                <w:szCs w:val="21"/>
              </w:rPr>
              <w:t>0.05</w:t>
            </w:r>
          </w:p>
        </w:tc>
        <w:tc>
          <w:tcPr>
            <w:tcW w:w="1078" w:type="dxa"/>
            <w:vAlign w:val="center"/>
          </w:tcPr>
          <w:p w14:paraId="7B0CFBFF">
            <w:pPr>
              <w:snapToGrid w:val="0"/>
              <w:jc w:val="center"/>
              <w:rPr>
                <w:color w:val="auto"/>
              </w:rPr>
            </w:pPr>
            <w:r>
              <w:rPr>
                <w:rFonts w:hint="eastAsia"/>
                <w:color w:val="auto"/>
                <w:kern w:val="0"/>
                <w:szCs w:val="21"/>
                <w:lang w:val="en-US" w:eastAsia="zh-CN"/>
              </w:rPr>
              <w:t>+</w:t>
            </w:r>
            <w:r>
              <w:rPr>
                <w:rFonts w:hint="eastAsia"/>
                <w:color w:val="auto"/>
                <w:kern w:val="0"/>
                <w:szCs w:val="21"/>
              </w:rPr>
              <w:t>0.05</w:t>
            </w:r>
          </w:p>
        </w:tc>
      </w:tr>
    </w:tbl>
    <w:p w14:paraId="083E4D58">
      <w:pPr>
        <w:rPr>
          <w:color w:val="auto"/>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p>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9541F">
    <w:pPr>
      <w:pStyle w:val="5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B109">
    <w:pPr>
      <w:pStyle w:val="5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C045D">
    <w:pPr>
      <w:pStyle w:val="57"/>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56090C">
                          <w:pPr>
                            <w:pStyle w:val="57"/>
                            <w:jc w:val="center"/>
                            <w:rPr>
                              <w:rStyle w:val="93"/>
                              <w:sz w:val="21"/>
                              <w:szCs w:val="21"/>
                            </w:rPr>
                          </w:pPr>
                          <w:r>
                            <w:rPr>
                              <w:rStyle w:val="93"/>
                              <w:sz w:val="21"/>
                              <w:szCs w:val="21"/>
                            </w:rPr>
                            <w:fldChar w:fldCharType="begin"/>
                          </w:r>
                          <w:r>
                            <w:rPr>
                              <w:rStyle w:val="93"/>
                              <w:sz w:val="21"/>
                              <w:szCs w:val="21"/>
                            </w:rPr>
                            <w:instrText xml:space="preserve"> PAGE  \* MERGEFORMAT </w:instrText>
                          </w:r>
                          <w:r>
                            <w:rPr>
                              <w:rStyle w:val="93"/>
                              <w:sz w:val="21"/>
                              <w:szCs w:val="21"/>
                            </w:rPr>
                            <w:fldChar w:fldCharType="separate"/>
                          </w:r>
                          <w:r>
                            <w:rPr>
                              <w:rStyle w:val="93"/>
                              <w:sz w:val="21"/>
                              <w:szCs w:val="21"/>
                            </w:rPr>
                            <w:t>- 54 -</w:t>
                          </w:r>
                          <w:r>
                            <w:rPr>
                              <w:rStyle w:val="93"/>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4B56090C">
                    <w:pPr>
                      <w:pStyle w:val="57"/>
                      <w:jc w:val="center"/>
                      <w:rPr>
                        <w:rStyle w:val="93"/>
                        <w:sz w:val="21"/>
                        <w:szCs w:val="21"/>
                      </w:rPr>
                    </w:pPr>
                    <w:r>
                      <w:rPr>
                        <w:rStyle w:val="93"/>
                        <w:sz w:val="21"/>
                        <w:szCs w:val="21"/>
                      </w:rPr>
                      <w:fldChar w:fldCharType="begin"/>
                    </w:r>
                    <w:r>
                      <w:rPr>
                        <w:rStyle w:val="93"/>
                        <w:sz w:val="21"/>
                        <w:szCs w:val="21"/>
                      </w:rPr>
                      <w:instrText xml:space="preserve"> PAGE  \* MERGEFORMAT </w:instrText>
                    </w:r>
                    <w:r>
                      <w:rPr>
                        <w:rStyle w:val="93"/>
                        <w:sz w:val="21"/>
                        <w:szCs w:val="21"/>
                      </w:rPr>
                      <w:fldChar w:fldCharType="separate"/>
                    </w:r>
                    <w:r>
                      <w:rPr>
                        <w:rStyle w:val="93"/>
                        <w:sz w:val="21"/>
                        <w:szCs w:val="21"/>
                      </w:rPr>
                      <w:t>- 54 -</w:t>
                    </w:r>
                    <w:r>
                      <w:rPr>
                        <w:rStyle w:val="93"/>
                        <w:sz w:val="21"/>
                        <w:szCs w:val="21"/>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C6338">
                          <w:pPr>
                            <w:pStyle w:val="5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FCC6338">
                    <w:pPr>
                      <w:pStyle w:val="5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05B57">
    <w:pPr>
      <w:pStyle w:val="57"/>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337C8">
                          <w:pPr>
                            <w:pStyle w:val="57"/>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8A337C8">
                    <w:pPr>
                      <w:pStyle w:val="57"/>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63</w:t>
                    </w:r>
                    <w:r>
                      <w:rPr>
                        <w:sz w:val="21"/>
                        <w:szCs w:val="21"/>
                      </w:rPr>
                      <w:fldChar w:fldCharType="end"/>
                    </w:r>
                  </w:p>
                </w:txbxContent>
              </v:textbox>
            </v:shape>
          </w:pict>
        </mc:Fallback>
      </mc:AlternateContent>
    </w:r>
  </w:p>
  <w:p w14:paraId="77FCCC14">
    <w:pPr>
      <w:pStyle w:val="5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A840C"/>
    <w:multiLevelType w:val="multilevel"/>
    <w:tmpl w:val="860A840C"/>
    <w:lvl w:ilvl="0" w:tentative="0">
      <w:start w:val="1"/>
      <w:numFmt w:val="decimal"/>
      <w:suff w:val="space"/>
      <w:lvlText w:val="4.2.%1"/>
      <w:lvlJc w:val="left"/>
      <w:pPr>
        <w:tabs>
          <w:tab w:val="left" w:pos="0"/>
        </w:tabs>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r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
    <w:nsid w:val="970EE00F"/>
    <w:multiLevelType w:val="multilevel"/>
    <w:tmpl w:val="970EE00F"/>
    <w:lvl w:ilvl="0" w:tentative="0">
      <w:start w:val="1"/>
      <w:numFmt w:val="decimal"/>
      <w:lvlText w:val="表2-%1 "/>
      <w:lvlJc w:val="left"/>
      <w:pPr>
        <w:ind w:left="425" w:hanging="425"/>
      </w:pPr>
      <w:rPr>
        <w:rFonts w:hint="default" w:ascii="Times New Roman" w:hAnsi="Times New Roman" w:eastAsia="宋体" w:cs="Times New Roman"/>
        <w:b/>
        <w:bCs/>
        <w:sz w:val="24"/>
        <w:szCs w:val="22"/>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98DCDBE8"/>
    <w:multiLevelType w:val="multilevel"/>
    <w:tmpl w:val="98DCDBE8"/>
    <w:lvl w:ilvl="0" w:tentative="0">
      <w:start w:val="1"/>
      <w:numFmt w:val="decimal"/>
      <w:suff w:val="space"/>
      <w:lvlText w:val="4.%1. "/>
      <w:lvlJc w:val="left"/>
      <w:pPr>
        <w:ind w:left="0" w:firstLine="0"/>
      </w:pPr>
      <w:rPr>
        <w:rFonts w:hint="default" w:ascii="Times New Roman" w:hAnsi="Times New Roman" w:eastAsia="黑体" w:cs="Times New Roman"/>
        <w:sz w:val="24"/>
        <w:szCs w:val="24"/>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DFB548CE"/>
    <w:multiLevelType w:val="singleLevel"/>
    <w:tmpl w:val="DFB548CE"/>
    <w:lvl w:ilvl="0" w:tentative="0">
      <w:start w:val="1"/>
      <w:numFmt w:val="decimal"/>
      <w:suff w:val="nothing"/>
      <w:lvlText w:val="（%1）"/>
      <w:lvlJc w:val="left"/>
    </w:lvl>
  </w:abstractNum>
  <w:abstractNum w:abstractNumId="4">
    <w:nsid w:val="E63A210D"/>
    <w:multiLevelType w:val="singleLevel"/>
    <w:tmpl w:val="E63A210D"/>
    <w:lvl w:ilvl="0" w:tentative="0">
      <w:start w:val="18"/>
      <w:numFmt w:val="chineseCounting"/>
      <w:suff w:val="nothing"/>
      <w:lvlText w:val="%1、"/>
      <w:lvlJc w:val="left"/>
      <w:rPr>
        <w:rFonts w:hint="eastAsia"/>
      </w:rPr>
    </w:lvl>
  </w:abstractNum>
  <w:abstractNum w:abstractNumId="5">
    <w:nsid w:val="EED81F96"/>
    <w:multiLevelType w:val="multilevel"/>
    <w:tmpl w:val="EED81F96"/>
    <w:lvl w:ilvl="0" w:tentative="0">
      <w:start w:val="1"/>
      <w:numFmt w:val="decimal"/>
      <w:suff w:val="space"/>
      <w:lvlText w:val="3.3.%1"/>
      <w:lvlJc w:val="left"/>
      <w:pPr>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r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6">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7">
    <w:nsid w:val="FFFFFF7D"/>
    <w:multiLevelType w:val="singleLevel"/>
    <w:tmpl w:val="FFFFFF7D"/>
    <w:lvl w:ilvl="0" w:tentative="0">
      <w:start w:val="1"/>
      <w:numFmt w:val="decimal"/>
      <w:pStyle w:val="49"/>
      <w:lvlText w:val="%1."/>
      <w:lvlJc w:val="left"/>
      <w:pPr>
        <w:tabs>
          <w:tab w:val="left" w:pos="1620"/>
        </w:tabs>
        <w:ind w:left="1620" w:leftChars="600" w:hanging="360" w:hangingChars="200"/>
      </w:pPr>
    </w:lvl>
  </w:abstractNum>
  <w:abstractNum w:abstractNumId="8">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9">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10">
    <w:nsid w:val="FFFFFF80"/>
    <w:multiLevelType w:val="singleLevel"/>
    <w:tmpl w:val="FFFFFF80"/>
    <w:lvl w:ilvl="0" w:tentative="0">
      <w:start w:val="1"/>
      <w:numFmt w:val="bullet"/>
      <w:pStyle w:val="48"/>
      <w:lvlText w:val=""/>
      <w:lvlJc w:val="left"/>
      <w:pPr>
        <w:tabs>
          <w:tab w:val="left" w:pos="2040"/>
        </w:tabs>
        <w:ind w:left="2040" w:leftChars="800" w:hanging="360" w:hangingChars="200"/>
      </w:pPr>
      <w:rPr>
        <w:rFonts w:hint="default" w:ascii="Wingdings" w:hAnsi="Wingdings"/>
      </w:rPr>
    </w:lvl>
  </w:abstractNum>
  <w:abstractNum w:abstractNumId="11">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12">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13">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14">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15">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abstractNum w:abstractNumId="16">
    <w:nsid w:val="144101F0"/>
    <w:multiLevelType w:val="multilevel"/>
    <w:tmpl w:val="144101F0"/>
    <w:lvl w:ilvl="0" w:tentative="0">
      <w:start w:val="1"/>
      <w:numFmt w:val="decimal"/>
      <w:lvlText w:val="2.%1"/>
      <w:lvlJc w:val="left"/>
      <w:pPr>
        <w:tabs>
          <w:tab w:val="left" w:pos="0"/>
        </w:tabs>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cs="Wingdings"/>
      </w:rPr>
    </w:lvl>
    <w:lvl w:ilvl="2" w:tentative="0">
      <w:start w:val="1"/>
      <w:numFmt w:val="lowerRoman"/>
      <w:lvlText w:val="%3."/>
      <w:lvlJc w:val="right"/>
      <w:pPr>
        <w:tabs>
          <w:tab w:val="left" w:pos="1544"/>
        </w:tabs>
        <w:ind w:left="1544" w:hanging="420"/>
      </w:pPr>
      <w:rPr>
        <w:rFonts w:hint="default" w:ascii="宋体" w:hAnsi="宋体" w:eastAsia="宋体" w:cs="宋体"/>
      </w:r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7">
    <w:nsid w:val="1BEB35F0"/>
    <w:multiLevelType w:val="multilevel"/>
    <w:tmpl w:val="1BEB35F0"/>
    <w:lvl w:ilvl="0" w:tentative="0">
      <w:start w:val="1"/>
      <w:numFmt w:val="decimal"/>
      <w:lvlText w:val="表3-%1"/>
      <w:lvlJc w:val="center"/>
      <w:pPr>
        <w:ind w:left="420" w:hanging="420"/>
      </w:pPr>
      <w:rPr>
        <w:rFonts w:hint="default" w:ascii="Times New Roman" w:hAnsi="Times New Roman" w:eastAsia="宋体" w:cs="Times New Roman"/>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769304A"/>
    <w:multiLevelType w:val="multilevel"/>
    <w:tmpl w:val="2769304A"/>
    <w:lvl w:ilvl="0" w:tentative="0">
      <w:start w:val="1"/>
      <w:numFmt w:val="decimal"/>
      <w:lvlText w:val="图2-%1"/>
      <w:lvlJc w:val="left"/>
      <w:pPr>
        <w:ind w:left="650" w:hanging="420"/>
      </w:pPr>
      <w:rPr>
        <w:rFonts w:hint="default" w:ascii="Times New Roman" w:hAnsi="Times New Roman" w:eastAsia="宋体" w:cs="Times New Roman"/>
        <w:b/>
        <w:bCs/>
        <w:sz w:val="24"/>
        <w:szCs w:val="24"/>
      </w:rPr>
    </w:lvl>
    <w:lvl w:ilvl="1" w:tentative="0">
      <w:start w:val="1"/>
      <w:numFmt w:val="lowerLetter"/>
      <w:lvlText w:val="%2)"/>
      <w:lvlJc w:val="left"/>
      <w:pPr>
        <w:ind w:left="1070" w:hanging="420"/>
      </w:pPr>
    </w:lvl>
    <w:lvl w:ilvl="2" w:tentative="0">
      <w:start w:val="1"/>
      <w:numFmt w:val="lowerRoman"/>
      <w:lvlText w:val="%3."/>
      <w:lvlJc w:val="right"/>
      <w:pPr>
        <w:ind w:left="1490" w:hanging="420"/>
      </w:pPr>
    </w:lvl>
    <w:lvl w:ilvl="3" w:tentative="0">
      <w:start w:val="1"/>
      <w:numFmt w:val="decimal"/>
      <w:lvlText w:val="%4."/>
      <w:lvlJc w:val="left"/>
      <w:pPr>
        <w:ind w:left="1910" w:hanging="420"/>
      </w:pPr>
    </w:lvl>
    <w:lvl w:ilvl="4" w:tentative="0">
      <w:start w:val="1"/>
      <w:numFmt w:val="lowerLetter"/>
      <w:lvlText w:val="%5)"/>
      <w:lvlJc w:val="left"/>
      <w:pPr>
        <w:ind w:left="2330" w:hanging="420"/>
      </w:pPr>
    </w:lvl>
    <w:lvl w:ilvl="5" w:tentative="0">
      <w:start w:val="1"/>
      <w:numFmt w:val="lowerRoman"/>
      <w:lvlText w:val="%6."/>
      <w:lvlJc w:val="right"/>
      <w:pPr>
        <w:ind w:left="2750" w:hanging="420"/>
      </w:pPr>
    </w:lvl>
    <w:lvl w:ilvl="6" w:tentative="0">
      <w:start w:val="1"/>
      <w:numFmt w:val="decimal"/>
      <w:lvlText w:val="%7."/>
      <w:lvlJc w:val="left"/>
      <w:pPr>
        <w:ind w:left="3170" w:hanging="420"/>
      </w:pPr>
    </w:lvl>
    <w:lvl w:ilvl="7" w:tentative="0">
      <w:start w:val="1"/>
      <w:numFmt w:val="lowerLetter"/>
      <w:lvlText w:val="%8)"/>
      <w:lvlJc w:val="left"/>
      <w:pPr>
        <w:ind w:left="3590" w:hanging="420"/>
      </w:pPr>
    </w:lvl>
    <w:lvl w:ilvl="8" w:tentative="0">
      <w:start w:val="1"/>
      <w:numFmt w:val="lowerRoman"/>
      <w:lvlText w:val="%9."/>
      <w:lvlJc w:val="right"/>
      <w:pPr>
        <w:ind w:left="4010" w:hanging="420"/>
      </w:pPr>
    </w:lvl>
  </w:abstractNum>
  <w:abstractNum w:abstractNumId="19">
    <w:nsid w:val="32AC38CC"/>
    <w:multiLevelType w:val="multilevel"/>
    <w:tmpl w:val="32AC38CC"/>
    <w:lvl w:ilvl="0" w:tentative="0">
      <w:start w:val="1"/>
      <w:numFmt w:val="decimal"/>
      <w:lvlText w:val="2.1.%1"/>
      <w:lvlJc w:val="left"/>
      <w:pPr>
        <w:tabs>
          <w:tab w:val="left" w:pos="644"/>
        </w:tabs>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rPr>
    </w:lvl>
    <w:lvl w:ilvl="2" w:tentative="0">
      <w:start w:val="1"/>
      <w:numFmt w:val="lowerRoman"/>
      <w:lvlText w:val="%3."/>
      <w:lvlJc w:val="right"/>
      <w:pPr>
        <w:tabs>
          <w:tab w:val="left" w:pos="1544"/>
        </w:tabs>
        <w:ind w:left="1544" w:hanging="420"/>
      </w:pPr>
      <w:rPr>
        <w:rFonts w:hint="eastAsia"/>
      </w:rPr>
    </w:lvl>
    <w:lvl w:ilvl="3" w:tentative="0">
      <w:start w:val="1"/>
      <w:numFmt w:val="decimal"/>
      <w:lvlText w:val="%4."/>
      <w:lvlJc w:val="left"/>
      <w:pPr>
        <w:tabs>
          <w:tab w:val="left" w:pos="1964"/>
        </w:tabs>
        <w:ind w:left="1964" w:hanging="420"/>
      </w:pPr>
      <w:rPr>
        <w:rFonts w:hint="eastAsia"/>
      </w:rPr>
    </w:lvl>
    <w:lvl w:ilvl="4" w:tentative="0">
      <w:start w:val="1"/>
      <w:numFmt w:val="lowerLetter"/>
      <w:lvlText w:val="%5)"/>
      <w:lvlJc w:val="left"/>
      <w:pPr>
        <w:tabs>
          <w:tab w:val="left" w:pos="2384"/>
        </w:tabs>
        <w:ind w:left="2384" w:hanging="420"/>
      </w:pPr>
      <w:rPr>
        <w:rFonts w:hint="eastAsia"/>
      </w:rPr>
    </w:lvl>
    <w:lvl w:ilvl="5" w:tentative="0">
      <w:start w:val="1"/>
      <w:numFmt w:val="lowerRoman"/>
      <w:lvlText w:val="%6."/>
      <w:lvlJc w:val="right"/>
      <w:pPr>
        <w:tabs>
          <w:tab w:val="left" w:pos="2804"/>
        </w:tabs>
        <w:ind w:left="2804" w:hanging="420"/>
      </w:pPr>
      <w:rPr>
        <w:rFonts w:hint="eastAsia"/>
      </w:rPr>
    </w:lvl>
    <w:lvl w:ilvl="6" w:tentative="0">
      <w:start w:val="1"/>
      <w:numFmt w:val="decimal"/>
      <w:lvlText w:val="%7."/>
      <w:lvlJc w:val="left"/>
      <w:pPr>
        <w:tabs>
          <w:tab w:val="left" w:pos="3224"/>
        </w:tabs>
        <w:ind w:left="3224" w:hanging="420"/>
      </w:pPr>
      <w:rPr>
        <w:rFonts w:hint="eastAsia"/>
      </w:rPr>
    </w:lvl>
    <w:lvl w:ilvl="7" w:tentative="0">
      <w:start w:val="1"/>
      <w:numFmt w:val="lowerLetter"/>
      <w:lvlText w:val="%8)"/>
      <w:lvlJc w:val="left"/>
      <w:pPr>
        <w:tabs>
          <w:tab w:val="left" w:pos="3644"/>
        </w:tabs>
        <w:ind w:left="3644" w:hanging="420"/>
      </w:pPr>
      <w:rPr>
        <w:rFonts w:hint="eastAsia"/>
      </w:rPr>
    </w:lvl>
    <w:lvl w:ilvl="8" w:tentative="0">
      <w:start w:val="1"/>
      <w:numFmt w:val="lowerRoman"/>
      <w:lvlText w:val="%9."/>
      <w:lvlJc w:val="right"/>
      <w:pPr>
        <w:tabs>
          <w:tab w:val="left" w:pos="4064"/>
        </w:tabs>
        <w:ind w:left="4064" w:hanging="420"/>
      </w:pPr>
      <w:rPr>
        <w:rFonts w:hint="eastAsia"/>
      </w:rPr>
    </w:lvl>
  </w:abstractNum>
  <w:abstractNum w:abstractNumId="20">
    <w:nsid w:val="3696A072"/>
    <w:multiLevelType w:val="multilevel"/>
    <w:tmpl w:val="3696A072"/>
    <w:lvl w:ilvl="0" w:tentative="0">
      <w:start w:val="1"/>
      <w:numFmt w:val="decimal"/>
      <w:suff w:val="space"/>
      <w:lvlText w:val="3.%1"/>
      <w:lvlJc w:val="left"/>
      <w:pPr>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cs="Wingdings"/>
      </w:rPr>
    </w:lvl>
    <w:lvl w:ilvl="2" w:tentative="0">
      <w:start w:val="1"/>
      <w:numFmt w:val="lowerRoman"/>
      <w:lvlText w:val="%3."/>
      <w:lvlJc w:val="right"/>
      <w:pPr>
        <w:tabs>
          <w:tab w:val="left" w:pos="1544"/>
        </w:tabs>
        <w:ind w:left="1544" w:hanging="420"/>
      </w:pPr>
      <w:rPr>
        <w:rFonts w:hint="default" w:ascii="宋体" w:hAnsi="宋体" w:eastAsia="宋体" w:cs="宋体"/>
      </w:r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1">
    <w:nsid w:val="474EC44D"/>
    <w:multiLevelType w:val="multilevel"/>
    <w:tmpl w:val="474EC44D"/>
    <w:lvl w:ilvl="0" w:tentative="0">
      <w:start w:val="1"/>
      <w:numFmt w:val="decimal"/>
      <w:suff w:val="space"/>
      <w:lvlText w:val="3.1.%1"/>
      <w:lvlJc w:val="left"/>
      <w:pPr>
        <w:ind w:left="0" w:firstLine="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cs="Wingdings"/>
      </w:rPr>
    </w:lvl>
    <w:lvl w:ilvl="2" w:tentative="0">
      <w:start w:val="1"/>
      <w:numFmt w:val="lowerRoman"/>
      <w:lvlText w:val="%3."/>
      <w:lvlJc w:val="right"/>
      <w:pPr>
        <w:tabs>
          <w:tab w:val="left" w:pos="1544"/>
        </w:tabs>
        <w:ind w:left="1544" w:hanging="420"/>
      </w:pPr>
      <w:rPr>
        <w:rFonts w:hint="default" w:ascii="宋体" w:hAnsi="宋体" w:eastAsia="宋体" w:cs="宋体"/>
      </w:r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2">
    <w:nsid w:val="4C692715"/>
    <w:multiLevelType w:val="multilevel"/>
    <w:tmpl w:val="4C692715"/>
    <w:lvl w:ilvl="0" w:tentative="0">
      <w:start w:val="1"/>
      <w:numFmt w:val="decimal"/>
      <w:lvlText w:val="2.2.%1"/>
      <w:lvlJc w:val="left"/>
      <w:pPr>
        <w:tabs>
          <w:tab w:val="left" w:pos="644"/>
        </w:tabs>
        <w:ind w:left="644" w:hanging="360"/>
      </w:pPr>
      <w:rPr>
        <w:rFonts w:hint="default" w:ascii="Times New Roman" w:hAnsi="Times New Roman" w:eastAsia="黑体" w:cs="Times New Roman"/>
        <w:sz w:val="24"/>
        <w:szCs w:val="24"/>
      </w:rPr>
    </w:lvl>
    <w:lvl w:ilvl="1" w:tentative="0">
      <w:start w:val="1"/>
      <w:numFmt w:val="bullet"/>
      <w:lvlText w:val=""/>
      <w:lvlJc w:val="left"/>
      <w:pPr>
        <w:tabs>
          <w:tab w:val="left" w:pos="518"/>
        </w:tabs>
        <w:ind w:left="-49" w:firstLine="567"/>
      </w:pPr>
      <w:rPr>
        <w:rFonts w:hint="default" w:ascii="Wingdings" w:hAnsi="Wingdings"/>
      </w:rPr>
    </w:lvl>
    <w:lvl w:ilvl="2" w:tentative="0">
      <w:start w:val="1"/>
      <w:numFmt w:val="lowerRoman"/>
      <w:lvlText w:val="%3."/>
      <w:lvlJc w:val="right"/>
      <w:pPr>
        <w:tabs>
          <w:tab w:val="left" w:pos="1544"/>
        </w:tabs>
        <w:ind w:left="1544" w:hanging="420"/>
      </w:pPr>
      <w:rPr>
        <w:rFonts w:hint="eastAsia"/>
      </w:rPr>
    </w:lvl>
    <w:lvl w:ilvl="3" w:tentative="0">
      <w:start w:val="1"/>
      <w:numFmt w:val="decimal"/>
      <w:lvlText w:val="%4."/>
      <w:lvlJc w:val="left"/>
      <w:pPr>
        <w:tabs>
          <w:tab w:val="left" w:pos="1964"/>
        </w:tabs>
        <w:ind w:left="1964" w:hanging="420"/>
      </w:pPr>
      <w:rPr>
        <w:rFonts w:hint="eastAsia"/>
      </w:rPr>
    </w:lvl>
    <w:lvl w:ilvl="4" w:tentative="0">
      <w:start w:val="1"/>
      <w:numFmt w:val="lowerLetter"/>
      <w:lvlText w:val="%5)"/>
      <w:lvlJc w:val="left"/>
      <w:pPr>
        <w:tabs>
          <w:tab w:val="left" w:pos="2384"/>
        </w:tabs>
        <w:ind w:left="2384" w:hanging="420"/>
      </w:pPr>
      <w:rPr>
        <w:rFonts w:hint="eastAsia"/>
      </w:rPr>
    </w:lvl>
    <w:lvl w:ilvl="5" w:tentative="0">
      <w:start w:val="1"/>
      <w:numFmt w:val="lowerRoman"/>
      <w:lvlText w:val="%6."/>
      <w:lvlJc w:val="right"/>
      <w:pPr>
        <w:tabs>
          <w:tab w:val="left" w:pos="2804"/>
        </w:tabs>
        <w:ind w:left="2804" w:hanging="420"/>
      </w:pPr>
      <w:rPr>
        <w:rFonts w:hint="eastAsia"/>
      </w:rPr>
    </w:lvl>
    <w:lvl w:ilvl="6" w:tentative="0">
      <w:start w:val="1"/>
      <w:numFmt w:val="decimal"/>
      <w:lvlText w:val="%7."/>
      <w:lvlJc w:val="left"/>
      <w:pPr>
        <w:tabs>
          <w:tab w:val="left" w:pos="3224"/>
        </w:tabs>
        <w:ind w:left="3224" w:hanging="420"/>
      </w:pPr>
      <w:rPr>
        <w:rFonts w:hint="eastAsia"/>
      </w:rPr>
    </w:lvl>
    <w:lvl w:ilvl="7" w:tentative="0">
      <w:start w:val="1"/>
      <w:numFmt w:val="lowerLetter"/>
      <w:lvlText w:val="%8)"/>
      <w:lvlJc w:val="left"/>
      <w:pPr>
        <w:tabs>
          <w:tab w:val="left" w:pos="3644"/>
        </w:tabs>
        <w:ind w:left="3644" w:hanging="420"/>
      </w:pPr>
      <w:rPr>
        <w:rFonts w:hint="eastAsia"/>
      </w:rPr>
    </w:lvl>
    <w:lvl w:ilvl="8" w:tentative="0">
      <w:start w:val="1"/>
      <w:numFmt w:val="lowerRoman"/>
      <w:lvlText w:val="%9."/>
      <w:lvlJc w:val="right"/>
      <w:pPr>
        <w:tabs>
          <w:tab w:val="left" w:pos="4064"/>
        </w:tabs>
        <w:ind w:left="4064" w:hanging="420"/>
      </w:pPr>
      <w:rPr>
        <w:rFonts w:hint="eastAsia"/>
      </w:rPr>
    </w:lvl>
  </w:abstractNum>
  <w:abstractNum w:abstractNumId="23">
    <w:nsid w:val="543C17DC"/>
    <w:multiLevelType w:val="multilevel"/>
    <w:tmpl w:val="543C17DC"/>
    <w:lvl w:ilvl="0" w:tentative="0">
      <w:start w:val="1"/>
      <w:numFmt w:val="decimal"/>
      <w:suff w:val="space"/>
      <w:lvlText w:val="表4-%1"/>
      <w:lvlJc w:val="center"/>
      <w:pPr>
        <w:ind w:left="420" w:hanging="420"/>
      </w:pPr>
      <w:rPr>
        <w:rFonts w:hint="default" w:ascii="Times New Roman" w:hAnsi="Times New Roman" w:eastAsia="宋体" w:cs="Times New Roman"/>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9139046"/>
    <w:multiLevelType w:val="multilevel"/>
    <w:tmpl w:val="59139046"/>
    <w:lvl w:ilvl="0" w:tentative="0">
      <w:start w:val="1"/>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591C53A5"/>
    <w:multiLevelType w:val="multilevel"/>
    <w:tmpl w:val="591C53A5"/>
    <w:lvl w:ilvl="0" w:tentative="0">
      <w:start w:val="1"/>
      <w:numFmt w:val="decimal"/>
      <w:lvlText w:val="表1-%1"/>
      <w:lvlJc w:val="center"/>
      <w:pPr>
        <w:ind w:left="420" w:hanging="420"/>
      </w:pPr>
      <w:rPr>
        <w:rFonts w:hint="default" w:ascii="Times New Roman" w:hAnsi="Times New Roman" w:eastAsia="宋体" w:cs="Times New Roman"/>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2134800"/>
    <w:multiLevelType w:val="multilevel"/>
    <w:tmpl w:val="62134800"/>
    <w:lvl w:ilvl="0" w:tentative="0">
      <w:start w:val="1"/>
      <w:numFmt w:val="decimal"/>
      <w:lvlText w:val="第%1章"/>
      <w:lvlJc w:val="left"/>
      <w:pPr>
        <w:tabs>
          <w:tab w:val="left" w:pos="170"/>
        </w:tabs>
        <w:ind w:left="170" w:firstLine="0"/>
      </w:pPr>
      <w:rPr>
        <w:rFonts w:hint="eastAsia" w:ascii="Arial" w:hAnsi="Arial" w:eastAsia="黑体" w:cs="Times New Roman"/>
        <w:b w:val="0"/>
        <w:bCs w:val="0"/>
        <w:i w:val="0"/>
        <w:iCs w:val="0"/>
        <w:caps w:val="0"/>
        <w:smallCaps w:val="0"/>
        <w:strike w:val="0"/>
        <w:dstrike w:val="0"/>
        <w:snapToGrid w:val="0"/>
        <w:vanish w:val="0"/>
        <w:color w:val="000000"/>
        <w:spacing w:val="0"/>
        <w:w w:val="0"/>
        <w:kern w:val="0"/>
        <w:position w:val="0"/>
        <w:sz w:val="44"/>
        <w:szCs w:val="0"/>
        <w:u w:val="none"/>
        <w:vertAlign w:val="baseline"/>
      </w:rPr>
    </w:lvl>
    <w:lvl w:ilvl="1" w:tentative="0">
      <w:start w:val="1"/>
      <w:numFmt w:val="decimal"/>
      <w:lvlText w:val="%1.%2"/>
      <w:lvlJc w:val="left"/>
      <w:pPr>
        <w:tabs>
          <w:tab w:val="left" w:pos="851"/>
        </w:tabs>
        <w:ind w:left="851" w:hanging="851"/>
      </w:pPr>
      <w:rPr>
        <w:rFonts w:hint="default" w:ascii="Arial" w:hAnsi="Arial" w:eastAsia="黑体"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1.%2.%3"/>
      <w:lvlJc w:val="left"/>
      <w:pPr>
        <w:tabs>
          <w:tab w:val="left" w:pos="964"/>
        </w:tabs>
        <w:ind w:left="964" w:hanging="964"/>
      </w:pPr>
      <w:rPr>
        <w:rFonts w:hint="default" w:ascii="Arial" w:hAnsi="Arial"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Restart w:val="1"/>
      <w:pStyle w:val="182"/>
      <w:lvlText w:val="表%1-%4"/>
      <w:lvlJc w:val="left"/>
      <w:pPr>
        <w:tabs>
          <w:tab w:val="left" w:pos="851"/>
        </w:tabs>
        <w:ind w:left="851" w:hanging="851"/>
      </w:pPr>
      <w:rPr>
        <w:rFonts w:ascii="Times New Roman" w:hAnsi="Times New Roman" w:eastAsia="宋体" w:cs="Times New Roman"/>
        <w:b/>
        <w:bCs w:val="0"/>
        <w:i w:val="0"/>
        <w:iCs w:val="0"/>
        <w:caps w:val="0"/>
        <w:smallCaps w:val="0"/>
        <w:strike w:val="0"/>
        <w:dstrike w:val="0"/>
        <w:snapToGrid w:val="0"/>
        <w:vanish w:val="0"/>
        <w:color w:val="000000"/>
        <w:spacing w:val="0"/>
        <w:w w:val="0"/>
        <w:kern w:val="0"/>
        <w:position w:val="0"/>
        <w:sz w:val="21"/>
        <w:szCs w:val="21"/>
        <w:u w:val="none"/>
        <w:vertAlign w:val="baseline"/>
        <w:lang w:val="en-US"/>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9"/>
  </w:num>
  <w:num w:numId="2">
    <w:abstractNumId w:val="11"/>
  </w:num>
  <w:num w:numId="3">
    <w:abstractNumId w:val="14"/>
  </w:num>
  <w:num w:numId="4">
    <w:abstractNumId w:val="15"/>
  </w:num>
  <w:num w:numId="5">
    <w:abstractNumId w:val="12"/>
  </w:num>
  <w:num w:numId="6">
    <w:abstractNumId w:val="8"/>
  </w:num>
  <w:num w:numId="7">
    <w:abstractNumId w:val="13"/>
  </w:num>
  <w:num w:numId="8">
    <w:abstractNumId w:val="10"/>
  </w:num>
  <w:num w:numId="9">
    <w:abstractNumId w:val="7"/>
  </w:num>
  <w:num w:numId="10">
    <w:abstractNumId w:val="6"/>
  </w:num>
  <w:num w:numId="11">
    <w:abstractNumId w:val="26"/>
  </w:num>
  <w:num w:numId="12">
    <w:abstractNumId w:val="4"/>
  </w:num>
  <w:num w:numId="13">
    <w:abstractNumId w:val="25"/>
  </w:num>
  <w:num w:numId="14">
    <w:abstractNumId w:val="24"/>
  </w:num>
  <w:num w:numId="15">
    <w:abstractNumId w:val="16"/>
  </w:num>
  <w:num w:numId="16">
    <w:abstractNumId w:val="19"/>
  </w:num>
  <w:num w:numId="17">
    <w:abstractNumId w:val="1"/>
  </w:num>
  <w:num w:numId="18">
    <w:abstractNumId w:val="3"/>
  </w:num>
  <w:num w:numId="19">
    <w:abstractNumId w:val="18"/>
  </w:num>
  <w:num w:numId="20">
    <w:abstractNumId w:val="22"/>
  </w:num>
  <w:num w:numId="21">
    <w:abstractNumId w:val="20"/>
  </w:num>
  <w:num w:numId="22">
    <w:abstractNumId w:val="21"/>
  </w:num>
  <w:num w:numId="23">
    <w:abstractNumId w:val="17"/>
  </w:num>
  <w:num w:numId="24">
    <w:abstractNumId w:val="5"/>
  </w:num>
  <w:num w:numId="25">
    <w:abstractNumId w:val="2"/>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hYzg2YTA1YjQ1ZmU2OGE4NGQ5MmQ2YzBjNTMxYWUifQ=="/>
  </w:docVars>
  <w:rsids>
    <w:rsidRoot w:val="00A14947"/>
    <w:rsid w:val="00000374"/>
    <w:rsid w:val="00004C4E"/>
    <w:rsid w:val="000060B3"/>
    <w:rsid w:val="00006202"/>
    <w:rsid w:val="00007159"/>
    <w:rsid w:val="00007DF4"/>
    <w:rsid w:val="00010D3A"/>
    <w:rsid w:val="000113EB"/>
    <w:rsid w:val="00014FB8"/>
    <w:rsid w:val="00015300"/>
    <w:rsid w:val="00016704"/>
    <w:rsid w:val="00016ED6"/>
    <w:rsid w:val="00017B36"/>
    <w:rsid w:val="00021356"/>
    <w:rsid w:val="0002170C"/>
    <w:rsid w:val="0002216C"/>
    <w:rsid w:val="0002561E"/>
    <w:rsid w:val="00027A37"/>
    <w:rsid w:val="00030AA4"/>
    <w:rsid w:val="0003488C"/>
    <w:rsid w:val="0003642E"/>
    <w:rsid w:val="00037468"/>
    <w:rsid w:val="000401D4"/>
    <w:rsid w:val="0004364B"/>
    <w:rsid w:val="0004497A"/>
    <w:rsid w:val="00045B57"/>
    <w:rsid w:val="0005535D"/>
    <w:rsid w:val="00056237"/>
    <w:rsid w:val="00060AC0"/>
    <w:rsid w:val="00061B1F"/>
    <w:rsid w:val="00062B1D"/>
    <w:rsid w:val="00062E66"/>
    <w:rsid w:val="000638E6"/>
    <w:rsid w:val="000730BA"/>
    <w:rsid w:val="000733C4"/>
    <w:rsid w:val="00074783"/>
    <w:rsid w:val="000756DC"/>
    <w:rsid w:val="00076A09"/>
    <w:rsid w:val="00077DD9"/>
    <w:rsid w:val="0008070B"/>
    <w:rsid w:val="000810AC"/>
    <w:rsid w:val="00081A02"/>
    <w:rsid w:val="00082231"/>
    <w:rsid w:val="000835F7"/>
    <w:rsid w:val="00090448"/>
    <w:rsid w:val="00092D38"/>
    <w:rsid w:val="0009377B"/>
    <w:rsid w:val="00095F83"/>
    <w:rsid w:val="00096798"/>
    <w:rsid w:val="00097968"/>
    <w:rsid w:val="000A01C3"/>
    <w:rsid w:val="000A20C9"/>
    <w:rsid w:val="000A3407"/>
    <w:rsid w:val="000A4CB9"/>
    <w:rsid w:val="000A6163"/>
    <w:rsid w:val="000B058F"/>
    <w:rsid w:val="000B2F09"/>
    <w:rsid w:val="000B3A16"/>
    <w:rsid w:val="000B4467"/>
    <w:rsid w:val="000B4DB9"/>
    <w:rsid w:val="000C09AC"/>
    <w:rsid w:val="000C3F73"/>
    <w:rsid w:val="000C693D"/>
    <w:rsid w:val="000C767F"/>
    <w:rsid w:val="000D0793"/>
    <w:rsid w:val="000D4D8B"/>
    <w:rsid w:val="000D5A44"/>
    <w:rsid w:val="000E2D8E"/>
    <w:rsid w:val="000E3ED2"/>
    <w:rsid w:val="000F028F"/>
    <w:rsid w:val="000F17AF"/>
    <w:rsid w:val="000F3385"/>
    <w:rsid w:val="000F351A"/>
    <w:rsid w:val="00100A60"/>
    <w:rsid w:val="00107191"/>
    <w:rsid w:val="00110BFD"/>
    <w:rsid w:val="001137EA"/>
    <w:rsid w:val="001177F0"/>
    <w:rsid w:val="00126239"/>
    <w:rsid w:val="00127E4E"/>
    <w:rsid w:val="00131F42"/>
    <w:rsid w:val="001357F1"/>
    <w:rsid w:val="001359B6"/>
    <w:rsid w:val="00137C90"/>
    <w:rsid w:val="00140FA8"/>
    <w:rsid w:val="00142FEB"/>
    <w:rsid w:val="00143A2D"/>
    <w:rsid w:val="0014406D"/>
    <w:rsid w:val="001447E5"/>
    <w:rsid w:val="00144824"/>
    <w:rsid w:val="00145A41"/>
    <w:rsid w:val="00146359"/>
    <w:rsid w:val="00146D83"/>
    <w:rsid w:val="00151675"/>
    <w:rsid w:val="001544D9"/>
    <w:rsid w:val="00156419"/>
    <w:rsid w:val="00157435"/>
    <w:rsid w:val="0015795C"/>
    <w:rsid w:val="0016179A"/>
    <w:rsid w:val="00172FF3"/>
    <w:rsid w:val="0017504D"/>
    <w:rsid w:val="0017671A"/>
    <w:rsid w:val="00177213"/>
    <w:rsid w:val="00177422"/>
    <w:rsid w:val="00180F13"/>
    <w:rsid w:val="0018403E"/>
    <w:rsid w:val="00184590"/>
    <w:rsid w:val="001870D1"/>
    <w:rsid w:val="0018781E"/>
    <w:rsid w:val="0019093B"/>
    <w:rsid w:val="0019262D"/>
    <w:rsid w:val="00192BFA"/>
    <w:rsid w:val="00193469"/>
    <w:rsid w:val="0019513E"/>
    <w:rsid w:val="00196F16"/>
    <w:rsid w:val="001A1B35"/>
    <w:rsid w:val="001A286C"/>
    <w:rsid w:val="001A301F"/>
    <w:rsid w:val="001A3646"/>
    <w:rsid w:val="001A48A2"/>
    <w:rsid w:val="001A49B1"/>
    <w:rsid w:val="001A6F61"/>
    <w:rsid w:val="001B6E3B"/>
    <w:rsid w:val="001B72B8"/>
    <w:rsid w:val="001C02FB"/>
    <w:rsid w:val="001C2959"/>
    <w:rsid w:val="001C69B3"/>
    <w:rsid w:val="001D1C51"/>
    <w:rsid w:val="001D29AA"/>
    <w:rsid w:val="001D5595"/>
    <w:rsid w:val="001D7874"/>
    <w:rsid w:val="001D7F22"/>
    <w:rsid w:val="001E02D0"/>
    <w:rsid w:val="001E16A4"/>
    <w:rsid w:val="001E246A"/>
    <w:rsid w:val="001E7C88"/>
    <w:rsid w:val="001F0F17"/>
    <w:rsid w:val="001F1A8C"/>
    <w:rsid w:val="001F1F04"/>
    <w:rsid w:val="001F3347"/>
    <w:rsid w:val="001F4BD3"/>
    <w:rsid w:val="001F5213"/>
    <w:rsid w:val="001F5A5A"/>
    <w:rsid w:val="001F608B"/>
    <w:rsid w:val="001F6895"/>
    <w:rsid w:val="001F69E4"/>
    <w:rsid w:val="00206C78"/>
    <w:rsid w:val="00211F1F"/>
    <w:rsid w:val="002125B4"/>
    <w:rsid w:val="002155B8"/>
    <w:rsid w:val="00224839"/>
    <w:rsid w:val="002249B2"/>
    <w:rsid w:val="00224D67"/>
    <w:rsid w:val="00226574"/>
    <w:rsid w:val="002278EC"/>
    <w:rsid w:val="00227E6D"/>
    <w:rsid w:val="0023280E"/>
    <w:rsid w:val="002377D1"/>
    <w:rsid w:val="00245FFB"/>
    <w:rsid w:val="0024647B"/>
    <w:rsid w:val="002506BC"/>
    <w:rsid w:val="00250831"/>
    <w:rsid w:val="00250A74"/>
    <w:rsid w:val="00251248"/>
    <w:rsid w:val="00254345"/>
    <w:rsid w:val="00257F4C"/>
    <w:rsid w:val="00260178"/>
    <w:rsid w:val="00264557"/>
    <w:rsid w:val="002658CE"/>
    <w:rsid w:val="00266246"/>
    <w:rsid w:val="00275FFE"/>
    <w:rsid w:val="00277633"/>
    <w:rsid w:val="00277C15"/>
    <w:rsid w:val="002805AB"/>
    <w:rsid w:val="002812E3"/>
    <w:rsid w:val="00281A34"/>
    <w:rsid w:val="00283325"/>
    <w:rsid w:val="00284204"/>
    <w:rsid w:val="002846C5"/>
    <w:rsid w:val="00284B3C"/>
    <w:rsid w:val="00286166"/>
    <w:rsid w:val="00291773"/>
    <w:rsid w:val="00291D6F"/>
    <w:rsid w:val="00293B3C"/>
    <w:rsid w:val="002A168C"/>
    <w:rsid w:val="002A35D5"/>
    <w:rsid w:val="002A3DC7"/>
    <w:rsid w:val="002A4ED6"/>
    <w:rsid w:val="002A723D"/>
    <w:rsid w:val="002B00EB"/>
    <w:rsid w:val="002B0B6B"/>
    <w:rsid w:val="002B49E2"/>
    <w:rsid w:val="002B53DD"/>
    <w:rsid w:val="002B6396"/>
    <w:rsid w:val="002B7B00"/>
    <w:rsid w:val="002B7C44"/>
    <w:rsid w:val="002C089B"/>
    <w:rsid w:val="002C2B17"/>
    <w:rsid w:val="002C3835"/>
    <w:rsid w:val="002D2C3A"/>
    <w:rsid w:val="002D3180"/>
    <w:rsid w:val="002D3DD0"/>
    <w:rsid w:val="002D5279"/>
    <w:rsid w:val="002D55E7"/>
    <w:rsid w:val="002D5A07"/>
    <w:rsid w:val="002D60FD"/>
    <w:rsid w:val="002D66DE"/>
    <w:rsid w:val="002E0728"/>
    <w:rsid w:val="002E1F3A"/>
    <w:rsid w:val="002E1F7B"/>
    <w:rsid w:val="002E298A"/>
    <w:rsid w:val="002E3AFE"/>
    <w:rsid w:val="002E7091"/>
    <w:rsid w:val="002F0444"/>
    <w:rsid w:val="002F1533"/>
    <w:rsid w:val="002F1646"/>
    <w:rsid w:val="002F3DF5"/>
    <w:rsid w:val="00301978"/>
    <w:rsid w:val="0030332C"/>
    <w:rsid w:val="0030380F"/>
    <w:rsid w:val="003051C2"/>
    <w:rsid w:val="0031145D"/>
    <w:rsid w:val="00312296"/>
    <w:rsid w:val="003126EF"/>
    <w:rsid w:val="00314F0E"/>
    <w:rsid w:val="003174E4"/>
    <w:rsid w:val="00321AA0"/>
    <w:rsid w:val="00321D8E"/>
    <w:rsid w:val="003225B7"/>
    <w:rsid w:val="0032414F"/>
    <w:rsid w:val="00324279"/>
    <w:rsid w:val="00324917"/>
    <w:rsid w:val="00325928"/>
    <w:rsid w:val="003259DD"/>
    <w:rsid w:val="003261E4"/>
    <w:rsid w:val="003271AB"/>
    <w:rsid w:val="00332863"/>
    <w:rsid w:val="0033684D"/>
    <w:rsid w:val="00337355"/>
    <w:rsid w:val="00337B42"/>
    <w:rsid w:val="00340700"/>
    <w:rsid w:val="003419D5"/>
    <w:rsid w:val="00341B42"/>
    <w:rsid w:val="0034348F"/>
    <w:rsid w:val="003459C3"/>
    <w:rsid w:val="00345D47"/>
    <w:rsid w:val="0034669D"/>
    <w:rsid w:val="0035272C"/>
    <w:rsid w:val="00356653"/>
    <w:rsid w:val="00356DAF"/>
    <w:rsid w:val="0035743F"/>
    <w:rsid w:val="00357BE2"/>
    <w:rsid w:val="0036170C"/>
    <w:rsid w:val="00361E3B"/>
    <w:rsid w:val="0036353C"/>
    <w:rsid w:val="00366E0F"/>
    <w:rsid w:val="00370394"/>
    <w:rsid w:val="003719C5"/>
    <w:rsid w:val="00377265"/>
    <w:rsid w:val="00381A72"/>
    <w:rsid w:val="00383365"/>
    <w:rsid w:val="00384676"/>
    <w:rsid w:val="00384D6F"/>
    <w:rsid w:val="00387429"/>
    <w:rsid w:val="00390857"/>
    <w:rsid w:val="00390FC0"/>
    <w:rsid w:val="00394531"/>
    <w:rsid w:val="003A203B"/>
    <w:rsid w:val="003A361D"/>
    <w:rsid w:val="003A4BF3"/>
    <w:rsid w:val="003A4C6C"/>
    <w:rsid w:val="003A6E92"/>
    <w:rsid w:val="003A6FFA"/>
    <w:rsid w:val="003B420D"/>
    <w:rsid w:val="003B6BBB"/>
    <w:rsid w:val="003C07C0"/>
    <w:rsid w:val="003C12BB"/>
    <w:rsid w:val="003C3366"/>
    <w:rsid w:val="003C3428"/>
    <w:rsid w:val="003C5E64"/>
    <w:rsid w:val="003C5F46"/>
    <w:rsid w:val="003C69F1"/>
    <w:rsid w:val="003C6C16"/>
    <w:rsid w:val="003C7165"/>
    <w:rsid w:val="003D794D"/>
    <w:rsid w:val="003E068A"/>
    <w:rsid w:val="003E1346"/>
    <w:rsid w:val="003E3058"/>
    <w:rsid w:val="003E4C82"/>
    <w:rsid w:val="003E55DF"/>
    <w:rsid w:val="003E5BBC"/>
    <w:rsid w:val="003E76A9"/>
    <w:rsid w:val="003F0809"/>
    <w:rsid w:val="003F452C"/>
    <w:rsid w:val="003F6043"/>
    <w:rsid w:val="003F6A8C"/>
    <w:rsid w:val="003F755C"/>
    <w:rsid w:val="00400FD4"/>
    <w:rsid w:val="00406F01"/>
    <w:rsid w:val="00415FD6"/>
    <w:rsid w:val="00416D50"/>
    <w:rsid w:val="00416FD5"/>
    <w:rsid w:val="004172C3"/>
    <w:rsid w:val="00417772"/>
    <w:rsid w:val="00420140"/>
    <w:rsid w:val="00420902"/>
    <w:rsid w:val="00420E6A"/>
    <w:rsid w:val="00421AE0"/>
    <w:rsid w:val="004220D4"/>
    <w:rsid w:val="00423056"/>
    <w:rsid w:val="00425A9E"/>
    <w:rsid w:val="00426D6B"/>
    <w:rsid w:val="0042754E"/>
    <w:rsid w:val="00427744"/>
    <w:rsid w:val="00431E6C"/>
    <w:rsid w:val="00433CE7"/>
    <w:rsid w:val="004341D7"/>
    <w:rsid w:val="00442E34"/>
    <w:rsid w:val="0044301E"/>
    <w:rsid w:val="00444670"/>
    <w:rsid w:val="00446919"/>
    <w:rsid w:val="00452738"/>
    <w:rsid w:val="004546E6"/>
    <w:rsid w:val="00456091"/>
    <w:rsid w:val="0045743A"/>
    <w:rsid w:val="0046471C"/>
    <w:rsid w:val="00464FE8"/>
    <w:rsid w:val="00466321"/>
    <w:rsid w:val="00472C67"/>
    <w:rsid w:val="0047428A"/>
    <w:rsid w:val="00474618"/>
    <w:rsid w:val="00474CE2"/>
    <w:rsid w:val="00477246"/>
    <w:rsid w:val="00480E4F"/>
    <w:rsid w:val="00481A75"/>
    <w:rsid w:val="004849E6"/>
    <w:rsid w:val="00484B9B"/>
    <w:rsid w:val="004855F6"/>
    <w:rsid w:val="0048661E"/>
    <w:rsid w:val="00487745"/>
    <w:rsid w:val="00487A70"/>
    <w:rsid w:val="00487C82"/>
    <w:rsid w:val="0049163B"/>
    <w:rsid w:val="00493D70"/>
    <w:rsid w:val="00494670"/>
    <w:rsid w:val="0049558B"/>
    <w:rsid w:val="004971F5"/>
    <w:rsid w:val="004A22EB"/>
    <w:rsid w:val="004A2C1C"/>
    <w:rsid w:val="004A3823"/>
    <w:rsid w:val="004B0702"/>
    <w:rsid w:val="004B403B"/>
    <w:rsid w:val="004B6CDE"/>
    <w:rsid w:val="004C1C12"/>
    <w:rsid w:val="004C6711"/>
    <w:rsid w:val="004D1127"/>
    <w:rsid w:val="004D11E4"/>
    <w:rsid w:val="004D6D17"/>
    <w:rsid w:val="004E1054"/>
    <w:rsid w:val="004E6946"/>
    <w:rsid w:val="004E7B22"/>
    <w:rsid w:val="004F1AD8"/>
    <w:rsid w:val="004F4FCB"/>
    <w:rsid w:val="004F73D9"/>
    <w:rsid w:val="005018DD"/>
    <w:rsid w:val="005033B5"/>
    <w:rsid w:val="005039CB"/>
    <w:rsid w:val="005043BF"/>
    <w:rsid w:val="0050558F"/>
    <w:rsid w:val="00506286"/>
    <w:rsid w:val="00510813"/>
    <w:rsid w:val="00511990"/>
    <w:rsid w:val="00511DE0"/>
    <w:rsid w:val="00511E44"/>
    <w:rsid w:val="00514870"/>
    <w:rsid w:val="00514B9B"/>
    <w:rsid w:val="0051779B"/>
    <w:rsid w:val="005177D3"/>
    <w:rsid w:val="00517934"/>
    <w:rsid w:val="00517E61"/>
    <w:rsid w:val="00517F02"/>
    <w:rsid w:val="00520DCF"/>
    <w:rsid w:val="00524303"/>
    <w:rsid w:val="005258A2"/>
    <w:rsid w:val="00533260"/>
    <w:rsid w:val="005336C9"/>
    <w:rsid w:val="00540040"/>
    <w:rsid w:val="005401AE"/>
    <w:rsid w:val="00542E07"/>
    <w:rsid w:val="00544633"/>
    <w:rsid w:val="00545424"/>
    <w:rsid w:val="005477E2"/>
    <w:rsid w:val="0055206C"/>
    <w:rsid w:val="0055426A"/>
    <w:rsid w:val="00554A7B"/>
    <w:rsid w:val="0055572C"/>
    <w:rsid w:val="005557B5"/>
    <w:rsid w:val="00560450"/>
    <w:rsid w:val="0056106A"/>
    <w:rsid w:val="005634FE"/>
    <w:rsid w:val="00563B42"/>
    <w:rsid w:val="00564473"/>
    <w:rsid w:val="00570580"/>
    <w:rsid w:val="005707A5"/>
    <w:rsid w:val="005720AE"/>
    <w:rsid w:val="00573A7D"/>
    <w:rsid w:val="00573B8A"/>
    <w:rsid w:val="00573DF0"/>
    <w:rsid w:val="00577764"/>
    <w:rsid w:val="00585B8A"/>
    <w:rsid w:val="005866D9"/>
    <w:rsid w:val="00587E62"/>
    <w:rsid w:val="00592EBE"/>
    <w:rsid w:val="00592FCC"/>
    <w:rsid w:val="00594D77"/>
    <w:rsid w:val="00595DBA"/>
    <w:rsid w:val="0059649E"/>
    <w:rsid w:val="005969E4"/>
    <w:rsid w:val="00597873"/>
    <w:rsid w:val="005A06B7"/>
    <w:rsid w:val="005A0A32"/>
    <w:rsid w:val="005A1759"/>
    <w:rsid w:val="005A68A7"/>
    <w:rsid w:val="005B02F4"/>
    <w:rsid w:val="005B1D5B"/>
    <w:rsid w:val="005B246C"/>
    <w:rsid w:val="005B7B04"/>
    <w:rsid w:val="005C16C9"/>
    <w:rsid w:val="005C75E0"/>
    <w:rsid w:val="005D36AB"/>
    <w:rsid w:val="005D373B"/>
    <w:rsid w:val="005D73DA"/>
    <w:rsid w:val="005E5A4B"/>
    <w:rsid w:val="005F114F"/>
    <w:rsid w:val="005F2950"/>
    <w:rsid w:val="00603C16"/>
    <w:rsid w:val="00603ED4"/>
    <w:rsid w:val="00604B90"/>
    <w:rsid w:val="0060553C"/>
    <w:rsid w:val="00605BCD"/>
    <w:rsid w:val="00606D1A"/>
    <w:rsid w:val="0061443F"/>
    <w:rsid w:val="00616B41"/>
    <w:rsid w:val="00616CC7"/>
    <w:rsid w:val="00617CC3"/>
    <w:rsid w:val="0062367E"/>
    <w:rsid w:val="00626AA7"/>
    <w:rsid w:val="00630E6D"/>
    <w:rsid w:val="00633DE1"/>
    <w:rsid w:val="0063731C"/>
    <w:rsid w:val="006377A6"/>
    <w:rsid w:val="00637A3D"/>
    <w:rsid w:val="006411EF"/>
    <w:rsid w:val="00652BAC"/>
    <w:rsid w:val="00656DBB"/>
    <w:rsid w:val="00662F93"/>
    <w:rsid w:val="006651C6"/>
    <w:rsid w:val="00666C62"/>
    <w:rsid w:val="00667450"/>
    <w:rsid w:val="00670A3E"/>
    <w:rsid w:val="00671645"/>
    <w:rsid w:val="00671AF2"/>
    <w:rsid w:val="006748B8"/>
    <w:rsid w:val="006775C3"/>
    <w:rsid w:val="006858D0"/>
    <w:rsid w:val="00685ED3"/>
    <w:rsid w:val="00686A6A"/>
    <w:rsid w:val="0069290A"/>
    <w:rsid w:val="00692DB8"/>
    <w:rsid w:val="006959EF"/>
    <w:rsid w:val="0069775A"/>
    <w:rsid w:val="00697813"/>
    <w:rsid w:val="006A3EE8"/>
    <w:rsid w:val="006A419F"/>
    <w:rsid w:val="006A72BF"/>
    <w:rsid w:val="006A788F"/>
    <w:rsid w:val="006A7EA8"/>
    <w:rsid w:val="006B03F2"/>
    <w:rsid w:val="006B110A"/>
    <w:rsid w:val="006B37DC"/>
    <w:rsid w:val="006B4F68"/>
    <w:rsid w:val="006B4F71"/>
    <w:rsid w:val="006C0592"/>
    <w:rsid w:val="006C225C"/>
    <w:rsid w:val="006C272E"/>
    <w:rsid w:val="006C5479"/>
    <w:rsid w:val="006D13B5"/>
    <w:rsid w:val="006D2477"/>
    <w:rsid w:val="006D5888"/>
    <w:rsid w:val="006D75E6"/>
    <w:rsid w:val="006E12FF"/>
    <w:rsid w:val="006E607E"/>
    <w:rsid w:val="006E6B6E"/>
    <w:rsid w:val="006E6EF1"/>
    <w:rsid w:val="006F2FB2"/>
    <w:rsid w:val="006F32DA"/>
    <w:rsid w:val="006F69AF"/>
    <w:rsid w:val="00704838"/>
    <w:rsid w:val="00706C5D"/>
    <w:rsid w:val="00707B2B"/>
    <w:rsid w:val="00711569"/>
    <w:rsid w:val="00711C0E"/>
    <w:rsid w:val="00711DAD"/>
    <w:rsid w:val="007150EB"/>
    <w:rsid w:val="00715A1D"/>
    <w:rsid w:val="007163D8"/>
    <w:rsid w:val="00732922"/>
    <w:rsid w:val="00735628"/>
    <w:rsid w:val="00740078"/>
    <w:rsid w:val="0075162E"/>
    <w:rsid w:val="00754034"/>
    <w:rsid w:val="00754D0E"/>
    <w:rsid w:val="00756556"/>
    <w:rsid w:val="007618C4"/>
    <w:rsid w:val="00762469"/>
    <w:rsid w:val="00762EC7"/>
    <w:rsid w:val="00763981"/>
    <w:rsid w:val="0076436D"/>
    <w:rsid w:val="007657E4"/>
    <w:rsid w:val="00767980"/>
    <w:rsid w:val="0077054C"/>
    <w:rsid w:val="00770B19"/>
    <w:rsid w:val="00770F03"/>
    <w:rsid w:val="00773534"/>
    <w:rsid w:val="0077463F"/>
    <w:rsid w:val="00775FAA"/>
    <w:rsid w:val="007836EA"/>
    <w:rsid w:val="00784CDA"/>
    <w:rsid w:val="007859E2"/>
    <w:rsid w:val="007906C4"/>
    <w:rsid w:val="007909AA"/>
    <w:rsid w:val="007940EA"/>
    <w:rsid w:val="007967E8"/>
    <w:rsid w:val="007A2170"/>
    <w:rsid w:val="007A22BF"/>
    <w:rsid w:val="007A3323"/>
    <w:rsid w:val="007A4A05"/>
    <w:rsid w:val="007B0018"/>
    <w:rsid w:val="007B0ACF"/>
    <w:rsid w:val="007B14FF"/>
    <w:rsid w:val="007B1C6C"/>
    <w:rsid w:val="007B2F74"/>
    <w:rsid w:val="007B5B1B"/>
    <w:rsid w:val="007B72B8"/>
    <w:rsid w:val="007B7A58"/>
    <w:rsid w:val="007C21B5"/>
    <w:rsid w:val="007C78BF"/>
    <w:rsid w:val="007D101C"/>
    <w:rsid w:val="007D4A8D"/>
    <w:rsid w:val="007D52FE"/>
    <w:rsid w:val="007D6E37"/>
    <w:rsid w:val="007E23CA"/>
    <w:rsid w:val="007E4BD2"/>
    <w:rsid w:val="007F519E"/>
    <w:rsid w:val="00801393"/>
    <w:rsid w:val="00802F88"/>
    <w:rsid w:val="00807CCE"/>
    <w:rsid w:val="0081293E"/>
    <w:rsid w:val="00815465"/>
    <w:rsid w:val="0081682E"/>
    <w:rsid w:val="008168BB"/>
    <w:rsid w:val="00817E9A"/>
    <w:rsid w:val="0082007A"/>
    <w:rsid w:val="008205C5"/>
    <w:rsid w:val="008210AB"/>
    <w:rsid w:val="008229F9"/>
    <w:rsid w:val="0082394E"/>
    <w:rsid w:val="00824515"/>
    <w:rsid w:val="00824522"/>
    <w:rsid w:val="008306BD"/>
    <w:rsid w:val="00831A80"/>
    <w:rsid w:val="00833743"/>
    <w:rsid w:val="008340A4"/>
    <w:rsid w:val="00834A15"/>
    <w:rsid w:val="00837141"/>
    <w:rsid w:val="0083759F"/>
    <w:rsid w:val="0084130B"/>
    <w:rsid w:val="00842383"/>
    <w:rsid w:val="008432AC"/>
    <w:rsid w:val="00844E7F"/>
    <w:rsid w:val="00851914"/>
    <w:rsid w:val="00856C98"/>
    <w:rsid w:val="00862237"/>
    <w:rsid w:val="0086269F"/>
    <w:rsid w:val="00865518"/>
    <w:rsid w:val="00867E8C"/>
    <w:rsid w:val="00870B7F"/>
    <w:rsid w:val="00870FD3"/>
    <w:rsid w:val="0087135F"/>
    <w:rsid w:val="00872D94"/>
    <w:rsid w:val="00880364"/>
    <w:rsid w:val="00884A4C"/>
    <w:rsid w:val="00891592"/>
    <w:rsid w:val="00891E9E"/>
    <w:rsid w:val="0089657C"/>
    <w:rsid w:val="00897A26"/>
    <w:rsid w:val="008A2F68"/>
    <w:rsid w:val="008A3964"/>
    <w:rsid w:val="008B0E55"/>
    <w:rsid w:val="008B12C7"/>
    <w:rsid w:val="008B4FA6"/>
    <w:rsid w:val="008B5282"/>
    <w:rsid w:val="008B6B46"/>
    <w:rsid w:val="008B6C69"/>
    <w:rsid w:val="008B7C17"/>
    <w:rsid w:val="008C2D01"/>
    <w:rsid w:val="008C40E6"/>
    <w:rsid w:val="008C5B5A"/>
    <w:rsid w:val="008D0F7A"/>
    <w:rsid w:val="008D11F0"/>
    <w:rsid w:val="008D253A"/>
    <w:rsid w:val="008D3C20"/>
    <w:rsid w:val="008D3E92"/>
    <w:rsid w:val="008D68E4"/>
    <w:rsid w:val="008D73B2"/>
    <w:rsid w:val="008E0506"/>
    <w:rsid w:val="008E0CFF"/>
    <w:rsid w:val="008E0F1A"/>
    <w:rsid w:val="008E4209"/>
    <w:rsid w:val="008E5D6B"/>
    <w:rsid w:val="008E76F0"/>
    <w:rsid w:val="008F15FE"/>
    <w:rsid w:val="008F2D29"/>
    <w:rsid w:val="008F2F64"/>
    <w:rsid w:val="008F3309"/>
    <w:rsid w:val="008F3731"/>
    <w:rsid w:val="008F3781"/>
    <w:rsid w:val="008F5187"/>
    <w:rsid w:val="008F5DC8"/>
    <w:rsid w:val="008F60D8"/>
    <w:rsid w:val="008F70EF"/>
    <w:rsid w:val="008F79A2"/>
    <w:rsid w:val="00901952"/>
    <w:rsid w:val="0090243E"/>
    <w:rsid w:val="00902727"/>
    <w:rsid w:val="00902D41"/>
    <w:rsid w:val="0090312B"/>
    <w:rsid w:val="0090351B"/>
    <w:rsid w:val="009130CC"/>
    <w:rsid w:val="0091736D"/>
    <w:rsid w:val="009204AD"/>
    <w:rsid w:val="00921A57"/>
    <w:rsid w:val="00923CEA"/>
    <w:rsid w:val="00927A17"/>
    <w:rsid w:val="0093037A"/>
    <w:rsid w:val="0093130C"/>
    <w:rsid w:val="00932886"/>
    <w:rsid w:val="00935850"/>
    <w:rsid w:val="009367BA"/>
    <w:rsid w:val="00936B36"/>
    <w:rsid w:val="0094072D"/>
    <w:rsid w:val="0094154D"/>
    <w:rsid w:val="00943C0F"/>
    <w:rsid w:val="00945077"/>
    <w:rsid w:val="00946925"/>
    <w:rsid w:val="00946968"/>
    <w:rsid w:val="009478D3"/>
    <w:rsid w:val="00950468"/>
    <w:rsid w:val="0095155F"/>
    <w:rsid w:val="00951894"/>
    <w:rsid w:val="00954429"/>
    <w:rsid w:val="009563CE"/>
    <w:rsid w:val="00956A54"/>
    <w:rsid w:val="00963B3C"/>
    <w:rsid w:val="00971339"/>
    <w:rsid w:val="00971993"/>
    <w:rsid w:val="00973E58"/>
    <w:rsid w:val="00976328"/>
    <w:rsid w:val="0097680D"/>
    <w:rsid w:val="00976F47"/>
    <w:rsid w:val="00980639"/>
    <w:rsid w:val="00982438"/>
    <w:rsid w:val="00982B89"/>
    <w:rsid w:val="0098404C"/>
    <w:rsid w:val="00985283"/>
    <w:rsid w:val="00991A45"/>
    <w:rsid w:val="0099286A"/>
    <w:rsid w:val="00995992"/>
    <w:rsid w:val="009A03E5"/>
    <w:rsid w:val="009A0F3B"/>
    <w:rsid w:val="009A1BB4"/>
    <w:rsid w:val="009A2628"/>
    <w:rsid w:val="009A3200"/>
    <w:rsid w:val="009A5ECE"/>
    <w:rsid w:val="009B0897"/>
    <w:rsid w:val="009B189F"/>
    <w:rsid w:val="009B2111"/>
    <w:rsid w:val="009B5E46"/>
    <w:rsid w:val="009B6036"/>
    <w:rsid w:val="009B6E44"/>
    <w:rsid w:val="009B7BD9"/>
    <w:rsid w:val="009C1397"/>
    <w:rsid w:val="009C31EF"/>
    <w:rsid w:val="009C7DD5"/>
    <w:rsid w:val="009E227D"/>
    <w:rsid w:val="009E5019"/>
    <w:rsid w:val="009F2A28"/>
    <w:rsid w:val="009F2D16"/>
    <w:rsid w:val="009F3771"/>
    <w:rsid w:val="00A00EE4"/>
    <w:rsid w:val="00A0180B"/>
    <w:rsid w:val="00A03E5F"/>
    <w:rsid w:val="00A04F1B"/>
    <w:rsid w:val="00A0501B"/>
    <w:rsid w:val="00A10993"/>
    <w:rsid w:val="00A13E9B"/>
    <w:rsid w:val="00A14947"/>
    <w:rsid w:val="00A14E0B"/>
    <w:rsid w:val="00A16476"/>
    <w:rsid w:val="00A16634"/>
    <w:rsid w:val="00A22BFD"/>
    <w:rsid w:val="00A22D82"/>
    <w:rsid w:val="00A23468"/>
    <w:rsid w:val="00A27CC9"/>
    <w:rsid w:val="00A32A83"/>
    <w:rsid w:val="00A33222"/>
    <w:rsid w:val="00A35B6A"/>
    <w:rsid w:val="00A368DB"/>
    <w:rsid w:val="00A41905"/>
    <w:rsid w:val="00A423AA"/>
    <w:rsid w:val="00A428B3"/>
    <w:rsid w:val="00A42C8B"/>
    <w:rsid w:val="00A430BA"/>
    <w:rsid w:val="00A50F66"/>
    <w:rsid w:val="00A53EC6"/>
    <w:rsid w:val="00A55844"/>
    <w:rsid w:val="00A55C0F"/>
    <w:rsid w:val="00A65657"/>
    <w:rsid w:val="00A65A86"/>
    <w:rsid w:val="00A66DF5"/>
    <w:rsid w:val="00A66EBF"/>
    <w:rsid w:val="00A77E91"/>
    <w:rsid w:val="00A80376"/>
    <w:rsid w:val="00A83130"/>
    <w:rsid w:val="00A8605B"/>
    <w:rsid w:val="00A86FE8"/>
    <w:rsid w:val="00A8713F"/>
    <w:rsid w:val="00A90BA1"/>
    <w:rsid w:val="00A91B46"/>
    <w:rsid w:val="00A96541"/>
    <w:rsid w:val="00A967F9"/>
    <w:rsid w:val="00A97381"/>
    <w:rsid w:val="00A97A9A"/>
    <w:rsid w:val="00AA0671"/>
    <w:rsid w:val="00AA0AF0"/>
    <w:rsid w:val="00AA2531"/>
    <w:rsid w:val="00AA5E86"/>
    <w:rsid w:val="00AA645E"/>
    <w:rsid w:val="00AA781E"/>
    <w:rsid w:val="00AB1E09"/>
    <w:rsid w:val="00AB3BE8"/>
    <w:rsid w:val="00AB5330"/>
    <w:rsid w:val="00AB7747"/>
    <w:rsid w:val="00AC14CE"/>
    <w:rsid w:val="00AC2A56"/>
    <w:rsid w:val="00AC7A50"/>
    <w:rsid w:val="00AD055E"/>
    <w:rsid w:val="00AD17AB"/>
    <w:rsid w:val="00AD24A8"/>
    <w:rsid w:val="00AD47A7"/>
    <w:rsid w:val="00AD4E8F"/>
    <w:rsid w:val="00AD6E7F"/>
    <w:rsid w:val="00AE0D41"/>
    <w:rsid w:val="00AE5217"/>
    <w:rsid w:val="00AE5C44"/>
    <w:rsid w:val="00AE5CD6"/>
    <w:rsid w:val="00AF0CBF"/>
    <w:rsid w:val="00AF0D29"/>
    <w:rsid w:val="00AF257F"/>
    <w:rsid w:val="00AF33CF"/>
    <w:rsid w:val="00AF443A"/>
    <w:rsid w:val="00AF4499"/>
    <w:rsid w:val="00AF4D50"/>
    <w:rsid w:val="00AF6179"/>
    <w:rsid w:val="00B026A4"/>
    <w:rsid w:val="00B04FC3"/>
    <w:rsid w:val="00B1295A"/>
    <w:rsid w:val="00B15B13"/>
    <w:rsid w:val="00B17B3F"/>
    <w:rsid w:val="00B20A45"/>
    <w:rsid w:val="00B20DF2"/>
    <w:rsid w:val="00B22C5C"/>
    <w:rsid w:val="00B24135"/>
    <w:rsid w:val="00B24607"/>
    <w:rsid w:val="00B24F30"/>
    <w:rsid w:val="00B27B3D"/>
    <w:rsid w:val="00B31ABF"/>
    <w:rsid w:val="00B32DD0"/>
    <w:rsid w:val="00B33BE3"/>
    <w:rsid w:val="00B35EDC"/>
    <w:rsid w:val="00B41B3F"/>
    <w:rsid w:val="00B42483"/>
    <w:rsid w:val="00B5062B"/>
    <w:rsid w:val="00B50DC6"/>
    <w:rsid w:val="00B53B5D"/>
    <w:rsid w:val="00B54759"/>
    <w:rsid w:val="00B566A1"/>
    <w:rsid w:val="00B6055E"/>
    <w:rsid w:val="00B6317D"/>
    <w:rsid w:val="00B67277"/>
    <w:rsid w:val="00B704D8"/>
    <w:rsid w:val="00B76D00"/>
    <w:rsid w:val="00B7723F"/>
    <w:rsid w:val="00B77E59"/>
    <w:rsid w:val="00B80534"/>
    <w:rsid w:val="00B84061"/>
    <w:rsid w:val="00B8433C"/>
    <w:rsid w:val="00B87491"/>
    <w:rsid w:val="00B9128C"/>
    <w:rsid w:val="00B91FBB"/>
    <w:rsid w:val="00B94742"/>
    <w:rsid w:val="00B9676E"/>
    <w:rsid w:val="00B96A1E"/>
    <w:rsid w:val="00B9743C"/>
    <w:rsid w:val="00BA24D8"/>
    <w:rsid w:val="00BA29E9"/>
    <w:rsid w:val="00BA5CF0"/>
    <w:rsid w:val="00BA7142"/>
    <w:rsid w:val="00BA79F1"/>
    <w:rsid w:val="00BB02BC"/>
    <w:rsid w:val="00BB0785"/>
    <w:rsid w:val="00BB237C"/>
    <w:rsid w:val="00BB334E"/>
    <w:rsid w:val="00BB41A3"/>
    <w:rsid w:val="00BB6077"/>
    <w:rsid w:val="00BB62DE"/>
    <w:rsid w:val="00BC18C9"/>
    <w:rsid w:val="00BC1D0F"/>
    <w:rsid w:val="00BC32DC"/>
    <w:rsid w:val="00BC35B6"/>
    <w:rsid w:val="00BD1B51"/>
    <w:rsid w:val="00BD4596"/>
    <w:rsid w:val="00BD5BFF"/>
    <w:rsid w:val="00BD668F"/>
    <w:rsid w:val="00BD7D19"/>
    <w:rsid w:val="00BE1405"/>
    <w:rsid w:val="00BE312D"/>
    <w:rsid w:val="00BE479C"/>
    <w:rsid w:val="00BF1C20"/>
    <w:rsid w:val="00BF3D74"/>
    <w:rsid w:val="00BF5B65"/>
    <w:rsid w:val="00C0004E"/>
    <w:rsid w:val="00C003EE"/>
    <w:rsid w:val="00C02290"/>
    <w:rsid w:val="00C024BE"/>
    <w:rsid w:val="00C03162"/>
    <w:rsid w:val="00C0532A"/>
    <w:rsid w:val="00C10578"/>
    <w:rsid w:val="00C135BC"/>
    <w:rsid w:val="00C144B8"/>
    <w:rsid w:val="00C15C95"/>
    <w:rsid w:val="00C22DD9"/>
    <w:rsid w:val="00C2596A"/>
    <w:rsid w:val="00C27537"/>
    <w:rsid w:val="00C27B4D"/>
    <w:rsid w:val="00C302D8"/>
    <w:rsid w:val="00C31C55"/>
    <w:rsid w:val="00C31E3A"/>
    <w:rsid w:val="00C328FE"/>
    <w:rsid w:val="00C32BF1"/>
    <w:rsid w:val="00C33507"/>
    <w:rsid w:val="00C42821"/>
    <w:rsid w:val="00C4409D"/>
    <w:rsid w:val="00C44E72"/>
    <w:rsid w:val="00C45A06"/>
    <w:rsid w:val="00C47E5B"/>
    <w:rsid w:val="00C47F63"/>
    <w:rsid w:val="00C544BD"/>
    <w:rsid w:val="00C56CE5"/>
    <w:rsid w:val="00C6146E"/>
    <w:rsid w:val="00C61E4B"/>
    <w:rsid w:val="00C63B91"/>
    <w:rsid w:val="00C63E07"/>
    <w:rsid w:val="00C64492"/>
    <w:rsid w:val="00C64BFF"/>
    <w:rsid w:val="00C6502C"/>
    <w:rsid w:val="00C66041"/>
    <w:rsid w:val="00C66281"/>
    <w:rsid w:val="00C66913"/>
    <w:rsid w:val="00C67F8C"/>
    <w:rsid w:val="00C704E9"/>
    <w:rsid w:val="00C742B8"/>
    <w:rsid w:val="00C745CA"/>
    <w:rsid w:val="00C763C9"/>
    <w:rsid w:val="00C765B3"/>
    <w:rsid w:val="00C76D4C"/>
    <w:rsid w:val="00C80057"/>
    <w:rsid w:val="00C81441"/>
    <w:rsid w:val="00C82232"/>
    <w:rsid w:val="00C82913"/>
    <w:rsid w:val="00C86E70"/>
    <w:rsid w:val="00C90603"/>
    <w:rsid w:val="00C91685"/>
    <w:rsid w:val="00C9357D"/>
    <w:rsid w:val="00C9493C"/>
    <w:rsid w:val="00C954D6"/>
    <w:rsid w:val="00C972B1"/>
    <w:rsid w:val="00CA06BF"/>
    <w:rsid w:val="00CA2203"/>
    <w:rsid w:val="00CA2CCE"/>
    <w:rsid w:val="00CA43FD"/>
    <w:rsid w:val="00CA632E"/>
    <w:rsid w:val="00CA7EF8"/>
    <w:rsid w:val="00CB012F"/>
    <w:rsid w:val="00CB4554"/>
    <w:rsid w:val="00CC03C3"/>
    <w:rsid w:val="00CC2C83"/>
    <w:rsid w:val="00CC489B"/>
    <w:rsid w:val="00CC50C8"/>
    <w:rsid w:val="00CC5363"/>
    <w:rsid w:val="00CD11F2"/>
    <w:rsid w:val="00CD2BCD"/>
    <w:rsid w:val="00CD3A4C"/>
    <w:rsid w:val="00CE10E9"/>
    <w:rsid w:val="00CE2910"/>
    <w:rsid w:val="00CE353B"/>
    <w:rsid w:val="00CE3FAE"/>
    <w:rsid w:val="00CE5393"/>
    <w:rsid w:val="00CE7365"/>
    <w:rsid w:val="00CF36BE"/>
    <w:rsid w:val="00CF6000"/>
    <w:rsid w:val="00D003F3"/>
    <w:rsid w:val="00D0364F"/>
    <w:rsid w:val="00D045F7"/>
    <w:rsid w:val="00D06834"/>
    <w:rsid w:val="00D1089A"/>
    <w:rsid w:val="00D13C44"/>
    <w:rsid w:val="00D13E51"/>
    <w:rsid w:val="00D14553"/>
    <w:rsid w:val="00D145EC"/>
    <w:rsid w:val="00D15723"/>
    <w:rsid w:val="00D15744"/>
    <w:rsid w:val="00D22302"/>
    <w:rsid w:val="00D270C0"/>
    <w:rsid w:val="00D308ED"/>
    <w:rsid w:val="00D331A4"/>
    <w:rsid w:val="00D348C5"/>
    <w:rsid w:val="00D36D86"/>
    <w:rsid w:val="00D428AA"/>
    <w:rsid w:val="00D47F02"/>
    <w:rsid w:val="00D50A34"/>
    <w:rsid w:val="00D53BCB"/>
    <w:rsid w:val="00D53EFA"/>
    <w:rsid w:val="00D543F7"/>
    <w:rsid w:val="00D55098"/>
    <w:rsid w:val="00D56EFA"/>
    <w:rsid w:val="00D56F8F"/>
    <w:rsid w:val="00D74537"/>
    <w:rsid w:val="00D749CF"/>
    <w:rsid w:val="00D74E56"/>
    <w:rsid w:val="00D756D5"/>
    <w:rsid w:val="00D771BE"/>
    <w:rsid w:val="00D77ECC"/>
    <w:rsid w:val="00D805A9"/>
    <w:rsid w:val="00D817FB"/>
    <w:rsid w:val="00D857B6"/>
    <w:rsid w:val="00D91A0B"/>
    <w:rsid w:val="00D94007"/>
    <w:rsid w:val="00D94A7C"/>
    <w:rsid w:val="00D95611"/>
    <w:rsid w:val="00D95896"/>
    <w:rsid w:val="00D97D1F"/>
    <w:rsid w:val="00DA0BE0"/>
    <w:rsid w:val="00DA6005"/>
    <w:rsid w:val="00DA6919"/>
    <w:rsid w:val="00DB2983"/>
    <w:rsid w:val="00DB75EA"/>
    <w:rsid w:val="00DC0860"/>
    <w:rsid w:val="00DC1257"/>
    <w:rsid w:val="00DC3404"/>
    <w:rsid w:val="00DC3DC0"/>
    <w:rsid w:val="00DC5B2B"/>
    <w:rsid w:val="00DD318D"/>
    <w:rsid w:val="00DE7A5F"/>
    <w:rsid w:val="00DF05EA"/>
    <w:rsid w:val="00DF169F"/>
    <w:rsid w:val="00DF1D2C"/>
    <w:rsid w:val="00DF2E12"/>
    <w:rsid w:val="00DF514A"/>
    <w:rsid w:val="00DF6690"/>
    <w:rsid w:val="00DF6804"/>
    <w:rsid w:val="00E0224D"/>
    <w:rsid w:val="00E02758"/>
    <w:rsid w:val="00E0358D"/>
    <w:rsid w:val="00E04323"/>
    <w:rsid w:val="00E070A2"/>
    <w:rsid w:val="00E103AE"/>
    <w:rsid w:val="00E2207B"/>
    <w:rsid w:val="00E22987"/>
    <w:rsid w:val="00E2656A"/>
    <w:rsid w:val="00E3350B"/>
    <w:rsid w:val="00E412D0"/>
    <w:rsid w:val="00E43B8E"/>
    <w:rsid w:val="00E459AC"/>
    <w:rsid w:val="00E50AFA"/>
    <w:rsid w:val="00E533BE"/>
    <w:rsid w:val="00E53F20"/>
    <w:rsid w:val="00E56322"/>
    <w:rsid w:val="00E60982"/>
    <w:rsid w:val="00E6284A"/>
    <w:rsid w:val="00E62C62"/>
    <w:rsid w:val="00E654C1"/>
    <w:rsid w:val="00E65D97"/>
    <w:rsid w:val="00E66C33"/>
    <w:rsid w:val="00E66CFD"/>
    <w:rsid w:val="00E71359"/>
    <w:rsid w:val="00E72A5A"/>
    <w:rsid w:val="00E73354"/>
    <w:rsid w:val="00E77F28"/>
    <w:rsid w:val="00E82347"/>
    <w:rsid w:val="00E82DDC"/>
    <w:rsid w:val="00E9077E"/>
    <w:rsid w:val="00E91AF8"/>
    <w:rsid w:val="00E9242D"/>
    <w:rsid w:val="00E97375"/>
    <w:rsid w:val="00EA0B00"/>
    <w:rsid w:val="00EA2763"/>
    <w:rsid w:val="00EA4639"/>
    <w:rsid w:val="00EA4CC8"/>
    <w:rsid w:val="00EA635F"/>
    <w:rsid w:val="00EB04D8"/>
    <w:rsid w:val="00EB4EC2"/>
    <w:rsid w:val="00EB5255"/>
    <w:rsid w:val="00EB5C47"/>
    <w:rsid w:val="00EB7E60"/>
    <w:rsid w:val="00EC02D0"/>
    <w:rsid w:val="00EC62A7"/>
    <w:rsid w:val="00EC7BA9"/>
    <w:rsid w:val="00ED036C"/>
    <w:rsid w:val="00ED0639"/>
    <w:rsid w:val="00ED2139"/>
    <w:rsid w:val="00ED3598"/>
    <w:rsid w:val="00ED6DC8"/>
    <w:rsid w:val="00ED7014"/>
    <w:rsid w:val="00ED7155"/>
    <w:rsid w:val="00EE0E3F"/>
    <w:rsid w:val="00EE1B9C"/>
    <w:rsid w:val="00EE1FF0"/>
    <w:rsid w:val="00EE76D0"/>
    <w:rsid w:val="00EF232D"/>
    <w:rsid w:val="00EF4755"/>
    <w:rsid w:val="00EF6DD8"/>
    <w:rsid w:val="00EF7135"/>
    <w:rsid w:val="00F0096D"/>
    <w:rsid w:val="00F027DB"/>
    <w:rsid w:val="00F14A7A"/>
    <w:rsid w:val="00F21D7E"/>
    <w:rsid w:val="00F21E61"/>
    <w:rsid w:val="00F22985"/>
    <w:rsid w:val="00F2527B"/>
    <w:rsid w:val="00F25421"/>
    <w:rsid w:val="00F25B53"/>
    <w:rsid w:val="00F25DFE"/>
    <w:rsid w:val="00F2714F"/>
    <w:rsid w:val="00F3174C"/>
    <w:rsid w:val="00F330EE"/>
    <w:rsid w:val="00F3383E"/>
    <w:rsid w:val="00F36C6E"/>
    <w:rsid w:val="00F44045"/>
    <w:rsid w:val="00F465A7"/>
    <w:rsid w:val="00F50B7C"/>
    <w:rsid w:val="00F550E6"/>
    <w:rsid w:val="00F57641"/>
    <w:rsid w:val="00F62CE3"/>
    <w:rsid w:val="00F710D7"/>
    <w:rsid w:val="00F71368"/>
    <w:rsid w:val="00F71A8D"/>
    <w:rsid w:val="00F74345"/>
    <w:rsid w:val="00F80A0A"/>
    <w:rsid w:val="00F811C1"/>
    <w:rsid w:val="00F82B19"/>
    <w:rsid w:val="00F862F1"/>
    <w:rsid w:val="00F86AFC"/>
    <w:rsid w:val="00F9212D"/>
    <w:rsid w:val="00F922A4"/>
    <w:rsid w:val="00F94885"/>
    <w:rsid w:val="00F94C56"/>
    <w:rsid w:val="00F965DA"/>
    <w:rsid w:val="00F974B1"/>
    <w:rsid w:val="00FA00A3"/>
    <w:rsid w:val="00FA0E0B"/>
    <w:rsid w:val="00FA406A"/>
    <w:rsid w:val="00FA6222"/>
    <w:rsid w:val="00FA73E8"/>
    <w:rsid w:val="00FB1A8F"/>
    <w:rsid w:val="00FB2E15"/>
    <w:rsid w:val="00FB2F59"/>
    <w:rsid w:val="00FB503A"/>
    <w:rsid w:val="00FB5148"/>
    <w:rsid w:val="00FB516C"/>
    <w:rsid w:val="00FB57FC"/>
    <w:rsid w:val="00FC5B2A"/>
    <w:rsid w:val="00FC7E5F"/>
    <w:rsid w:val="00FD0236"/>
    <w:rsid w:val="00FD15A0"/>
    <w:rsid w:val="00FD18F4"/>
    <w:rsid w:val="00FD4BDC"/>
    <w:rsid w:val="00FD54DB"/>
    <w:rsid w:val="00FD619F"/>
    <w:rsid w:val="00FE3A8C"/>
    <w:rsid w:val="00FF1349"/>
    <w:rsid w:val="00FF25A5"/>
    <w:rsid w:val="011D2710"/>
    <w:rsid w:val="01203FAE"/>
    <w:rsid w:val="01290F7E"/>
    <w:rsid w:val="01583748"/>
    <w:rsid w:val="015D1E09"/>
    <w:rsid w:val="016D4D19"/>
    <w:rsid w:val="01A5783B"/>
    <w:rsid w:val="01AA7D1B"/>
    <w:rsid w:val="01AC75F0"/>
    <w:rsid w:val="01AE3368"/>
    <w:rsid w:val="01B110AA"/>
    <w:rsid w:val="01E351AE"/>
    <w:rsid w:val="02296E92"/>
    <w:rsid w:val="02697903"/>
    <w:rsid w:val="027A149C"/>
    <w:rsid w:val="028247F4"/>
    <w:rsid w:val="029167E5"/>
    <w:rsid w:val="02963DFC"/>
    <w:rsid w:val="02A83BFF"/>
    <w:rsid w:val="02A91D81"/>
    <w:rsid w:val="02BD13FE"/>
    <w:rsid w:val="02C17F51"/>
    <w:rsid w:val="02C24BF1"/>
    <w:rsid w:val="02D212D8"/>
    <w:rsid w:val="02F23728"/>
    <w:rsid w:val="02F96569"/>
    <w:rsid w:val="0317318F"/>
    <w:rsid w:val="032D650E"/>
    <w:rsid w:val="03455F4E"/>
    <w:rsid w:val="0370464D"/>
    <w:rsid w:val="03726617"/>
    <w:rsid w:val="038A7E04"/>
    <w:rsid w:val="038D16A3"/>
    <w:rsid w:val="03914CEF"/>
    <w:rsid w:val="03B24C65"/>
    <w:rsid w:val="03D90444"/>
    <w:rsid w:val="03EA7B21"/>
    <w:rsid w:val="04041965"/>
    <w:rsid w:val="040D00EE"/>
    <w:rsid w:val="0422003D"/>
    <w:rsid w:val="04236A3B"/>
    <w:rsid w:val="042E05E9"/>
    <w:rsid w:val="043F474B"/>
    <w:rsid w:val="0442248D"/>
    <w:rsid w:val="04461F7D"/>
    <w:rsid w:val="04485D10"/>
    <w:rsid w:val="044A32A2"/>
    <w:rsid w:val="04634AD3"/>
    <w:rsid w:val="04652523"/>
    <w:rsid w:val="04714B20"/>
    <w:rsid w:val="04912ACD"/>
    <w:rsid w:val="049B394B"/>
    <w:rsid w:val="049F343C"/>
    <w:rsid w:val="04A37D9E"/>
    <w:rsid w:val="04A647CA"/>
    <w:rsid w:val="04B0696B"/>
    <w:rsid w:val="04DC13E4"/>
    <w:rsid w:val="04EE6171"/>
    <w:rsid w:val="051C1BDE"/>
    <w:rsid w:val="052B1173"/>
    <w:rsid w:val="053418AA"/>
    <w:rsid w:val="054162A1"/>
    <w:rsid w:val="054B492D"/>
    <w:rsid w:val="055E32F7"/>
    <w:rsid w:val="05681A7F"/>
    <w:rsid w:val="058C1C12"/>
    <w:rsid w:val="05926AFC"/>
    <w:rsid w:val="059D7CA7"/>
    <w:rsid w:val="059E75B9"/>
    <w:rsid w:val="05A50F26"/>
    <w:rsid w:val="05AB5E10"/>
    <w:rsid w:val="05BE3D95"/>
    <w:rsid w:val="05C375FE"/>
    <w:rsid w:val="05CD222A"/>
    <w:rsid w:val="05DE7F94"/>
    <w:rsid w:val="05F83EAE"/>
    <w:rsid w:val="061D6D0E"/>
    <w:rsid w:val="0620235A"/>
    <w:rsid w:val="063E7D85"/>
    <w:rsid w:val="06513245"/>
    <w:rsid w:val="067032E2"/>
    <w:rsid w:val="06712BB6"/>
    <w:rsid w:val="067F3525"/>
    <w:rsid w:val="06856661"/>
    <w:rsid w:val="069468A4"/>
    <w:rsid w:val="06954AF6"/>
    <w:rsid w:val="06A05249"/>
    <w:rsid w:val="06AC685D"/>
    <w:rsid w:val="06B807E5"/>
    <w:rsid w:val="06C54CB0"/>
    <w:rsid w:val="06E76EDC"/>
    <w:rsid w:val="071874D5"/>
    <w:rsid w:val="07293586"/>
    <w:rsid w:val="07295285"/>
    <w:rsid w:val="073352EB"/>
    <w:rsid w:val="07366DE4"/>
    <w:rsid w:val="073A38EF"/>
    <w:rsid w:val="073C7668"/>
    <w:rsid w:val="07524795"/>
    <w:rsid w:val="0757578A"/>
    <w:rsid w:val="07636392"/>
    <w:rsid w:val="07770C56"/>
    <w:rsid w:val="07941252"/>
    <w:rsid w:val="0799745A"/>
    <w:rsid w:val="079C1EB4"/>
    <w:rsid w:val="07C82CA9"/>
    <w:rsid w:val="07C84A57"/>
    <w:rsid w:val="07DE427B"/>
    <w:rsid w:val="08055EF9"/>
    <w:rsid w:val="08193505"/>
    <w:rsid w:val="08493DEA"/>
    <w:rsid w:val="085035AD"/>
    <w:rsid w:val="0854453D"/>
    <w:rsid w:val="08793FA4"/>
    <w:rsid w:val="08A234FA"/>
    <w:rsid w:val="08A94889"/>
    <w:rsid w:val="08BA4CE8"/>
    <w:rsid w:val="08C166C8"/>
    <w:rsid w:val="08FF26FB"/>
    <w:rsid w:val="09063A89"/>
    <w:rsid w:val="091066B6"/>
    <w:rsid w:val="092217DD"/>
    <w:rsid w:val="09242161"/>
    <w:rsid w:val="093A7294"/>
    <w:rsid w:val="09622C8A"/>
    <w:rsid w:val="09635510"/>
    <w:rsid w:val="096A04BC"/>
    <w:rsid w:val="096B1B3E"/>
    <w:rsid w:val="09A3577C"/>
    <w:rsid w:val="09B23C11"/>
    <w:rsid w:val="09B93576"/>
    <w:rsid w:val="09C33728"/>
    <w:rsid w:val="09C474A0"/>
    <w:rsid w:val="09CF031F"/>
    <w:rsid w:val="09DC47EA"/>
    <w:rsid w:val="09FB5EAE"/>
    <w:rsid w:val="0A1A64FD"/>
    <w:rsid w:val="0A263993"/>
    <w:rsid w:val="0A2D3AC2"/>
    <w:rsid w:val="0A2F0DBE"/>
    <w:rsid w:val="0A4800D1"/>
    <w:rsid w:val="0A6D18E6"/>
    <w:rsid w:val="0A894972"/>
    <w:rsid w:val="0A8A06EA"/>
    <w:rsid w:val="0AA25A34"/>
    <w:rsid w:val="0AA755DF"/>
    <w:rsid w:val="0AA96DC2"/>
    <w:rsid w:val="0AB0320A"/>
    <w:rsid w:val="0AC61847"/>
    <w:rsid w:val="0AD656DD"/>
    <w:rsid w:val="0AE479F6"/>
    <w:rsid w:val="0AEC22E1"/>
    <w:rsid w:val="0AF73FD1"/>
    <w:rsid w:val="0B04224A"/>
    <w:rsid w:val="0B0C7351"/>
    <w:rsid w:val="0B120D44"/>
    <w:rsid w:val="0B183F48"/>
    <w:rsid w:val="0B350656"/>
    <w:rsid w:val="0B48482D"/>
    <w:rsid w:val="0B53243F"/>
    <w:rsid w:val="0B7373D0"/>
    <w:rsid w:val="0B7A075E"/>
    <w:rsid w:val="0B845139"/>
    <w:rsid w:val="0B860EB1"/>
    <w:rsid w:val="0BD27BF6"/>
    <w:rsid w:val="0C3B3C7D"/>
    <w:rsid w:val="0C4274CE"/>
    <w:rsid w:val="0CAB2EAE"/>
    <w:rsid w:val="0CBB072A"/>
    <w:rsid w:val="0CC021A1"/>
    <w:rsid w:val="0CDD0FA5"/>
    <w:rsid w:val="0CED2054"/>
    <w:rsid w:val="0D026C5D"/>
    <w:rsid w:val="0D093B48"/>
    <w:rsid w:val="0D4508F8"/>
    <w:rsid w:val="0D464D9C"/>
    <w:rsid w:val="0D470B14"/>
    <w:rsid w:val="0D621C7D"/>
    <w:rsid w:val="0D645222"/>
    <w:rsid w:val="0D740D44"/>
    <w:rsid w:val="0D7C07BE"/>
    <w:rsid w:val="0D934E52"/>
    <w:rsid w:val="0D95362E"/>
    <w:rsid w:val="0DA32AF1"/>
    <w:rsid w:val="0DBA3094"/>
    <w:rsid w:val="0DDA1988"/>
    <w:rsid w:val="0DE46363"/>
    <w:rsid w:val="0DEB76F2"/>
    <w:rsid w:val="0DEE0F90"/>
    <w:rsid w:val="0E0E17DB"/>
    <w:rsid w:val="0E1409F6"/>
    <w:rsid w:val="0E26072A"/>
    <w:rsid w:val="0E3177FA"/>
    <w:rsid w:val="0E39220B"/>
    <w:rsid w:val="0E417312"/>
    <w:rsid w:val="0E666D78"/>
    <w:rsid w:val="0E73034D"/>
    <w:rsid w:val="0E7C5591"/>
    <w:rsid w:val="0E833DCE"/>
    <w:rsid w:val="0E876C56"/>
    <w:rsid w:val="0E886F61"/>
    <w:rsid w:val="0E9E4764"/>
    <w:rsid w:val="0EA16002"/>
    <w:rsid w:val="0ECA5559"/>
    <w:rsid w:val="0ECF0DC1"/>
    <w:rsid w:val="0F047B6F"/>
    <w:rsid w:val="0F13775A"/>
    <w:rsid w:val="0F2C0820"/>
    <w:rsid w:val="0F571BC3"/>
    <w:rsid w:val="0F5F45FE"/>
    <w:rsid w:val="0F6E4136"/>
    <w:rsid w:val="0F7A6F7F"/>
    <w:rsid w:val="0F814668"/>
    <w:rsid w:val="0F9A112B"/>
    <w:rsid w:val="0FA12242"/>
    <w:rsid w:val="0FB254CB"/>
    <w:rsid w:val="0FF56606"/>
    <w:rsid w:val="10060813"/>
    <w:rsid w:val="10066A65"/>
    <w:rsid w:val="104F3F68"/>
    <w:rsid w:val="10697E59"/>
    <w:rsid w:val="106D2F64"/>
    <w:rsid w:val="10727C56"/>
    <w:rsid w:val="10741C20"/>
    <w:rsid w:val="108C51BC"/>
    <w:rsid w:val="109B71AD"/>
    <w:rsid w:val="109C5F05"/>
    <w:rsid w:val="10B63710"/>
    <w:rsid w:val="10E01064"/>
    <w:rsid w:val="10F10820"/>
    <w:rsid w:val="10F22B45"/>
    <w:rsid w:val="10F44B0F"/>
    <w:rsid w:val="10FE598E"/>
    <w:rsid w:val="111B1A27"/>
    <w:rsid w:val="111C2F7A"/>
    <w:rsid w:val="1122342A"/>
    <w:rsid w:val="112847B9"/>
    <w:rsid w:val="112C24FB"/>
    <w:rsid w:val="11301FEB"/>
    <w:rsid w:val="113413B0"/>
    <w:rsid w:val="113A4C18"/>
    <w:rsid w:val="11553800"/>
    <w:rsid w:val="11632DC9"/>
    <w:rsid w:val="11665CA1"/>
    <w:rsid w:val="118C4D48"/>
    <w:rsid w:val="11E46932"/>
    <w:rsid w:val="11E84674"/>
    <w:rsid w:val="12045226"/>
    <w:rsid w:val="120B0362"/>
    <w:rsid w:val="1226519C"/>
    <w:rsid w:val="12296A3A"/>
    <w:rsid w:val="124F64A1"/>
    <w:rsid w:val="125D1D7E"/>
    <w:rsid w:val="127557DC"/>
    <w:rsid w:val="12850115"/>
    <w:rsid w:val="12906AB9"/>
    <w:rsid w:val="12AF6F40"/>
    <w:rsid w:val="12BA1309"/>
    <w:rsid w:val="12C86253"/>
    <w:rsid w:val="12D60970"/>
    <w:rsid w:val="131721D0"/>
    <w:rsid w:val="13217712"/>
    <w:rsid w:val="134924E7"/>
    <w:rsid w:val="134C29E0"/>
    <w:rsid w:val="13596EAB"/>
    <w:rsid w:val="13616186"/>
    <w:rsid w:val="136B0CD9"/>
    <w:rsid w:val="137A57A0"/>
    <w:rsid w:val="137F2DB6"/>
    <w:rsid w:val="13882F15"/>
    <w:rsid w:val="13951726"/>
    <w:rsid w:val="13C133CE"/>
    <w:rsid w:val="13CE1647"/>
    <w:rsid w:val="13E156B5"/>
    <w:rsid w:val="13ED294B"/>
    <w:rsid w:val="140B63F8"/>
    <w:rsid w:val="14103A0E"/>
    <w:rsid w:val="14290F74"/>
    <w:rsid w:val="142B2BA6"/>
    <w:rsid w:val="14302302"/>
    <w:rsid w:val="14353475"/>
    <w:rsid w:val="14396509"/>
    <w:rsid w:val="14396A0C"/>
    <w:rsid w:val="143A0A8B"/>
    <w:rsid w:val="143F60A1"/>
    <w:rsid w:val="144E09DA"/>
    <w:rsid w:val="14553B17"/>
    <w:rsid w:val="1497412F"/>
    <w:rsid w:val="14A12D99"/>
    <w:rsid w:val="14D47131"/>
    <w:rsid w:val="14DD2C3C"/>
    <w:rsid w:val="14EF7AC7"/>
    <w:rsid w:val="151B4D60"/>
    <w:rsid w:val="15311E8E"/>
    <w:rsid w:val="15400323"/>
    <w:rsid w:val="1548367B"/>
    <w:rsid w:val="155200D3"/>
    <w:rsid w:val="15897F1C"/>
    <w:rsid w:val="159E3927"/>
    <w:rsid w:val="15FD6214"/>
    <w:rsid w:val="16087E1D"/>
    <w:rsid w:val="16177F94"/>
    <w:rsid w:val="162639BD"/>
    <w:rsid w:val="162D4D4B"/>
    <w:rsid w:val="164D0F49"/>
    <w:rsid w:val="166242C9"/>
    <w:rsid w:val="16730284"/>
    <w:rsid w:val="16832BBD"/>
    <w:rsid w:val="168626AD"/>
    <w:rsid w:val="16D57191"/>
    <w:rsid w:val="16D86E52"/>
    <w:rsid w:val="16DE56FC"/>
    <w:rsid w:val="16E11692"/>
    <w:rsid w:val="170F4451"/>
    <w:rsid w:val="17101F77"/>
    <w:rsid w:val="1726179A"/>
    <w:rsid w:val="17263548"/>
    <w:rsid w:val="174C1201"/>
    <w:rsid w:val="17614581"/>
    <w:rsid w:val="17680005"/>
    <w:rsid w:val="17701D14"/>
    <w:rsid w:val="17735226"/>
    <w:rsid w:val="17742506"/>
    <w:rsid w:val="17780248"/>
    <w:rsid w:val="17797B1C"/>
    <w:rsid w:val="17872239"/>
    <w:rsid w:val="17984446"/>
    <w:rsid w:val="179D7CAF"/>
    <w:rsid w:val="17C57205"/>
    <w:rsid w:val="17C8067F"/>
    <w:rsid w:val="17D2722C"/>
    <w:rsid w:val="180E4708"/>
    <w:rsid w:val="181635BD"/>
    <w:rsid w:val="18167A61"/>
    <w:rsid w:val="181C21E0"/>
    <w:rsid w:val="18455C50"/>
    <w:rsid w:val="185760AF"/>
    <w:rsid w:val="18950986"/>
    <w:rsid w:val="189F624C"/>
    <w:rsid w:val="18AB63FB"/>
    <w:rsid w:val="18E11E1D"/>
    <w:rsid w:val="18EB2C9C"/>
    <w:rsid w:val="18ED07C2"/>
    <w:rsid w:val="190855FC"/>
    <w:rsid w:val="190B0C48"/>
    <w:rsid w:val="19185113"/>
    <w:rsid w:val="193F08F1"/>
    <w:rsid w:val="19401ECC"/>
    <w:rsid w:val="1954439D"/>
    <w:rsid w:val="195C5759"/>
    <w:rsid w:val="19900739"/>
    <w:rsid w:val="199D21E8"/>
    <w:rsid w:val="19AA66B3"/>
    <w:rsid w:val="19C01A32"/>
    <w:rsid w:val="19C86B39"/>
    <w:rsid w:val="19CA0B03"/>
    <w:rsid w:val="19CA28B1"/>
    <w:rsid w:val="19EC09B4"/>
    <w:rsid w:val="1A112886"/>
    <w:rsid w:val="1A1C66C0"/>
    <w:rsid w:val="1A2226ED"/>
    <w:rsid w:val="1A3146DE"/>
    <w:rsid w:val="1A42393B"/>
    <w:rsid w:val="1A7A6085"/>
    <w:rsid w:val="1A8707A2"/>
    <w:rsid w:val="1AA41354"/>
    <w:rsid w:val="1AAD45DE"/>
    <w:rsid w:val="1AAE3F81"/>
    <w:rsid w:val="1AC217DA"/>
    <w:rsid w:val="1ADC289C"/>
    <w:rsid w:val="1AE17EB2"/>
    <w:rsid w:val="1AED35BE"/>
    <w:rsid w:val="1B046F80"/>
    <w:rsid w:val="1B3267B5"/>
    <w:rsid w:val="1B373F76"/>
    <w:rsid w:val="1B40161D"/>
    <w:rsid w:val="1B441859"/>
    <w:rsid w:val="1B632FBD"/>
    <w:rsid w:val="1B6606B1"/>
    <w:rsid w:val="1B707488"/>
    <w:rsid w:val="1B8A054A"/>
    <w:rsid w:val="1B8B6070"/>
    <w:rsid w:val="1BAD0484"/>
    <w:rsid w:val="1BD53631"/>
    <w:rsid w:val="1BF15DCA"/>
    <w:rsid w:val="1BF9122C"/>
    <w:rsid w:val="1BFD6F6E"/>
    <w:rsid w:val="1C16002F"/>
    <w:rsid w:val="1C2208E7"/>
    <w:rsid w:val="1C3109C5"/>
    <w:rsid w:val="1C522596"/>
    <w:rsid w:val="1C533032"/>
    <w:rsid w:val="1C597F1C"/>
    <w:rsid w:val="1C5E7925"/>
    <w:rsid w:val="1C67088B"/>
    <w:rsid w:val="1C8F393E"/>
    <w:rsid w:val="1C980A44"/>
    <w:rsid w:val="1CC23D13"/>
    <w:rsid w:val="1CD63383"/>
    <w:rsid w:val="1CDA72AF"/>
    <w:rsid w:val="1CDD0B4D"/>
    <w:rsid w:val="1CFD070F"/>
    <w:rsid w:val="1D24052A"/>
    <w:rsid w:val="1D320E99"/>
    <w:rsid w:val="1D434E54"/>
    <w:rsid w:val="1D5F6196"/>
    <w:rsid w:val="1D6132A5"/>
    <w:rsid w:val="1D8D60CF"/>
    <w:rsid w:val="1D8E56D5"/>
    <w:rsid w:val="1D9236E6"/>
    <w:rsid w:val="1D994A74"/>
    <w:rsid w:val="1DAF4298"/>
    <w:rsid w:val="1DBE097F"/>
    <w:rsid w:val="1DC35F95"/>
    <w:rsid w:val="1DC835AB"/>
    <w:rsid w:val="1DCA2E80"/>
    <w:rsid w:val="1DD27525"/>
    <w:rsid w:val="1DF148B0"/>
    <w:rsid w:val="1E171E3D"/>
    <w:rsid w:val="1E2D340E"/>
    <w:rsid w:val="1E4C1AE7"/>
    <w:rsid w:val="1E636E30"/>
    <w:rsid w:val="1E74103D"/>
    <w:rsid w:val="1E7A43DA"/>
    <w:rsid w:val="1E7F0023"/>
    <w:rsid w:val="1E960FB4"/>
    <w:rsid w:val="1E9A4F48"/>
    <w:rsid w:val="1EA00084"/>
    <w:rsid w:val="1EC51899"/>
    <w:rsid w:val="1ECE4BF1"/>
    <w:rsid w:val="1ECE699F"/>
    <w:rsid w:val="1EEB5F6E"/>
    <w:rsid w:val="1EF4074E"/>
    <w:rsid w:val="1F5212ED"/>
    <w:rsid w:val="1F680BA2"/>
    <w:rsid w:val="1F6B0692"/>
    <w:rsid w:val="1F833C2E"/>
    <w:rsid w:val="1FAA740D"/>
    <w:rsid w:val="1FAD2A59"/>
    <w:rsid w:val="1FB13920"/>
    <w:rsid w:val="1FBE07C2"/>
    <w:rsid w:val="1FDC333E"/>
    <w:rsid w:val="1FDE70B6"/>
    <w:rsid w:val="1FE7539E"/>
    <w:rsid w:val="1FE87F35"/>
    <w:rsid w:val="1FF00B97"/>
    <w:rsid w:val="1FF40688"/>
    <w:rsid w:val="201B5C14"/>
    <w:rsid w:val="203767C6"/>
    <w:rsid w:val="203E7B55"/>
    <w:rsid w:val="2040730C"/>
    <w:rsid w:val="20671BE0"/>
    <w:rsid w:val="20692E24"/>
    <w:rsid w:val="20963CB8"/>
    <w:rsid w:val="20983E5A"/>
    <w:rsid w:val="20A81A1B"/>
    <w:rsid w:val="20AE6A88"/>
    <w:rsid w:val="20B07FB6"/>
    <w:rsid w:val="20B16579"/>
    <w:rsid w:val="20B646FB"/>
    <w:rsid w:val="20CF4C51"/>
    <w:rsid w:val="20D83B05"/>
    <w:rsid w:val="20EA55E7"/>
    <w:rsid w:val="213B74B1"/>
    <w:rsid w:val="21472A39"/>
    <w:rsid w:val="214C62A1"/>
    <w:rsid w:val="215A2310"/>
    <w:rsid w:val="215C4736"/>
    <w:rsid w:val="21661111"/>
    <w:rsid w:val="21690C01"/>
    <w:rsid w:val="217C517B"/>
    <w:rsid w:val="218E0668"/>
    <w:rsid w:val="21B7196D"/>
    <w:rsid w:val="21C36564"/>
    <w:rsid w:val="21C7538A"/>
    <w:rsid w:val="21D97B35"/>
    <w:rsid w:val="21DE318A"/>
    <w:rsid w:val="21EF5B80"/>
    <w:rsid w:val="2217065D"/>
    <w:rsid w:val="223034CD"/>
    <w:rsid w:val="22576990"/>
    <w:rsid w:val="22623FCE"/>
    <w:rsid w:val="228F4698"/>
    <w:rsid w:val="22965A26"/>
    <w:rsid w:val="22C205C9"/>
    <w:rsid w:val="22CF0F38"/>
    <w:rsid w:val="22E22A19"/>
    <w:rsid w:val="22EF5136"/>
    <w:rsid w:val="22F47480"/>
    <w:rsid w:val="230F7587"/>
    <w:rsid w:val="23827B9D"/>
    <w:rsid w:val="23931F66"/>
    <w:rsid w:val="23BD5235"/>
    <w:rsid w:val="23C37AAC"/>
    <w:rsid w:val="23DE1C48"/>
    <w:rsid w:val="23DF056D"/>
    <w:rsid w:val="23DF49EC"/>
    <w:rsid w:val="23E270C9"/>
    <w:rsid w:val="23E32EED"/>
    <w:rsid w:val="240210CD"/>
    <w:rsid w:val="24194B61"/>
    <w:rsid w:val="244D65B8"/>
    <w:rsid w:val="2453391D"/>
    <w:rsid w:val="248D4C07"/>
    <w:rsid w:val="24BF09F7"/>
    <w:rsid w:val="24D00645"/>
    <w:rsid w:val="24FB4266"/>
    <w:rsid w:val="250749B9"/>
    <w:rsid w:val="25137802"/>
    <w:rsid w:val="252D53FE"/>
    <w:rsid w:val="25302162"/>
    <w:rsid w:val="25453733"/>
    <w:rsid w:val="25496D80"/>
    <w:rsid w:val="25506360"/>
    <w:rsid w:val="2561056D"/>
    <w:rsid w:val="256A4F48"/>
    <w:rsid w:val="25757B75"/>
    <w:rsid w:val="25A246E2"/>
    <w:rsid w:val="25B20FC1"/>
    <w:rsid w:val="25B44996"/>
    <w:rsid w:val="25D0124F"/>
    <w:rsid w:val="25E1520A"/>
    <w:rsid w:val="25EC2D81"/>
    <w:rsid w:val="2609650F"/>
    <w:rsid w:val="260E7FC9"/>
    <w:rsid w:val="26345C82"/>
    <w:rsid w:val="26661BB3"/>
    <w:rsid w:val="269009DE"/>
    <w:rsid w:val="26BC3D32"/>
    <w:rsid w:val="26BC7A25"/>
    <w:rsid w:val="26D92385"/>
    <w:rsid w:val="26E8265C"/>
    <w:rsid w:val="26F31699"/>
    <w:rsid w:val="271B299E"/>
    <w:rsid w:val="27585682"/>
    <w:rsid w:val="27602AA7"/>
    <w:rsid w:val="276E51C4"/>
    <w:rsid w:val="277057A2"/>
    <w:rsid w:val="2778394C"/>
    <w:rsid w:val="278A18D2"/>
    <w:rsid w:val="279A2121"/>
    <w:rsid w:val="279F35CF"/>
    <w:rsid w:val="27A042A0"/>
    <w:rsid w:val="27A6495D"/>
    <w:rsid w:val="27CB3F66"/>
    <w:rsid w:val="27D66346"/>
    <w:rsid w:val="27DA4607"/>
    <w:rsid w:val="280B656E"/>
    <w:rsid w:val="280C6FCD"/>
    <w:rsid w:val="281D44F4"/>
    <w:rsid w:val="28304227"/>
    <w:rsid w:val="283D6944"/>
    <w:rsid w:val="285015E3"/>
    <w:rsid w:val="285048C9"/>
    <w:rsid w:val="285C14C0"/>
    <w:rsid w:val="286640ED"/>
    <w:rsid w:val="28722A91"/>
    <w:rsid w:val="287B7B98"/>
    <w:rsid w:val="28B5297E"/>
    <w:rsid w:val="28C3509B"/>
    <w:rsid w:val="28C64B8B"/>
    <w:rsid w:val="28C81783"/>
    <w:rsid w:val="28CE13B5"/>
    <w:rsid w:val="28D63020"/>
    <w:rsid w:val="28E55011"/>
    <w:rsid w:val="28E60D8A"/>
    <w:rsid w:val="28F11C08"/>
    <w:rsid w:val="290336EA"/>
    <w:rsid w:val="29063BCD"/>
    <w:rsid w:val="29064F88"/>
    <w:rsid w:val="29206EB8"/>
    <w:rsid w:val="29521CFD"/>
    <w:rsid w:val="29595666"/>
    <w:rsid w:val="296E1C48"/>
    <w:rsid w:val="297939AC"/>
    <w:rsid w:val="29874881"/>
    <w:rsid w:val="298C1931"/>
    <w:rsid w:val="298E7D15"/>
    <w:rsid w:val="2999257A"/>
    <w:rsid w:val="29A94291"/>
    <w:rsid w:val="29AC5B2F"/>
    <w:rsid w:val="29C63095"/>
    <w:rsid w:val="29CA4207"/>
    <w:rsid w:val="29DA0682"/>
    <w:rsid w:val="29E325E0"/>
    <w:rsid w:val="29FC6AB7"/>
    <w:rsid w:val="2A0616E3"/>
    <w:rsid w:val="2A187669"/>
    <w:rsid w:val="2A1D4C7F"/>
    <w:rsid w:val="2A2878AC"/>
    <w:rsid w:val="2A41271B"/>
    <w:rsid w:val="2A452503"/>
    <w:rsid w:val="2A467D32"/>
    <w:rsid w:val="2A493C9B"/>
    <w:rsid w:val="2A6401B8"/>
    <w:rsid w:val="2A662182"/>
    <w:rsid w:val="2A7D127A"/>
    <w:rsid w:val="2AB875AA"/>
    <w:rsid w:val="2AC95856"/>
    <w:rsid w:val="2ACA0963"/>
    <w:rsid w:val="2AD55D8B"/>
    <w:rsid w:val="2AFA0B1C"/>
    <w:rsid w:val="2B044055"/>
    <w:rsid w:val="2B05199B"/>
    <w:rsid w:val="2B0B769D"/>
    <w:rsid w:val="2B0D4CF3"/>
    <w:rsid w:val="2B0F6139"/>
    <w:rsid w:val="2B157704"/>
    <w:rsid w:val="2B2F6A18"/>
    <w:rsid w:val="2B4B6EDC"/>
    <w:rsid w:val="2B5E72FD"/>
    <w:rsid w:val="2B842AF5"/>
    <w:rsid w:val="2BA936A8"/>
    <w:rsid w:val="2BB37649"/>
    <w:rsid w:val="2BE23A8A"/>
    <w:rsid w:val="2BE27F2E"/>
    <w:rsid w:val="2BF612E4"/>
    <w:rsid w:val="2C315A5A"/>
    <w:rsid w:val="2C385DA0"/>
    <w:rsid w:val="2C3C763E"/>
    <w:rsid w:val="2C471B3F"/>
    <w:rsid w:val="2C4B1C25"/>
    <w:rsid w:val="2C536736"/>
    <w:rsid w:val="2C5A1872"/>
    <w:rsid w:val="2C6B7F24"/>
    <w:rsid w:val="2C770676"/>
    <w:rsid w:val="2C8314AC"/>
    <w:rsid w:val="2C844B41"/>
    <w:rsid w:val="2CC55886"/>
    <w:rsid w:val="2CCD64E8"/>
    <w:rsid w:val="2CE11F94"/>
    <w:rsid w:val="2D067C4C"/>
    <w:rsid w:val="2D1C4D7A"/>
    <w:rsid w:val="2D1E3378"/>
    <w:rsid w:val="2D281971"/>
    <w:rsid w:val="2D2B6EB4"/>
    <w:rsid w:val="2D360531"/>
    <w:rsid w:val="2D376058"/>
    <w:rsid w:val="2D452523"/>
    <w:rsid w:val="2D46629B"/>
    <w:rsid w:val="2D597D7C"/>
    <w:rsid w:val="2D636E4D"/>
    <w:rsid w:val="2D656721"/>
    <w:rsid w:val="2D9E56F5"/>
    <w:rsid w:val="2DA21723"/>
    <w:rsid w:val="2DD176D3"/>
    <w:rsid w:val="2E045F3A"/>
    <w:rsid w:val="2E1168A9"/>
    <w:rsid w:val="2E165C6D"/>
    <w:rsid w:val="2E1B7727"/>
    <w:rsid w:val="2E304F81"/>
    <w:rsid w:val="2E3D144C"/>
    <w:rsid w:val="2E652751"/>
    <w:rsid w:val="2E667F96"/>
    <w:rsid w:val="2E6A453A"/>
    <w:rsid w:val="2E8226AB"/>
    <w:rsid w:val="2E854378"/>
    <w:rsid w:val="2E861045"/>
    <w:rsid w:val="2E9077CD"/>
    <w:rsid w:val="2EA0058E"/>
    <w:rsid w:val="2EB21E3A"/>
    <w:rsid w:val="2EBE2D10"/>
    <w:rsid w:val="2EC8340B"/>
    <w:rsid w:val="2EED10C4"/>
    <w:rsid w:val="2F101AAE"/>
    <w:rsid w:val="2F462582"/>
    <w:rsid w:val="2F5729E1"/>
    <w:rsid w:val="2F76227A"/>
    <w:rsid w:val="2FAA48BF"/>
    <w:rsid w:val="2FB120F1"/>
    <w:rsid w:val="2FCF4325"/>
    <w:rsid w:val="2FD065E6"/>
    <w:rsid w:val="2FD96870"/>
    <w:rsid w:val="301E705B"/>
    <w:rsid w:val="302208F9"/>
    <w:rsid w:val="30226B4B"/>
    <w:rsid w:val="304873F8"/>
    <w:rsid w:val="30562C99"/>
    <w:rsid w:val="30580BC9"/>
    <w:rsid w:val="306B04F2"/>
    <w:rsid w:val="306E7FE2"/>
    <w:rsid w:val="30847806"/>
    <w:rsid w:val="30B55C11"/>
    <w:rsid w:val="30C61BCC"/>
    <w:rsid w:val="30C85944"/>
    <w:rsid w:val="30E6401D"/>
    <w:rsid w:val="30FC114A"/>
    <w:rsid w:val="31143939"/>
    <w:rsid w:val="311E2ED7"/>
    <w:rsid w:val="31216E03"/>
    <w:rsid w:val="31374DAA"/>
    <w:rsid w:val="31446F78"/>
    <w:rsid w:val="3154385E"/>
    <w:rsid w:val="315619EE"/>
    <w:rsid w:val="315C2A2E"/>
    <w:rsid w:val="315C42DF"/>
    <w:rsid w:val="315C449C"/>
    <w:rsid w:val="31602BC6"/>
    <w:rsid w:val="31750EFD"/>
    <w:rsid w:val="318178A1"/>
    <w:rsid w:val="318F482F"/>
    <w:rsid w:val="31B61C41"/>
    <w:rsid w:val="31B82709"/>
    <w:rsid w:val="31CA56EC"/>
    <w:rsid w:val="31CB6D6E"/>
    <w:rsid w:val="31D05482"/>
    <w:rsid w:val="31E65A0C"/>
    <w:rsid w:val="320C1861"/>
    <w:rsid w:val="322664DA"/>
    <w:rsid w:val="32400B34"/>
    <w:rsid w:val="32472899"/>
    <w:rsid w:val="32672F3B"/>
    <w:rsid w:val="327411B4"/>
    <w:rsid w:val="329E6876"/>
    <w:rsid w:val="32B85545"/>
    <w:rsid w:val="32C77958"/>
    <w:rsid w:val="32CB34CA"/>
    <w:rsid w:val="32DF6F75"/>
    <w:rsid w:val="32E4633A"/>
    <w:rsid w:val="32EB591A"/>
    <w:rsid w:val="32F56799"/>
    <w:rsid w:val="33047ECF"/>
    <w:rsid w:val="330D3BF5"/>
    <w:rsid w:val="330E4783"/>
    <w:rsid w:val="332C1A8F"/>
    <w:rsid w:val="332D7CE1"/>
    <w:rsid w:val="333015F2"/>
    <w:rsid w:val="333035A5"/>
    <w:rsid w:val="333C6176"/>
    <w:rsid w:val="334B6320"/>
    <w:rsid w:val="338D69D1"/>
    <w:rsid w:val="33A45AC9"/>
    <w:rsid w:val="33A86D33"/>
    <w:rsid w:val="33BB0749"/>
    <w:rsid w:val="33BE4DDD"/>
    <w:rsid w:val="33D74BE2"/>
    <w:rsid w:val="33D934D4"/>
    <w:rsid w:val="33FE2F6A"/>
    <w:rsid w:val="340E07E5"/>
    <w:rsid w:val="34235BF7"/>
    <w:rsid w:val="3430782E"/>
    <w:rsid w:val="344A2B14"/>
    <w:rsid w:val="345319C9"/>
    <w:rsid w:val="34797914"/>
    <w:rsid w:val="349A33A7"/>
    <w:rsid w:val="34A02734"/>
    <w:rsid w:val="34B47F8E"/>
    <w:rsid w:val="34C91C8B"/>
    <w:rsid w:val="35123632"/>
    <w:rsid w:val="3546508A"/>
    <w:rsid w:val="35583C77"/>
    <w:rsid w:val="358263B2"/>
    <w:rsid w:val="358C5FA8"/>
    <w:rsid w:val="358E289B"/>
    <w:rsid w:val="35A65B28"/>
    <w:rsid w:val="35B069A7"/>
    <w:rsid w:val="35BF4E3C"/>
    <w:rsid w:val="35C15DF1"/>
    <w:rsid w:val="35FA5E74"/>
    <w:rsid w:val="3600792F"/>
    <w:rsid w:val="36074A7F"/>
    <w:rsid w:val="360B0832"/>
    <w:rsid w:val="36154A5C"/>
    <w:rsid w:val="365732C7"/>
    <w:rsid w:val="367B5207"/>
    <w:rsid w:val="36877708"/>
    <w:rsid w:val="36923549"/>
    <w:rsid w:val="369B7657"/>
    <w:rsid w:val="36A4650C"/>
    <w:rsid w:val="36A71B58"/>
    <w:rsid w:val="36A810C3"/>
    <w:rsid w:val="36B75FBF"/>
    <w:rsid w:val="36BD0C45"/>
    <w:rsid w:val="36C546D4"/>
    <w:rsid w:val="36C61E83"/>
    <w:rsid w:val="36EC3A0F"/>
    <w:rsid w:val="36F54FB9"/>
    <w:rsid w:val="37160A8C"/>
    <w:rsid w:val="373C4996"/>
    <w:rsid w:val="37537F32"/>
    <w:rsid w:val="376C2A8F"/>
    <w:rsid w:val="379522F8"/>
    <w:rsid w:val="37B26A07"/>
    <w:rsid w:val="37BC5AD7"/>
    <w:rsid w:val="37D01583"/>
    <w:rsid w:val="37DB3379"/>
    <w:rsid w:val="37DF3574"/>
    <w:rsid w:val="37E00298"/>
    <w:rsid w:val="37E34E12"/>
    <w:rsid w:val="37FA215C"/>
    <w:rsid w:val="38082ACA"/>
    <w:rsid w:val="380A6843"/>
    <w:rsid w:val="3814146F"/>
    <w:rsid w:val="38285EB5"/>
    <w:rsid w:val="382D68B9"/>
    <w:rsid w:val="38433B03"/>
    <w:rsid w:val="38471845"/>
    <w:rsid w:val="384A30E3"/>
    <w:rsid w:val="38581583"/>
    <w:rsid w:val="385E26EA"/>
    <w:rsid w:val="386817BB"/>
    <w:rsid w:val="386D0B7F"/>
    <w:rsid w:val="387C0DC3"/>
    <w:rsid w:val="387E430A"/>
    <w:rsid w:val="38804D57"/>
    <w:rsid w:val="388C36FB"/>
    <w:rsid w:val="38B302F9"/>
    <w:rsid w:val="38B77590"/>
    <w:rsid w:val="38C74734"/>
    <w:rsid w:val="38CC1D4A"/>
    <w:rsid w:val="38D26CA5"/>
    <w:rsid w:val="38D417AB"/>
    <w:rsid w:val="38F12CD3"/>
    <w:rsid w:val="38F66DC7"/>
    <w:rsid w:val="38F94775"/>
    <w:rsid w:val="391B05DB"/>
    <w:rsid w:val="392971ED"/>
    <w:rsid w:val="39325651"/>
    <w:rsid w:val="3938118D"/>
    <w:rsid w:val="395020F7"/>
    <w:rsid w:val="39690EC1"/>
    <w:rsid w:val="39806842"/>
    <w:rsid w:val="39893797"/>
    <w:rsid w:val="399957BB"/>
    <w:rsid w:val="39B051C8"/>
    <w:rsid w:val="39B747A8"/>
    <w:rsid w:val="39DA0497"/>
    <w:rsid w:val="39E906DA"/>
    <w:rsid w:val="39F50E2C"/>
    <w:rsid w:val="39FF537E"/>
    <w:rsid w:val="3A1A0893"/>
    <w:rsid w:val="3A1E65D5"/>
    <w:rsid w:val="3A1F5EA9"/>
    <w:rsid w:val="3A267238"/>
    <w:rsid w:val="3A63048C"/>
    <w:rsid w:val="3A661D2A"/>
    <w:rsid w:val="3A872856"/>
    <w:rsid w:val="3AA80595"/>
    <w:rsid w:val="3AA82343"/>
    <w:rsid w:val="3AB42A96"/>
    <w:rsid w:val="3ABA5D88"/>
    <w:rsid w:val="3ABB02C8"/>
    <w:rsid w:val="3AD1189A"/>
    <w:rsid w:val="3AF45588"/>
    <w:rsid w:val="3B286191"/>
    <w:rsid w:val="3B3763D1"/>
    <w:rsid w:val="3B497682"/>
    <w:rsid w:val="3B4C7172"/>
    <w:rsid w:val="3B81506E"/>
    <w:rsid w:val="3BAE3989"/>
    <w:rsid w:val="3BBC42F8"/>
    <w:rsid w:val="3BC66F24"/>
    <w:rsid w:val="3BDC6748"/>
    <w:rsid w:val="3BE949C1"/>
    <w:rsid w:val="3BEC760D"/>
    <w:rsid w:val="3BF5780A"/>
    <w:rsid w:val="3C0812EB"/>
    <w:rsid w:val="3C0E4427"/>
    <w:rsid w:val="3C195C53"/>
    <w:rsid w:val="3C2F6E1E"/>
    <w:rsid w:val="3C4F64BA"/>
    <w:rsid w:val="3C601127"/>
    <w:rsid w:val="3C776471"/>
    <w:rsid w:val="3C85293C"/>
    <w:rsid w:val="3CA60B04"/>
    <w:rsid w:val="3CAD3C40"/>
    <w:rsid w:val="3CC66AB0"/>
    <w:rsid w:val="3CDA245A"/>
    <w:rsid w:val="3CF03B2D"/>
    <w:rsid w:val="3CFC3141"/>
    <w:rsid w:val="3CFE624A"/>
    <w:rsid w:val="3D015D3A"/>
    <w:rsid w:val="3D1E069A"/>
    <w:rsid w:val="3D1E06B7"/>
    <w:rsid w:val="3D2757A1"/>
    <w:rsid w:val="3D280A96"/>
    <w:rsid w:val="3D2C2DB7"/>
    <w:rsid w:val="3D3B124C"/>
    <w:rsid w:val="3D465F16"/>
    <w:rsid w:val="3D4D73B0"/>
    <w:rsid w:val="3D5D11C3"/>
    <w:rsid w:val="3D6F7148"/>
    <w:rsid w:val="3D822083"/>
    <w:rsid w:val="3D8C7233"/>
    <w:rsid w:val="3DA6700D"/>
    <w:rsid w:val="3DFD4754"/>
    <w:rsid w:val="3E0E6961"/>
    <w:rsid w:val="3E1C72D0"/>
    <w:rsid w:val="3E375EB7"/>
    <w:rsid w:val="3E3A2800"/>
    <w:rsid w:val="3E686071"/>
    <w:rsid w:val="3E6F5651"/>
    <w:rsid w:val="3E75078E"/>
    <w:rsid w:val="3E75652B"/>
    <w:rsid w:val="3E8135D7"/>
    <w:rsid w:val="3E817133"/>
    <w:rsid w:val="3E90381A"/>
    <w:rsid w:val="3EAD43CC"/>
    <w:rsid w:val="3EDA0523"/>
    <w:rsid w:val="3EE3148B"/>
    <w:rsid w:val="3EEA2F2A"/>
    <w:rsid w:val="3EFC2C5D"/>
    <w:rsid w:val="3EFC4A0B"/>
    <w:rsid w:val="3F055FB6"/>
    <w:rsid w:val="3F1A5A0E"/>
    <w:rsid w:val="3F255D10"/>
    <w:rsid w:val="3F3B5533"/>
    <w:rsid w:val="3F542A99"/>
    <w:rsid w:val="3F6319CA"/>
    <w:rsid w:val="3F850EA5"/>
    <w:rsid w:val="3F933CB2"/>
    <w:rsid w:val="3FB83028"/>
    <w:rsid w:val="3FBE7F13"/>
    <w:rsid w:val="3FC7326B"/>
    <w:rsid w:val="3FCA68B7"/>
    <w:rsid w:val="3FD31C10"/>
    <w:rsid w:val="3FE23C01"/>
    <w:rsid w:val="3FE756BB"/>
    <w:rsid w:val="3FF04570"/>
    <w:rsid w:val="3FF43934"/>
    <w:rsid w:val="3FF51B86"/>
    <w:rsid w:val="40076FF6"/>
    <w:rsid w:val="400973E0"/>
    <w:rsid w:val="402204A1"/>
    <w:rsid w:val="40322DDA"/>
    <w:rsid w:val="40633E0D"/>
    <w:rsid w:val="40703903"/>
    <w:rsid w:val="407A6407"/>
    <w:rsid w:val="4092099C"/>
    <w:rsid w:val="40B76E3C"/>
    <w:rsid w:val="40BC4452"/>
    <w:rsid w:val="40BF2194"/>
    <w:rsid w:val="40D07EFD"/>
    <w:rsid w:val="40D479EE"/>
    <w:rsid w:val="40D7128C"/>
    <w:rsid w:val="40FB7670"/>
    <w:rsid w:val="412A1D04"/>
    <w:rsid w:val="412B15D8"/>
    <w:rsid w:val="412F10C8"/>
    <w:rsid w:val="41384420"/>
    <w:rsid w:val="41416CB5"/>
    <w:rsid w:val="414F52C6"/>
    <w:rsid w:val="41575080"/>
    <w:rsid w:val="415D3E87"/>
    <w:rsid w:val="41670862"/>
    <w:rsid w:val="41790595"/>
    <w:rsid w:val="41AA2E44"/>
    <w:rsid w:val="41AF3FB7"/>
    <w:rsid w:val="41B94E35"/>
    <w:rsid w:val="41C55588"/>
    <w:rsid w:val="41CA1BC3"/>
    <w:rsid w:val="41DD6D76"/>
    <w:rsid w:val="4200449D"/>
    <w:rsid w:val="420508BB"/>
    <w:rsid w:val="42100EF9"/>
    <w:rsid w:val="421B789E"/>
    <w:rsid w:val="42203FEA"/>
    <w:rsid w:val="422E137F"/>
    <w:rsid w:val="423A3BCC"/>
    <w:rsid w:val="424566C9"/>
    <w:rsid w:val="424E57D2"/>
    <w:rsid w:val="42611755"/>
    <w:rsid w:val="42AB6E74"/>
    <w:rsid w:val="42B26C49"/>
    <w:rsid w:val="42D34528"/>
    <w:rsid w:val="42DF08CC"/>
    <w:rsid w:val="42EB101F"/>
    <w:rsid w:val="42FD5804"/>
    <w:rsid w:val="43065E58"/>
    <w:rsid w:val="430976F7"/>
    <w:rsid w:val="43140575"/>
    <w:rsid w:val="433A6FE6"/>
    <w:rsid w:val="43476B9D"/>
    <w:rsid w:val="43480868"/>
    <w:rsid w:val="4350713C"/>
    <w:rsid w:val="436653E0"/>
    <w:rsid w:val="437C611B"/>
    <w:rsid w:val="43875333"/>
    <w:rsid w:val="43917E18"/>
    <w:rsid w:val="43A85162"/>
    <w:rsid w:val="43B27D8E"/>
    <w:rsid w:val="43C4431A"/>
    <w:rsid w:val="43CD6976"/>
    <w:rsid w:val="43CF0940"/>
    <w:rsid w:val="43DE2931"/>
    <w:rsid w:val="43F62371"/>
    <w:rsid w:val="43F839F3"/>
    <w:rsid w:val="4403299E"/>
    <w:rsid w:val="440E3217"/>
    <w:rsid w:val="44110F59"/>
    <w:rsid w:val="44363080"/>
    <w:rsid w:val="443A7A0C"/>
    <w:rsid w:val="44550E45"/>
    <w:rsid w:val="44872FC9"/>
    <w:rsid w:val="44A121CE"/>
    <w:rsid w:val="44A45929"/>
    <w:rsid w:val="44B951CC"/>
    <w:rsid w:val="44CD14E0"/>
    <w:rsid w:val="44D83825"/>
    <w:rsid w:val="44E54505"/>
    <w:rsid w:val="44F20B0B"/>
    <w:rsid w:val="44FA7C3F"/>
    <w:rsid w:val="44FF34A7"/>
    <w:rsid w:val="45244CBC"/>
    <w:rsid w:val="452D591E"/>
    <w:rsid w:val="452E5F4C"/>
    <w:rsid w:val="453E18DA"/>
    <w:rsid w:val="45401AF6"/>
    <w:rsid w:val="455235D7"/>
    <w:rsid w:val="45596713"/>
    <w:rsid w:val="455E3D2A"/>
    <w:rsid w:val="45612018"/>
    <w:rsid w:val="45633A36"/>
    <w:rsid w:val="457A48DC"/>
    <w:rsid w:val="45837C34"/>
    <w:rsid w:val="458946E9"/>
    <w:rsid w:val="458C41F5"/>
    <w:rsid w:val="45A02594"/>
    <w:rsid w:val="45A47C0E"/>
    <w:rsid w:val="45B44292"/>
    <w:rsid w:val="45E00BE3"/>
    <w:rsid w:val="4614088C"/>
    <w:rsid w:val="46250CEB"/>
    <w:rsid w:val="462C3E28"/>
    <w:rsid w:val="464C44CA"/>
    <w:rsid w:val="464C6278"/>
    <w:rsid w:val="46577FD6"/>
    <w:rsid w:val="465D2233"/>
    <w:rsid w:val="46723A9E"/>
    <w:rsid w:val="468523B2"/>
    <w:rsid w:val="46886FB4"/>
    <w:rsid w:val="469B2D5C"/>
    <w:rsid w:val="46A71700"/>
    <w:rsid w:val="46B06807"/>
    <w:rsid w:val="46BA7686"/>
    <w:rsid w:val="46CB4320"/>
    <w:rsid w:val="46D02A05"/>
    <w:rsid w:val="46D14781"/>
    <w:rsid w:val="46D955A7"/>
    <w:rsid w:val="46DA1AD6"/>
    <w:rsid w:val="46E6047B"/>
    <w:rsid w:val="47133957"/>
    <w:rsid w:val="47152B0E"/>
    <w:rsid w:val="471F1BDF"/>
    <w:rsid w:val="47451645"/>
    <w:rsid w:val="47525B10"/>
    <w:rsid w:val="47583F97"/>
    <w:rsid w:val="47613E2A"/>
    <w:rsid w:val="476653B4"/>
    <w:rsid w:val="477737C9"/>
    <w:rsid w:val="47777325"/>
    <w:rsid w:val="47804A97"/>
    <w:rsid w:val="478A34FC"/>
    <w:rsid w:val="47A07E0C"/>
    <w:rsid w:val="47A120FB"/>
    <w:rsid w:val="47A83982"/>
    <w:rsid w:val="47B91DF2"/>
    <w:rsid w:val="47CF7161"/>
    <w:rsid w:val="47D26C51"/>
    <w:rsid w:val="47F40975"/>
    <w:rsid w:val="48174664"/>
    <w:rsid w:val="481B4154"/>
    <w:rsid w:val="483416BA"/>
    <w:rsid w:val="484D0086"/>
    <w:rsid w:val="4870272E"/>
    <w:rsid w:val="487F2E59"/>
    <w:rsid w:val="488B673D"/>
    <w:rsid w:val="48A57EC2"/>
    <w:rsid w:val="48A73C3A"/>
    <w:rsid w:val="48B353BB"/>
    <w:rsid w:val="48B9571B"/>
    <w:rsid w:val="48BA1BBF"/>
    <w:rsid w:val="48BB76E5"/>
    <w:rsid w:val="48C07DF0"/>
    <w:rsid w:val="48C52312"/>
    <w:rsid w:val="48C77E38"/>
    <w:rsid w:val="48CE7F6F"/>
    <w:rsid w:val="48E859AC"/>
    <w:rsid w:val="48FA020D"/>
    <w:rsid w:val="49366D6C"/>
    <w:rsid w:val="494744EE"/>
    <w:rsid w:val="49507E2D"/>
    <w:rsid w:val="496B110B"/>
    <w:rsid w:val="49706721"/>
    <w:rsid w:val="497F6965"/>
    <w:rsid w:val="49A87C69"/>
    <w:rsid w:val="49B26D3A"/>
    <w:rsid w:val="49DC7715"/>
    <w:rsid w:val="49F11610"/>
    <w:rsid w:val="4A023139"/>
    <w:rsid w:val="4A143551"/>
    <w:rsid w:val="4A471230"/>
    <w:rsid w:val="4A6249DF"/>
    <w:rsid w:val="4A7B576F"/>
    <w:rsid w:val="4A7E6C1C"/>
    <w:rsid w:val="4A8E6E5F"/>
    <w:rsid w:val="4AA5064D"/>
    <w:rsid w:val="4AB32D6A"/>
    <w:rsid w:val="4ADD7487"/>
    <w:rsid w:val="4AE72A13"/>
    <w:rsid w:val="4AEE2C2E"/>
    <w:rsid w:val="4AF561A9"/>
    <w:rsid w:val="4AFB026D"/>
    <w:rsid w:val="4B0233A9"/>
    <w:rsid w:val="4B524331"/>
    <w:rsid w:val="4B58746D"/>
    <w:rsid w:val="4B6B0F4E"/>
    <w:rsid w:val="4B6E5348"/>
    <w:rsid w:val="4B723B0B"/>
    <w:rsid w:val="4B92297F"/>
    <w:rsid w:val="4BA17066"/>
    <w:rsid w:val="4BA3693A"/>
    <w:rsid w:val="4BAD5A0B"/>
    <w:rsid w:val="4BB46D99"/>
    <w:rsid w:val="4BB66FC9"/>
    <w:rsid w:val="4BD50ABE"/>
    <w:rsid w:val="4BF54CBC"/>
    <w:rsid w:val="4BFA0524"/>
    <w:rsid w:val="4C06511B"/>
    <w:rsid w:val="4C196BFC"/>
    <w:rsid w:val="4C373527"/>
    <w:rsid w:val="4C3B4DC5"/>
    <w:rsid w:val="4C3C2798"/>
    <w:rsid w:val="4C3C28EB"/>
    <w:rsid w:val="4C4A0649"/>
    <w:rsid w:val="4C7E5ECA"/>
    <w:rsid w:val="4C876AA5"/>
    <w:rsid w:val="4C983FC5"/>
    <w:rsid w:val="4CC732A1"/>
    <w:rsid w:val="4CD86AB8"/>
    <w:rsid w:val="4CF136D5"/>
    <w:rsid w:val="4CFD651E"/>
    <w:rsid w:val="4D07114B"/>
    <w:rsid w:val="4D0A4797"/>
    <w:rsid w:val="4D0E00FB"/>
    <w:rsid w:val="4D111FCA"/>
    <w:rsid w:val="4D176606"/>
    <w:rsid w:val="4D284451"/>
    <w:rsid w:val="4D2C295F"/>
    <w:rsid w:val="4D956757"/>
    <w:rsid w:val="4DC514BE"/>
    <w:rsid w:val="4DEC4FB0"/>
    <w:rsid w:val="4E075D8A"/>
    <w:rsid w:val="4E1A2F98"/>
    <w:rsid w:val="4E233D62"/>
    <w:rsid w:val="4E39604B"/>
    <w:rsid w:val="4E5B79A0"/>
    <w:rsid w:val="4E6C395B"/>
    <w:rsid w:val="4E760336"/>
    <w:rsid w:val="4E9407BC"/>
    <w:rsid w:val="4EA824BA"/>
    <w:rsid w:val="4EAC1FAA"/>
    <w:rsid w:val="4EB15812"/>
    <w:rsid w:val="4EC00FAD"/>
    <w:rsid w:val="4EC372F3"/>
    <w:rsid w:val="4EF21478"/>
    <w:rsid w:val="4F035942"/>
    <w:rsid w:val="4F082F58"/>
    <w:rsid w:val="4F18763F"/>
    <w:rsid w:val="4F624D5E"/>
    <w:rsid w:val="4F714FA1"/>
    <w:rsid w:val="4F822D0B"/>
    <w:rsid w:val="4F832A85"/>
    <w:rsid w:val="4F9843DC"/>
    <w:rsid w:val="4FBC32F2"/>
    <w:rsid w:val="4FBC621D"/>
    <w:rsid w:val="4FBF3BFB"/>
    <w:rsid w:val="4FC62A8C"/>
    <w:rsid w:val="4FD25A40"/>
    <w:rsid w:val="4FE20F0D"/>
    <w:rsid w:val="4FE51552"/>
    <w:rsid w:val="4FF82FCD"/>
    <w:rsid w:val="4FFE6835"/>
    <w:rsid w:val="4FFEFA8A"/>
    <w:rsid w:val="50137E07"/>
    <w:rsid w:val="50212524"/>
    <w:rsid w:val="504005BA"/>
    <w:rsid w:val="50504C4B"/>
    <w:rsid w:val="5055041F"/>
    <w:rsid w:val="50715259"/>
    <w:rsid w:val="50720FD1"/>
    <w:rsid w:val="50770396"/>
    <w:rsid w:val="509258EF"/>
    <w:rsid w:val="50940F47"/>
    <w:rsid w:val="509C6E7C"/>
    <w:rsid w:val="50B92933"/>
    <w:rsid w:val="50CD6207"/>
    <w:rsid w:val="50EC68A2"/>
    <w:rsid w:val="50EE68AA"/>
    <w:rsid w:val="512F0C70"/>
    <w:rsid w:val="5162104E"/>
    <w:rsid w:val="516A7EFA"/>
    <w:rsid w:val="516E3547"/>
    <w:rsid w:val="51975CCA"/>
    <w:rsid w:val="51976F41"/>
    <w:rsid w:val="51AE6039"/>
    <w:rsid w:val="51CB2747"/>
    <w:rsid w:val="51D05CE2"/>
    <w:rsid w:val="51DA5080"/>
    <w:rsid w:val="51DB6702"/>
    <w:rsid w:val="5201085F"/>
    <w:rsid w:val="520774F7"/>
    <w:rsid w:val="5215352B"/>
    <w:rsid w:val="521A1920"/>
    <w:rsid w:val="521B09C9"/>
    <w:rsid w:val="52214A5D"/>
    <w:rsid w:val="52287B99"/>
    <w:rsid w:val="52524C16"/>
    <w:rsid w:val="52546BE0"/>
    <w:rsid w:val="525F5585"/>
    <w:rsid w:val="52770B21"/>
    <w:rsid w:val="52A31916"/>
    <w:rsid w:val="52C673B2"/>
    <w:rsid w:val="52CD6993"/>
    <w:rsid w:val="52EB20EC"/>
    <w:rsid w:val="52EF4B5B"/>
    <w:rsid w:val="52F75FE8"/>
    <w:rsid w:val="531B76FE"/>
    <w:rsid w:val="53310CD0"/>
    <w:rsid w:val="53394028"/>
    <w:rsid w:val="53852DC9"/>
    <w:rsid w:val="539574B0"/>
    <w:rsid w:val="53A039CC"/>
    <w:rsid w:val="53A1505A"/>
    <w:rsid w:val="53C51418"/>
    <w:rsid w:val="53D03AFA"/>
    <w:rsid w:val="53DF1EDA"/>
    <w:rsid w:val="53EB70D0"/>
    <w:rsid w:val="53EE4E13"/>
    <w:rsid w:val="54063E08"/>
    <w:rsid w:val="54170BF5"/>
    <w:rsid w:val="54177EC5"/>
    <w:rsid w:val="54181E8F"/>
    <w:rsid w:val="541D7048"/>
    <w:rsid w:val="54273E81"/>
    <w:rsid w:val="543437E8"/>
    <w:rsid w:val="5439182F"/>
    <w:rsid w:val="54705828"/>
    <w:rsid w:val="5483122D"/>
    <w:rsid w:val="549A28A4"/>
    <w:rsid w:val="54BC6CBF"/>
    <w:rsid w:val="54C94F38"/>
    <w:rsid w:val="54E51C7A"/>
    <w:rsid w:val="54E56216"/>
    <w:rsid w:val="54F73313"/>
    <w:rsid w:val="54F80955"/>
    <w:rsid w:val="55055F70"/>
    <w:rsid w:val="55142657"/>
    <w:rsid w:val="55260266"/>
    <w:rsid w:val="554C0043"/>
    <w:rsid w:val="555170A7"/>
    <w:rsid w:val="556829A3"/>
    <w:rsid w:val="557C1FAA"/>
    <w:rsid w:val="5587536D"/>
    <w:rsid w:val="55990DAE"/>
    <w:rsid w:val="559B174B"/>
    <w:rsid w:val="55A51501"/>
    <w:rsid w:val="55AD03B6"/>
    <w:rsid w:val="55B31E70"/>
    <w:rsid w:val="55CE0CF4"/>
    <w:rsid w:val="55EC7130"/>
    <w:rsid w:val="55FD758F"/>
    <w:rsid w:val="5604091D"/>
    <w:rsid w:val="56095F34"/>
    <w:rsid w:val="56097CE2"/>
    <w:rsid w:val="562E14F6"/>
    <w:rsid w:val="563D3E2F"/>
    <w:rsid w:val="5647080A"/>
    <w:rsid w:val="56574EF1"/>
    <w:rsid w:val="566B44F9"/>
    <w:rsid w:val="56764C4B"/>
    <w:rsid w:val="5684380C"/>
    <w:rsid w:val="569752EE"/>
    <w:rsid w:val="56A93273"/>
    <w:rsid w:val="56B22A9C"/>
    <w:rsid w:val="56F24C1A"/>
    <w:rsid w:val="57014E5D"/>
    <w:rsid w:val="5727770D"/>
    <w:rsid w:val="573526C5"/>
    <w:rsid w:val="5736455D"/>
    <w:rsid w:val="57437223"/>
    <w:rsid w:val="576B22D6"/>
    <w:rsid w:val="576C677A"/>
    <w:rsid w:val="57802226"/>
    <w:rsid w:val="578B5DFF"/>
    <w:rsid w:val="57B43C7D"/>
    <w:rsid w:val="57B72A76"/>
    <w:rsid w:val="57BE3FDC"/>
    <w:rsid w:val="57C3426C"/>
    <w:rsid w:val="57CE1F93"/>
    <w:rsid w:val="57D460CD"/>
    <w:rsid w:val="57F624E8"/>
    <w:rsid w:val="58201313"/>
    <w:rsid w:val="58326520"/>
    <w:rsid w:val="584072D1"/>
    <w:rsid w:val="588743D1"/>
    <w:rsid w:val="5887701A"/>
    <w:rsid w:val="58D81BED"/>
    <w:rsid w:val="58DC348C"/>
    <w:rsid w:val="58F307D5"/>
    <w:rsid w:val="58FA6008"/>
    <w:rsid w:val="58FC1D80"/>
    <w:rsid w:val="59007BBF"/>
    <w:rsid w:val="59142C25"/>
    <w:rsid w:val="59407EBE"/>
    <w:rsid w:val="59464DA9"/>
    <w:rsid w:val="594D6137"/>
    <w:rsid w:val="595C70E1"/>
    <w:rsid w:val="5976568E"/>
    <w:rsid w:val="598853C1"/>
    <w:rsid w:val="59941FB8"/>
    <w:rsid w:val="59983B55"/>
    <w:rsid w:val="59C0439F"/>
    <w:rsid w:val="59C452B0"/>
    <w:rsid w:val="59D6612D"/>
    <w:rsid w:val="59FE7432"/>
    <w:rsid w:val="5A0B1B20"/>
    <w:rsid w:val="5A1133D1"/>
    <w:rsid w:val="5A160C1F"/>
    <w:rsid w:val="5A2E5F69"/>
    <w:rsid w:val="5A30157B"/>
    <w:rsid w:val="5A355549"/>
    <w:rsid w:val="5A4412E8"/>
    <w:rsid w:val="5A526B69"/>
    <w:rsid w:val="5A592C08"/>
    <w:rsid w:val="5A785436"/>
    <w:rsid w:val="5A845B89"/>
    <w:rsid w:val="5A9C43CA"/>
    <w:rsid w:val="5A9C7376"/>
    <w:rsid w:val="5AA1498D"/>
    <w:rsid w:val="5AAF7824"/>
    <w:rsid w:val="5ABE2233"/>
    <w:rsid w:val="5AC73CC7"/>
    <w:rsid w:val="5ADF54B5"/>
    <w:rsid w:val="5AE26D53"/>
    <w:rsid w:val="5AEB3E5A"/>
    <w:rsid w:val="5AF97BD8"/>
    <w:rsid w:val="5B61236E"/>
    <w:rsid w:val="5B7200D7"/>
    <w:rsid w:val="5B845B96"/>
    <w:rsid w:val="5B9B13DC"/>
    <w:rsid w:val="5B9C1082"/>
    <w:rsid w:val="5BA81D4B"/>
    <w:rsid w:val="5BB64468"/>
    <w:rsid w:val="5BB95D06"/>
    <w:rsid w:val="5BC30933"/>
    <w:rsid w:val="5BC8419B"/>
    <w:rsid w:val="5BD14DFE"/>
    <w:rsid w:val="5BDF5D95"/>
    <w:rsid w:val="5BEA4111"/>
    <w:rsid w:val="5BEC1C38"/>
    <w:rsid w:val="5BF84A80"/>
    <w:rsid w:val="5BFE7528"/>
    <w:rsid w:val="5C0D1BAE"/>
    <w:rsid w:val="5C135114"/>
    <w:rsid w:val="5C15255B"/>
    <w:rsid w:val="5C3655A9"/>
    <w:rsid w:val="5C4A2E02"/>
    <w:rsid w:val="5C4B1054"/>
    <w:rsid w:val="5C5477DD"/>
    <w:rsid w:val="5C8A1451"/>
    <w:rsid w:val="5C94303A"/>
    <w:rsid w:val="5C966047"/>
    <w:rsid w:val="5C9A1694"/>
    <w:rsid w:val="5C9B365E"/>
    <w:rsid w:val="5CA60B47"/>
    <w:rsid w:val="5D431D2B"/>
    <w:rsid w:val="5D494E68"/>
    <w:rsid w:val="5D727C6F"/>
    <w:rsid w:val="5D7625FC"/>
    <w:rsid w:val="5D7F6CB3"/>
    <w:rsid w:val="5D8E02F3"/>
    <w:rsid w:val="5DA0717E"/>
    <w:rsid w:val="5DB42C29"/>
    <w:rsid w:val="5DC80482"/>
    <w:rsid w:val="5DD40BD5"/>
    <w:rsid w:val="5DEA664B"/>
    <w:rsid w:val="5E203E1A"/>
    <w:rsid w:val="5E2467F1"/>
    <w:rsid w:val="5E2A2EEB"/>
    <w:rsid w:val="5E437B09"/>
    <w:rsid w:val="5E4C2E61"/>
    <w:rsid w:val="5E744166"/>
    <w:rsid w:val="5EAE7678"/>
    <w:rsid w:val="5EC21376"/>
    <w:rsid w:val="5EDA221B"/>
    <w:rsid w:val="5EE4753E"/>
    <w:rsid w:val="5EFF3E18"/>
    <w:rsid w:val="5F0779CF"/>
    <w:rsid w:val="5F0B0627"/>
    <w:rsid w:val="5F0B14B3"/>
    <w:rsid w:val="5F0E45BB"/>
    <w:rsid w:val="5F1A2B43"/>
    <w:rsid w:val="5F1C2834"/>
    <w:rsid w:val="5F212746"/>
    <w:rsid w:val="5F3538F6"/>
    <w:rsid w:val="5F3F6522"/>
    <w:rsid w:val="5F4E2C09"/>
    <w:rsid w:val="5F944AC0"/>
    <w:rsid w:val="5FAD7930"/>
    <w:rsid w:val="5FB837BB"/>
    <w:rsid w:val="601C4AB5"/>
    <w:rsid w:val="6042451C"/>
    <w:rsid w:val="605B738C"/>
    <w:rsid w:val="60695F4D"/>
    <w:rsid w:val="606A5821"/>
    <w:rsid w:val="60940AF0"/>
    <w:rsid w:val="60AA0313"/>
    <w:rsid w:val="60BB42CE"/>
    <w:rsid w:val="60CC405A"/>
    <w:rsid w:val="610572F8"/>
    <w:rsid w:val="61202B5C"/>
    <w:rsid w:val="61690F22"/>
    <w:rsid w:val="61761FA3"/>
    <w:rsid w:val="617A7DBE"/>
    <w:rsid w:val="61826B9A"/>
    <w:rsid w:val="619C7C5C"/>
    <w:rsid w:val="619D5782"/>
    <w:rsid w:val="61BF1B9C"/>
    <w:rsid w:val="61E13E9E"/>
    <w:rsid w:val="61E215D8"/>
    <w:rsid w:val="61F730E4"/>
    <w:rsid w:val="620C3034"/>
    <w:rsid w:val="62165C60"/>
    <w:rsid w:val="621B3775"/>
    <w:rsid w:val="62364782"/>
    <w:rsid w:val="62431E82"/>
    <w:rsid w:val="62465E1A"/>
    <w:rsid w:val="628C743F"/>
    <w:rsid w:val="62A0552A"/>
    <w:rsid w:val="62BF645C"/>
    <w:rsid w:val="62F6339C"/>
    <w:rsid w:val="630525E6"/>
    <w:rsid w:val="630F1BC8"/>
    <w:rsid w:val="631A352E"/>
    <w:rsid w:val="632B531F"/>
    <w:rsid w:val="63351852"/>
    <w:rsid w:val="634E31D8"/>
    <w:rsid w:val="635F7193"/>
    <w:rsid w:val="63612F0B"/>
    <w:rsid w:val="636763A1"/>
    <w:rsid w:val="637D3ABD"/>
    <w:rsid w:val="637F5A87"/>
    <w:rsid w:val="6383333E"/>
    <w:rsid w:val="6394356A"/>
    <w:rsid w:val="63B70D7D"/>
    <w:rsid w:val="63C61B2C"/>
    <w:rsid w:val="63D40BE9"/>
    <w:rsid w:val="63DA4A6C"/>
    <w:rsid w:val="6408782B"/>
    <w:rsid w:val="64102431"/>
    <w:rsid w:val="643A375C"/>
    <w:rsid w:val="64504D2E"/>
    <w:rsid w:val="64530E73"/>
    <w:rsid w:val="64552344"/>
    <w:rsid w:val="645C7B76"/>
    <w:rsid w:val="645E05E6"/>
    <w:rsid w:val="646D1D84"/>
    <w:rsid w:val="648C045C"/>
    <w:rsid w:val="649A4693"/>
    <w:rsid w:val="64A5243A"/>
    <w:rsid w:val="64B725ED"/>
    <w:rsid w:val="64C14493"/>
    <w:rsid w:val="64D94A7B"/>
    <w:rsid w:val="64E57B6C"/>
    <w:rsid w:val="64F531DE"/>
    <w:rsid w:val="652C579B"/>
    <w:rsid w:val="65373578"/>
    <w:rsid w:val="658253BB"/>
    <w:rsid w:val="658C7FE7"/>
    <w:rsid w:val="65CD5493"/>
    <w:rsid w:val="65D200F0"/>
    <w:rsid w:val="65D33E68"/>
    <w:rsid w:val="65D73958"/>
    <w:rsid w:val="65D8147F"/>
    <w:rsid w:val="65DA6FA5"/>
    <w:rsid w:val="65E9368C"/>
    <w:rsid w:val="660758C0"/>
    <w:rsid w:val="661A3845"/>
    <w:rsid w:val="661A55F3"/>
    <w:rsid w:val="66235227"/>
    <w:rsid w:val="664D3C1B"/>
    <w:rsid w:val="66540B05"/>
    <w:rsid w:val="66562653"/>
    <w:rsid w:val="667411A7"/>
    <w:rsid w:val="668313EA"/>
    <w:rsid w:val="66864C29"/>
    <w:rsid w:val="66903B07"/>
    <w:rsid w:val="66AA4BC9"/>
    <w:rsid w:val="66B83C0F"/>
    <w:rsid w:val="66BB0B84"/>
    <w:rsid w:val="66C33EDD"/>
    <w:rsid w:val="66F064F9"/>
    <w:rsid w:val="67050051"/>
    <w:rsid w:val="670818F0"/>
    <w:rsid w:val="670A38BA"/>
    <w:rsid w:val="671F124A"/>
    <w:rsid w:val="67435B1C"/>
    <w:rsid w:val="677A33C6"/>
    <w:rsid w:val="678673E4"/>
    <w:rsid w:val="678C42CF"/>
    <w:rsid w:val="67987117"/>
    <w:rsid w:val="679C6D2B"/>
    <w:rsid w:val="67AA29A7"/>
    <w:rsid w:val="67B83316"/>
    <w:rsid w:val="67BD092C"/>
    <w:rsid w:val="67EA3749"/>
    <w:rsid w:val="680D18B3"/>
    <w:rsid w:val="681744E0"/>
    <w:rsid w:val="681A3FD0"/>
    <w:rsid w:val="681F15E7"/>
    <w:rsid w:val="681F6961"/>
    <w:rsid w:val="682B7F8C"/>
    <w:rsid w:val="682D7860"/>
    <w:rsid w:val="68555008"/>
    <w:rsid w:val="685E210F"/>
    <w:rsid w:val="68610A2F"/>
    <w:rsid w:val="68805514"/>
    <w:rsid w:val="688431F8"/>
    <w:rsid w:val="6885769C"/>
    <w:rsid w:val="688A4CB2"/>
    <w:rsid w:val="688C3DCF"/>
    <w:rsid w:val="689E09AE"/>
    <w:rsid w:val="68D979E8"/>
    <w:rsid w:val="68EA552F"/>
    <w:rsid w:val="68F465CF"/>
    <w:rsid w:val="68FA2807"/>
    <w:rsid w:val="68FA3C57"/>
    <w:rsid w:val="68FB795E"/>
    <w:rsid w:val="690C7AF0"/>
    <w:rsid w:val="691722BE"/>
    <w:rsid w:val="69316E2F"/>
    <w:rsid w:val="694E2071"/>
    <w:rsid w:val="69540E1C"/>
    <w:rsid w:val="69766163"/>
    <w:rsid w:val="697A3B33"/>
    <w:rsid w:val="699833FF"/>
    <w:rsid w:val="699B4C9D"/>
    <w:rsid w:val="699D6C67"/>
    <w:rsid w:val="69A04061"/>
    <w:rsid w:val="69B77069"/>
    <w:rsid w:val="69D44760"/>
    <w:rsid w:val="69DD7064"/>
    <w:rsid w:val="69DF2DDC"/>
    <w:rsid w:val="69F34AD9"/>
    <w:rsid w:val="69F60125"/>
    <w:rsid w:val="69FA5E67"/>
    <w:rsid w:val="6A0665BA"/>
    <w:rsid w:val="6A187687"/>
    <w:rsid w:val="6A2151A2"/>
    <w:rsid w:val="6A3550F2"/>
    <w:rsid w:val="6A4E61B3"/>
    <w:rsid w:val="6A5136DA"/>
    <w:rsid w:val="6A517F13"/>
    <w:rsid w:val="6A520EC7"/>
    <w:rsid w:val="6AE83F12"/>
    <w:rsid w:val="6AF87E20"/>
    <w:rsid w:val="6B256F14"/>
    <w:rsid w:val="6B322639"/>
    <w:rsid w:val="6B43739A"/>
    <w:rsid w:val="6B531AA5"/>
    <w:rsid w:val="6B56531F"/>
    <w:rsid w:val="6B6537B4"/>
    <w:rsid w:val="6B9D6AAA"/>
    <w:rsid w:val="6BB34520"/>
    <w:rsid w:val="6BC84E74"/>
    <w:rsid w:val="6BC93D43"/>
    <w:rsid w:val="6BF65E6C"/>
    <w:rsid w:val="6C1825D5"/>
    <w:rsid w:val="6C1A00FB"/>
    <w:rsid w:val="6C255DD6"/>
    <w:rsid w:val="6C350B25"/>
    <w:rsid w:val="6C636C38"/>
    <w:rsid w:val="6C895281"/>
    <w:rsid w:val="6CB0280D"/>
    <w:rsid w:val="6CBC11B2"/>
    <w:rsid w:val="6CC12C6C"/>
    <w:rsid w:val="6CC77B27"/>
    <w:rsid w:val="6CEB1A97"/>
    <w:rsid w:val="6CEF77DA"/>
    <w:rsid w:val="6D1D6342"/>
    <w:rsid w:val="6D231231"/>
    <w:rsid w:val="6D521B17"/>
    <w:rsid w:val="6D57712D"/>
    <w:rsid w:val="6D5E670D"/>
    <w:rsid w:val="6D8617C0"/>
    <w:rsid w:val="6D906132"/>
    <w:rsid w:val="6D991835"/>
    <w:rsid w:val="6DA22A9E"/>
    <w:rsid w:val="6DB34098"/>
    <w:rsid w:val="6DB4632D"/>
    <w:rsid w:val="6DB545B6"/>
    <w:rsid w:val="6DC01176"/>
    <w:rsid w:val="6DE02FB4"/>
    <w:rsid w:val="6DEE5CE3"/>
    <w:rsid w:val="6E032E11"/>
    <w:rsid w:val="6E153270"/>
    <w:rsid w:val="6E380D0C"/>
    <w:rsid w:val="6E4C5EA0"/>
    <w:rsid w:val="6E514CED"/>
    <w:rsid w:val="6E5D0773"/>
    <w:rsid w:val="6E602011"/>
    <w:rsid w:val="6E761D86"/>
    <w:rsid w:val="6E9E14B7"/>
    <w:rsid w:val="6EA75E92"/>
    <w:rsid w:val="6EB563D5"/>
    <w:rsid w:val="6EBA7973"/>
    <w:rsid w:val="6ED92677"/>
    <w:rsid w:val="6EDD3662"/>
    <w:rsid w:val="6F225983"/>
    <w:rsid w:val="6F25259C"/>
    <w:rsid w:val="6FB24AEE"/>
    <w:rsid w:val="6FC84312"/>
    <w:rsid w:val="6FCE7B7A"/>
    <w:rsid w:val="6FD607DD"/>
    <w:rsid w:val="6FE56C72"/>
    <w:rsid w:val="6FF60E7F"/>
    <w:rsid w:val="6FFC5590"/>
    <w:rsid w:val="6FFE7D34"/>
    <w:rsid w:val="70340F42"/>
    <w:rsid w:val="703740C7"/>
    <w:rsid w:val="70403846"/>
    <w:rsid w:val="70585696"/>
    <w:rsid w:val="70673B2B"/>
    <w:rsid w:val="706D1DD0"/>
    <w:rsid w:val="70856B87"/>
    <w:rsid w:val="70B56644"/>
    <w:rsid w:val="70B825D8"/>
    <w:rsid w:val="70C42D2B"/>
    <w:rsid w:val="70C44AD9"/>
    <w:rsid w:val="70C96594"/>
    <w:rsid w:val="70CC6459"/>
    <w:rsid w:val="70D527EE"/>
    <w:rsid w:val="70D6480D"/>
    <w:rsid w:val="70E76A1A"/>
    <w:rsid w:val="70F23893"/>
    <w:rsid w:val="70F32C42"/>
    <w:rsid w:val="71014822"/>
    <w:rsid w:val="71257C6E"/>
    <w:rsid w:val="71357785"/>
    <w:rsid w:val="713954C7"/>
    <w:rsid w:val="7141612A"/>
    <w:rsid w:val="71557E27"/>
    <w:rsid w:val="715B5300"/>
    <w:rsid w:val="717209D9"/>
    <w:rsid w:val="719646C8"/>
    <w:rsid w:val="719B1CDE"/>
    <w:rsid w:val="719D7F7B"/>
    <w:rsid w:val="71A62431"/>
    <w:rsid w:val="71AB5C99"/>
    <w:rsid w:val="71D21478"/>
    <w:rsid w:val="71D27F8A"/>
    <w:rsid w:val="71D60F68"/>
    <w:rsid w:val="720B3C40"/>
    <w:rsid w:val="720F447A"/>
    <w:rsid w:val="72127AC6"/>
    <w:rsid w:val="721A3284"/>
    <w:rsid w:val="724A3704"/>
    <w:rsid w:val="72553024"/>
    <w:rsid w:val="725DD250"/>
    <w:rsid w:val="726A16B0"/>
    <w:rsid w:val="72914E8F"/>
    <w:rsid w:val="72930C07"/>
    <w:rsid w:val="72A252EE"/>
    <w:rsid w:val="72D51220"/>
    <w:rsid w:val="72D57472"/>
    <w:rsid w:val="72E43211"/>
    <w:rsid w:val="72F25C13"/>
    <w:rsid w:val="730B4C41"/>
    <w:rsid w:val="73122968"/>
    <w:rsid w:val="731F5D5E"/>
    <w:rsid w:val="73396EC9"/>
    <w:rsid w:val="734343DB"/>
    <w:rsid w:val="735008A6"/>
    <w:rsid w:val="735C36EF"/>
    <w:rsid w:val="736305DA"/>
    <w:rsid w:val="737A5923"/>
    <w:rsid w:val="73836ECE"/>
    <w:rsid w:val="73A963E0"/>
    <w:rsid w:val="73B07597"/>
    <w:rsid w:val="73B726D3"/>
    <w:rsid w:val="73C51AD5"/>
    <w:rsid w:val="73D43285"/>
    <w:rsid w:val="73E21E46"/>
    <w:rsid w:val="73F46447"/>
    <w:rsid w:val="740E7979"/>
    <w:rsid w:val="741E793C"/>
    <w:rsid w:val="7420471D"/>
    <w:rsid w:val="742E508B"/>
    <w:rsid w:val="743B1556"/>
    <w:rsid w:val="744A75ED"/>
    <w:rsid w:val="744F5002"/>
    <w:rsid w:val="74597C2E"/>
    <w:rsid w:val="745E3944"/>
    <w:rsid w:val="74603B0B"/>
    <w:rsid w:val="746C37F4"/>
    <w:rsid w:val="749D7B1B"/>
    <w:rsid w:val="749F7D37"/>
    <w:rsid w:val="74DA1257"/>
    <w:rsid w:val="74DB6895"/>
    <w:rsid w:val="74E27C24"/>
    <w:rsid w:val="74F811F5"/>
    <w:rsid w:val="75093403"/>
    <w:rsid w:val="752124FA"/>
    <w:rsid w:val="75271ADB"/>
    <w:rsid w:val="75596138"/>
    <w:rsid w:val="75664928"/>
    <w:rsid w:val="75742F72"/>
    <w:rsid w:val="75AA20D6"/>
    <w:rsid w:val="75BC0475"/>
    <w:rsid w:val="75C612F4"/>
    <w:rsid w:val="762878B8"/>
    <w:rsid w:val="7635099D"/>
    <w:rsid w:val="76373F9F"/>
    <w:rsid w:val="764A3CD3"/>
    <w:rsid w:val="764F753B"/>
    <w:rsid w:val="7675281E"/>
    <w:rsid w:val="768E1E11"/>
    <w:rsid w:val="769767EC"/>
    <w:rsid w:val="76AC5024"/>
    <w:rsid w:val="76D31F1A"/>
    <w:rsid w:val="76FB2C9C"/>
    <w:rsid w:val="770B3462"/>
    <w:rsid w:val="773D55E5"/>
    <w:rsid w:val="77505319"/>
    <w:rsid w:val="77664B3C"/>
    <w:rsid w:val="77762421"/>
    <w:rsid w:val="778D20C9"/>
    <w:rsid w:val="7791148D"/>
    <w:rsid w:val="77A92C78"/>
    <w:rsid w:val="77B56B1F"/>
    <w:rsid w:val="77ED2B68"/>
    <w:rsid w:val="78063C29"/>
    <w:rsid w:val="780F09F4"/>
    <w:rsid w:val="780F6F82"/>
    <w:rsid w:val="783A38D3"/>
    <w:rsid w:val="783C3AEF"/>
    <w:rsid w:val="783E33C3"/>
    <w:rsid w:val="78434E7D"/>
    <w:rsid w:val="784F737E"/>
    <w:rsid w:val="78685802"/>
    <w:rsid w:val="786A240A"/>
    <w:rsid w:val="78715547"/>
    <w:rsid w:val="787768D5"/>
    <w:rsid w:val="78894DC3"/>
    <w:rsid w:val="789C633C"/>
    <w:rsid w:val="78A90480"/>
    <w:rsid w:val="78AC657F"/>
    <w:rsid w:val="78CF6711"/>
    <w:rsid w:val="78E421BD"/>
    <w:rsid w:val="79334EF2"/>
    <w:rsid w:val="793842B6"/>
    <w:rsid w:val="79386064"/>
    <w:rsid w:val="793A2BF2"/>
    <w:rsid w:val="794B223C"/>
    <w:rsid w:val="79515378"/>
    <w:rsid w:val="796C5D0E"/>
    <w:rsid w:val="79773031"/>
    <w:rsid w:val="797D7F1B"/>
    <w:rsid w:val="798474FC"/>
    <w:rsid w:val="798968C0"/>
    <w:rsid w:val="799A287B"/>
    <w:rsid w:val="799E7C54"/>
    <w:rsid w:val="79BA4CCB"/>
    <w:rsid w:val="79BF6786"/>
    <w:rsid w:val="79D12015"/>
    <w:rsid w:val="79DA711C"/>
    <w:rsid w:val="7A364017"/>
    <w:rsid w:val="7A462A03"/>
    <w:rsid w:val="7A51479D"/>
    <w:rsid w:val="7A70182E"/>
    <w:rsid w:val="7A8265E1"/>
    <w:rsid w:val="7A85177D"/>
    <w:rsid w:val="7A995987"/>
    <w:rsid w:val="7AA754C8"/>
    <w:rsid w:val="7ACB4AF7"/>
    <w:rsid w:val="7AD24297"/>
    <w:rsid w:val="7ADE49EA"/>
    <w:rsid w:val="7AF67F85"/>
    <w:rsid w:val="7B1278CA"/>
    <w:rsid w:val="7B14665D"/>
    <w:rsid w:val="7B1546E3"/>
    <w:rsid w:val="7B161BF5"/>
    <w:rsid w:val="7B1D5512"/>
    <w:rsid w:val="7B292109"/>
    <w:rsid w:val="7B3311D9"/>
    <w:rsid w:val="7B45669A"/>
    <w:rsid w:val="7B51165F"/>
    <w:rsid w:val="7B5F1FCE"/>
    <w:rsid w:val="7B686D42"/>
    <w:rsid w:val="7B71585E"/>
    <w:rsid w:val="7B7D06A6"/>
    <w:rsid w:val="7B841746"/>
    <w:rsid w:val="7BB37C24"/>
    <w:rsid w:val="7BE2675B"/>
    <w:rsid w:val="7BF24BF0"/>
    <w:rsid w:val="7BF85F7F"/>
    <w:rsid w:val="7C016BE2"/>
    <w:rsid w:val="7C02295A"/>
    <w:rsid w:val="7C0466D2"/>
    <w:rsid w:val="7C0B1597"/>
    <w:rsid w:val="7C225B6F"/>
    <w:rsid w:val="7C63164A"/>
    <w:rsid w:val="7C6C5AC7"/>
    <w:rsid w:val="7C741AA9"/>
    <w:rsid w:val="7C7A4BE6"/>
    <w:rsid w:val="7C8F243F"/>
    <w:rsid w:val="7CAF2AE1"/>
    <w:rsid w:val="7CB21C1A"/>
    <w:rsid w:val="7CC6544B"/>
    <w:rsid w:val="7CD858BD"/>
    <w:rsid w:val="7CF14EA8"/>
    <w:rsid w:val="7D0239FF"/>
    <w:rsid w:val="7D0A7D18"/>
    <w:rsid w:val="7D11554A"/>
    <w:rsid w:val="7D5176F5"/>
    <w:rsid w:val="7D5E40CD"/>
    <w:rsid w:val="7D637428"/>
    <w:rsid w:val="7D731D61"/>
    <w:rsid w:val="7D7358BD"/>
    <w:rsid w:val="7D9D293A"/>
    <w:rsid w:val="7DB67EA0"/>
    <w:rsid w:val="7DC55EED"/>
    <w:rsid w:val="7DCD56F2"/>
    <w:rsid w:val="7DDD71DA"/>
    <w:rsid w:val="7DDF73F6"/>
    <w:rsid w:val="7DF84014"/>
    <w:rsid w:val="7DFA5FDE"/>
    <w:rsid w:val="7DFD787D"/>
    <w:rsid w:val="7E176B90"/>
    <w:rsid w:val="7E316845"/>
    <w:rsid w:val="7E447259"/>
    <w:rsid w:val="7E8D6E52"/>
    <w:rsid w:val="7EA61CC2"/>
    <w:rsid w:val="7EA877E8"/>
    <w:rsid w:val="7EB77A2B"/>
    <w:rsid w:val="7EE051D4"/>
    <w:rsid w:val="7EEF18BB"/>
    <w:rsid w:val="7EEF71C5"/>
    <w:rsid w:val="7F001CE7"/>
    <w:rsid w:val="7F1135E0"/>
    <w:rsid w:val="7F1B26B0"/>
    <w:rsid w:val="7F395940"/>
    <w:rsid w:val="7F6776A3"/>
    <w:rsid w:val="7F6D27E0"/>
    <w:rsid w:val="7F787DAC"/>
    <w:rsid w:val="7F995383"/>
    <w:rsid w:val="7FBF4F1B"/>
    <w:rsid w:val="7FE47E50"/>
    <w:rsid w:val="A8DAA4E7"/>
    <w:rsid w:val="AE3E000E"/>
    <w:rsid w:val="B9F9F2C9"/>
    <w:rsid w:val="DEAB4C09"/>
    <w:rsid w:val="DFFFE884"/>
    <w:rsid w:val="F82D2BFE"/>
    <w:rsid w:val="FFEC981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iPriority="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unhideWhenUsed="0" w:uiPriority="0" w:semiHidden="0" w:name="HTML Acronym" w:locked="1"/>
    <w:lsdException w:qFormat="1"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45"/>
    <w:autoRedefine/>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146"/>
    <w:autoRedefine/>
    <w:semiHidden/>
    <w:unhideWhenUsed/>
    <w:qFormat/>
    <w:locked/>
    <w:uiPriority w:val="0"/>
    <w:pPr>
      <w:keepNext/>
      <w:keepLines/>
      <w:spacing w:before="260" w:after="260" w:line="416" w:lineRule="auto"/>
      <w:outlineLvl w:val="2"/>
    </w:pPr>
    <w:rPr>
      <w:b/>
      <w:bCs/>
      <w:sz w:val="32"/>
      <w:szCs w:val="32"/>
    </w:rPr>
  </w:style>
  <w:style w:type="paragraph" w:styleId="6">
    <w:name w:val="heading 4"/>
    <w:basedOn w:val="1"/>
    <w:next w:val="1"/>
    <w:link w:val="132"/>
    <w:autoRedefine/>
    <w:semiHidden/>
    <w:unhideWhenUsed/>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147"/>
    <w:autoRedefine/>
    <w:semiHidden/>
    <w:unhideWhenUsed/>
    <w:qFormat/>
    <w:locked/>
    <w:uiPriority w:val="0"/>
    <w:pPr>
      <w:keepNext/>
      <w:keepLines/>
      <w:spacing w:before="280" w:after="290" w:line="376" w:lineRule="auto"/>
      <w:outlineLvl w:val="4"/>
    </w:pPr>
    <w:rPr>
      <w:b/>
      <w:bCs/>
      <w:sz w:val="28"/>
      <w:szCs w:val="28"/>
    </w:rPr>
  </w:style>
  <w:style w:type="paragraph" w:styleId="8">
    <w:name w:val="heading 6"/>
    <w:basedOn w:val="1"/>
    <w:next w:val="1"/>
    <w:link w:val="148"/>
    <w:autoRedefine/>
    <w:semiHidden/>
    <w:unhideWhenUsed/>
    <w:qFormat/>
    <w:locked/>
    <w:uiPriority w:val="0"/>
    <w:pPr>
      <w:keepNext/>
      <w:keepLines/>
      <w:spacing w:before="240" w:after="64" w:line="320" w:lineRule="auto"/>
      <w:outlineLvl w:val="5"/>
    </w:pPr>
    <w:rPr>
      <w:rFonts w:ascii="等线 Light" w:hAnsi="等线 Light" w:eastAsia="等线 Light"/>
      <w:b/>
      <w:bCs/>
      <w:sz w:val="24"/>
    </w:rPr>
  </w:style>
  <w:style w:type="paragraph" w:styleId="9">
    <w:name w:val="heading 7"/>
    <w:basedOn w:val="1"/>
    <w:next w:val="1"/>
    <w:link w:val="149"/>
    <w:autoRedefine/>
    <w:semiHidden/>
    <w:unhideWhenUsed/>
    <w:qFormat/>
    <w:locked/>
    <w:uiPriority w:val="0"/>
    <w:pPr>
      <w:keepNext/>
      <w:keepLines/>
      <w:spacing w:before="240" w:after="64" w:line="320" w:lineRule="auto"/>
      <w:outlineLvl w:val="6"/>
    </w:pPr>
    <w:rPr>
      <w:b/>
      <w:bCs/>
      <w:sz w:val="24"/>
    </w:rPr>
  </w:style>
  <w:style w:type="paragraph" w:styleId="10">
    <w:name w:val="heading 8"/>
    <w:basedOn w:val="1"/>
    <w:next w:val="1"/>
    <w:link w:val="150"/>
    <w:autoRedefine/>
    <w:semiHidden/>
    <w:unhideWhenUsed/>
    <w:qFormat/>
    <w:locked/>
    <w:uiPriority w:val="0"/>
    <w:pPr>
      <w:keepNext/>
      <w:keepLines/>
      <w:spacing w:before="240" w:after="64" w:line="320" w:lineRule="auto"/>
      <w:outlineLvl w:val="7"/>
    </w:pPr>
    <w:rPr>
      <w:rFonts w:ascii="等线 Light" w:hAnsi="等线 Light" w:eastAsia="等线 Light"/>
      <w:sz w:val="24"/>
    </w:rPr>
  </w:style>
  <w:style w:type="paragraph" w:styleId="11">
    <w:name w:val="heading 9"/>
    <w:basedOn w:val="1"/>
    <w:next w:val="1"/>
    <w:link w:val="151"/>
    <w:autoRedefine/>
    <w:semiHidden/>
    <w:unhideWhenUsed/>
    <w:qFormat/>
    <w:locked/>
    <w:uiPriority w:val="0"/>
    <w:pPr>
      <w:keepNext/>
      <w:keepLines/>
      <w:spacing w:before="240" w:after="64" w:line="320" w:lineRule="auto"/>
      <w:outlineLvl w:val="8"/>
    </w:pPr>
    <w:rPr>
      <w:rFonts w:ascii="等线 Light" w:hAnsi="等线 Light" w:eastAsia="等线 Light"/>
      <w:szCs w:val="21"/>
    </w:rPr>
  </w:style>
  <w:style w:type="character" w:default="1" w:styleId="9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56"/>
    <w:autoRedefine/>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qFormat/>
    <w:locked/>
    <w:uiPriority w:val="0"/>
    <w:pPr>
      <w:ind w:left="100" w:leftChars="400" w:hanging="200" w:hangingChars="200"/>
      <w:contextualSpacing/>
    </w:pPr>
  </w:style>
  <w:style w:type="paragraph" w:styleId="13">
    <w:name w:val="toc 7"/>
    <w:basedOn w:val="1"/>
    <w:next w:val="1"/>
    <w:autoRedefine/>
    <w:qFormat/>
    <w:locked/>
    <w:uiPriority w:val="0"/>
    <w:pPr>
      <w:ind w:left="2520" w:leftChars="1200"/>
    </w:pPr>
  </w:style>
  <w:style w:type="paragraph" w:styleId="14">
    <w:name w:val="List Number 2"/>
    <w:basedOn w:val="1"/>
    <w:autoRedefine/>
    <w:qFormat/>
    <w:locked/>
    <w:uiPriority w:val="0"/>
    <w:pPr>
      <w:numPr>
        <w:ilvl w:val="0"/>
        <w:numId w:val="1"/>
      </w:numPr>
      <w:contextualSpacing/>
    </w:pPr>
  </w:style>
  <w:style w:type="paragraph" w:styleId="15">
    <w:name w:val="table of authorities"/>
    <w:basedOn w:val="1"/>
    <w:next w:val="1"/>
    <w:autoRedefine/>
    <w:qFormat/>
    <w:locked/>
    <w:uiPriority w:val="0"/>
    <w:pPr>
      <w:ind w:left="420" w:leftChars="200"/>
    </w:pPr>
  </w:style>
  <w:style w:type="paragraph" w:styleId="16">
    <w:name w:val="Note Heading"/>
    <w:basedOn w:val="1"/>
    <w:next w:val="1"/>
    <w:link w:val="175"/>
    <w:autoRedefine/>
    <w:qFormat/>
    <w:locked/>
    <w:uiPriority w:val="0"/>
    <w:pPr>
      <w:jc w:val="center"/>
    </w:pPr>
  </w:style>
  <w:style w:type="paragraph" w:styleId="17">
    <w:name w:val="List Bullet 4"/>
    <w:basedOn w:val="1"/>
    <w:autoRedefine/>
    <w:qFormat/>
    <w:locked/>
    <w:uiPriority w:val="0"/>
    <w:pPr>
      <w:numPr>
        <w:ilvl w:val="0"/>
        <w:numId w:val="2"/>
      </w:numPr>
      <w:contextualSpacing/>
    </w:pPr>
  </w:style>
  <w:style w:type="paragraph" w:styleId="18">
    <w:name w:val="index 8"/>
    <w:basedOn w:val="1"/>
    <w:next w:val="1"/>
    <w:autoRedefine/>
    <w:qFormat/>
    <w:locked/>
    <w:uiPriority w:val="0"/>
    <w:pPr>
      <w:ind w:left="1400" w:leftChars="1400"/>
    </w:pPr>
  </w:style>
  <w:style w:type="paragraph" w:styleId="19">
    <w:name w:val="E-mail Signature"/>
    <w:basedOn w:val="1"/>
    <w:link w:val="154"/>
    <w:autoRedefine/>
    <w:qFormat/>
    <w:locked/>
    <w:uiPriority w:val="0"/>
  </w:style>
  <w:style w:type="paragraph" w:styleId="20">
    <w:name w:val="List Number"/>
    <w:basedOn w:val="1"/>
    <w:autoRedefine/>
    <w:qFormat/>
    <w:locked/>
    <w:uiPriority w:val="0"/>
    <w:pPr>
      <w:numPr>
        <w:ilvl w:val="0"/>
        <w:numId w:val="3"/>
      </w:numPr>
      <w:contextualSpacing/>
    </w:pPr>
  </w:style>
  <w:style w:type="paragraph" w:styleId="21">
    <w:name w:val="Normal Indent"/>
    <w:basedOn w:val="1"/>
    <w:next w:val="22"/>
    <w:link w:val="133"/>
    <w:autoRedefine/>
    <w:qFormat/>
    <w:locked/>
    <w:uiPriority w:val="0"/>
    <w:pPr>
      <w:ind w:firstLine="420" w:firstLineChars="200"/>
    </w:pPr>
  </w:style>
  <w:style w:type="paragraph" w:styleId="22">
    <w:name w:val="Body Text First Indent 2"/>
    <w:basedOn w:val="6"/>
    <w:next w:val="1"/>
    <w:link w:val="173"/>
    <w:autoRedefine/>
    <w:qFormat/>
    <w:locked/>
    <w:uiPriority w:val="0"/>
    <w:pPr>
      <w:ind w:firstLine="420" w:firstLineChars="200"/>
    </w:pPr>
    <w:rPr>
      <w:kern w:val="2"/>
      <w:sz w:val="21"/>
      <w:szCs w:val="24"/>
    </w:rPr>
  </w:style>
  <w:style w:type="paragraph" w:styleId="23">
    <w:name w:val="caption"/>
    <w:basedOn w:val="1"/>
    <w:next w:val="1"/>
    <w:autoRedefine/>
    <w:semiHidden/>
    <w:unhideWhenUsed/>
    <w:qFormat/>
    <w:locked/>
    <w:uiPriority w:val="0"/>
    <w:rPr>
      <w:rFonts w:ascii="等线 Light" w:hAnsi="等线 Light" w:eastAsia="黑体"/>
      <w:sz w:val="20"/>
      <w:szCs w:val="20"/>
    </w:rPr>
  </w:style>
  <w:style w:type="paragraph" w:styleId="24">
    <w:name w:val="index 5"/>
    <w:basedOn w:val="1"/>
    <w:next w:val="1"/>
    <w:autoRedefine/>
    <w:qFormat/>
    <w:locked/>
    <w:uiPriority w:val="0"/>
    <w:pPr>
      <w:ind w:left="800" w:leftChars="800"/>
    </w:pPr>
  </w:style>
  <w:style w:type="paragraph" w:styleId="25">
    <w:name w:val="List Bullet"/>
    <w:basedOn w:val="1"/>
    <w:autoRedefine/>
    <w:qFormat/>
    <w:locked/>
    <w:uiPriority w:val="0"/>
    <w:pPr>
      <w:numPr>
        <w:ilvl w:val="0"/>
        <w:numId w:val="4"/>
      </w:numPr>
      <w:contextualSpacing/>
    </w:pPr>
  </w:style>
  <w:style w:type="paragraph" w:styleId="26">
    <w:name w:val="envelope address"/>
    <w:basedOn w:val="1"/>
    <w:autoRedefine/>
    <w:qFormat/>
    <w:locked/>
    <w:uiPriority w:val="0"/>
    <w:pPr>
      <w:framePr w:w="7920" w:h="1980" w:hRule="exact" w:hSpace="180" w:wrap="auto" w:vAnchor="margin" w:hAnchor="page" w:xAlign="center" w:yAlign="bottom"/>
      <w:snapToGrid w:val="0"/>
      <w:ind w:left="100" w:leftChars="1400"/>
    </w:pPr>
    <w:rPr>
      <w:rFonts w:ascii="等线 Light" w:hAnsi="等线 Light" w:eastAsia="等线 Light"/>
      <w:sz w:val="24"/>
    </w:rPr>
  </w:style>
  <w:style w:type="paragraph" w:styleId="27">
    <w:name w:val="Document Map"/>
    <w:basedOn w:val="1"/>
    <w:link w:val="165"/>
    <w:autoRedefine/>
    <w:qFormat/>
    <w:locked/>
    <w:uiPriority w:val="0"/>
    <w:rPr>
      <w:rFonts w:ascii="Microsoft YaHei UI" w:eastAsia="Microsoft YaHei UI"/>
      <w:sz w:val="18"/>
      <w:szCs w:val="18"/>
    </w:rPr>
  </w:style>
  <w:style w:type="paragraph" w:styleId="28">
    <w:name w:val="toa heading"/>
    <w:basedOn w:val="1"/>
    <w:next w:val="1"/>
    <w:autoRedefine/>
    <w:qFormat/>
    <w:locked/>
    <w:uiPriority w:val="0"/>
    <w:pPr>
      <w:spacing w:before="120"/>
    </w:pPr>
    <w:rPr>
      <w:rFonts w:ascii="等线 Light" w:hAnsi="等线 Light"/>
      <w:sz w:val="24"/>
    </w:rPr>
  </w:style>
  <w:style w:type="paragraph" w:styleId="29">
    <w:name w:val="annotation text"/>
    <w:basedOn w:val="1"/>
    <w:link w:val="107"/>
    <w:autoRedefine/>
    <w:qFormat/>
    <w:uiPriority w:val="0"/>
    <w:pPr>
      <w:jc w:val="left"/>
    </w:pPr>
    <w:rPr>
      <w:kern w:val="0"/>
      <w:sz w:val="24"/>
      <w:szCs w:val="20"/>
    </w:rPr>
  </w:style>
  <w:style w:type="paragraph" w:styleId="30">
    <w:name w:val="index 6"/>
    <w:basedOn w:val="1"/>
    <w:next w:val="1"/>
    <w:autoRedefine/>
    <w:qFormat/>
    <w:locked/>
    <w:uiPriority w:val="0"/>
    <w:pPr>
      <w:ind w:left="1000" w:leftChars="1000"/>
    </w:pPr>
  </w:style>
  <w:style w:type="paragraph" w:styleId="31">
    <w:name w:val="Salutation"/>
    <w:basedOn w:val="1"/>
    <w:next w:val="1"/>
    <w:link w:val="152"/>
    <w:autoRedefine/>
    <w:qFormat/>
    <w:locked/>
    <w:uiPriority w:val="0"/>
  </w:style>
  <w:style w:type="paragraph" w:styleId="32">
    <w:name w:val="Body Text 3"/>
    <w:basedOn w:val="1"/>
    <w:link w:val="171"/>
    <w:autoRedefine/>
    <w:qFormat/>
    <w:locked/>
    <w:uiPriority w:val="0"/>
    <w:pPr>
      <w:spacing w:after="120"/>
    </w:pPr>
    <w:rPr>
      <w:sz w:val="16"/>
      <w:szCs w:val="16"/>
    </w:rPr>
  </w:style>
  <w:style w:type="paragraph" w:styleId="33">
    <w:name w:val="Closing"/>
    <w:basedOn w:val="1"/>
    <w:link w:val="158"/>
    <w:autoRedefine/>
    <w:qFormat/>
    <w:locked/>
    <w:uiPriority w:val="0"/>
    <w:pPr>
      <w:ind w:left="100" w:leftChars="2100"/>
    </w:pPr>
  </w:style>
  <w:style w:type="paragraph" w:styleId="34">
    <w:name w:val="List Bullet 3"/>
    <w:basedOn w:val="1"/>
    <w:autoRedefine/>
    <w:qFormat/>
    <w:locked/>
    <w:uiPriority w:val="0"/>
    <w:pPr>
      <w:numPr>
        <w:ilvl w:val="0"/>
        <w:numId w:val="5"/>
      </w:numPr>
      <w:contextualSpacing/>
    </w:pPr>
  </w:style>
  <w:style w:type="paragraph" w:styleId="35">
    <w:name w:val="Body Text"/>
    <w:basedOn w:val="1"/>
    <w:link w:val="106"/>
    <w:autoRedefine/>
    <w:qFormat/>
    <w:uiPriority w:val="0"/>
    <w:pPr>
      <w:widowControl/>
      <w:snapToGrid w:val="0"/>
      <w:spacing w:before="60" w:after="160" w:line="259" w:lineRule="auto"/>
      <w:ind w:right="113"/>
    </w:pPr>
    <w:rPr>
      <w:kern w:val="0"/>
      <w:sz w:val="18"/>
      <w:szCs w:val="20"/>
    </w:rPr>
  </w:style>
  <w:style w:type="paragraph" w:styleId="36">
    <w:name w:val="Body Text Indent"/>
    <w:basedOn w:val="1"/>
    <w:link w:val="115"/>
    <w:autoRedefine/>
    <w:qFormat/>
    <w:uiPriority w:val="0"/>
    <w:pPr>
      <w:spacing w:after="120"/>
      <w:ind w:left="420" w:leftChars="200"/>
    </w:pPr>
    <w:rPr>
      <w:kern w:val="0"/>
      <w:sz w:val="24"/>
      <w:szCs w:val="20"/>
    </w:rPr>
  </w:style>
  <w:style w:type="paragraph" w:styleId="37">
    <w:name w:val="List Number 3"/>
    <w:basedOn w:val="1"/>
    <w:autoRedefine/>
    <w:qFormat/>
    <w:locked/>
    <w:uiPriority w:val="0"/>
    <w:pPr>
      <w:numPr>
        <w:ilvl w:val="0"/>
        <w:numId w:val="6"/>
      </w:numPr>
      <w:contextualSpacing/>
    </w:pPr>
  </w:style>
  <w:style w:type="paragraph" w:styleId="38">
    <w:name w:val="List 2"/>
    <w:basedOn w:val="1"/>
    <w:autoRedefine/>
    <w:qFormat/>
    <w:locked/>
    <w:uiPriority w:val="0"/>
    <w:pPr>
      <w:ind w:left="100" w:leftChars="200" w:hanging="200" w:hangingChars="200"/>
      <w:contextualSpacing/>
    </w:pPr>
  </w:style>
  <w:style w:type="paragraph" w:styleId="39">
    <w:name w:val="List Continue"/>
    <w:basedOn w:val="1"/>
    <w:autoRedefine/>
    <w:qFormat/>
    <w:locked/>
    <w:uiPriority w:val="0"/>
    <w:pPr>
      <w:spacing w:after="120"/>
      <w:ind w:left="420" w:leftChars="200"/>
      <w:contextualSpacing/>
    </w:pPr>
  </w:style>
  <w:style w:type="paragraph" w:styleId="40">
    <w:name w:val="Block Text"/>
    <w:basedOn w:val="1"/>
    <w:autoRedefine/>
    <w:qFormat/>
    <w:locked/>
    <w:uiPriority w:val="0"/>
    <w:pPr>
      <w:spacing w:after="120"/>
      <w:ind w:left="1440" w:leftChars="700" w:right="1440" w:rightChars="700"/>
    </w:pPr>
  </w:style>
  <w:style w:type="paragraph" w:styleId="41">
    <w:name w:val="List Bullet 2"/>
    <w:basedOn w:val="1"/>
    <w:autoRedefine/>
    <w:qFormat/>
    <w:locked/>
    <w:uiPriority w:val="0"/>
    <w:pPr>
      <w:numPr>
        <w:ilvl w:val="0"/>
        <w:numId w:val="7"/>
      </w:numPr>
      <w:contextualSpacing/>
    </w:pPr>
  </w:style>
  <w:style w:type="paragraph" w:styleId="42">
    <w:name w:val="HTML Address"/>
    <w:basedOn w:val="1"/>
    <w:link w:val="142"/>
    <w:autoRedefine/>
    <w:qFormat/>
    <w:locked/>
    <w:uiPriority w:val="0"/>
    <w:rPr>
      <w:i/>
      <w:iCs/>
    </w:rPr>
  </w:style>
  <w:style w:type="paragraph" w:styleId="43">
    <w:name w:val="index 4"/>
    <w:basedOn w:val="1"/>
    <w:next w:val="1"/>
    <w:autoRedefine/>
    <w:qFormat/>
    <w:locked/>
    <w:uiPriority w:val="0"/>
    <w:pPr>
      <w:ind w:left="600" w:leftChars="600"/>
    </w:pPr>
  </w:style>
  <w:style w:type="paragraph" w:styleId="44">
    <w:name w:val="toc 5"/>
    <w:basedOn w:val="1"/>
    <w:next w:val="1"/>
    <w:autoRedefine/>
    <w:qFormat/>
    <w:locked/>
    <w:uiPriority w:val="0"/>
    <w:pPr>
      <w:ind w:left="1680" w:leftChars="800"/>
    </w:pPr>
  </w:style>
  <w:style w:type="paragraph" w:styleId="45">
    <w:name w:val="toc 3"/>
    <w:basedOn w:val="1"/>
    <w:next w:val="1"/>
    <w:autoRedefine/>
    <w:qFormat/>
    <w:locked/>
    <w:uiPriority w:val="0"/>
    <w:pPr>
      <w:ind w:left="840" w:leftChars="400"/>
    </w:pPr>
  </w:style>
  <w:style w:type="paragraph" w:styleId="46">
    <w:name w:val="Plain Text"/>
    <w:basedOn w:val="1"/>
    <w:next w:val="47"/>
    <w:link w:val="153"/>
    <w:autoRedefine/>
    <w:qFormat/>
    <w:locked/>
    <w:uiPriority w:val="0"/>
    <w:rPr>
      <w:rFonts w:ascii="宋体" w:hAnsi="Courier New" w:cs="Courier New"/>
      <w:szCs w:val="21"/>
    </w:rPr>
  </w:style>
  <w:style w:type="paragraph" w:styleId="47">
    <w:name w:val="toc 1"/>
    <w:basedOn w:val="1"/>
    <w:next w:val="1"/>
    <w:autoRedefine/>
    <w:qFormat/>
    <w:locked/>
    <w:uiPriority w:val="39"/>
    <w:pPr>
      <w:tabs>
        <w:tab w:val="right" w:leader="dot" w:pos="8834"/>
      </w:tabs>
      <w:spacing w:line="360" w:lineRule="auto"/>
    </w:pPr>
  </w:style>
  <w:style w:type="paragraph" w:styleId="48">
    <w:name w:val="List Bullet 5"/>
    <w:basedOn w:val="1"/>
    <w:autoRedefine/>
    <w:qFormat/>
    <w:locked/>
    <w:uiPriority w:val="0"/>
    <w:pPr>
      <w:numPr>
        <w:ilvl w:val="0"/>
        <w:numId w:val="8"/>
      </w:numPr>
      <w:contextualSpacing/>
    </w:pPr>
  </w:style>
  <w:style w:type="paragraph" w:styleId="49">
    <w:name w:val="List Number 4"/>
    <w:basedOn w:val="1"/>
    <w:autoRedefine/>
    <w:qFormat/>
    <w:locked/>
    <w:uiPriority w:val="0"/>
    <w:pPr>
      <w:numPr>
        <w:ilvl w:val="0"/>
        <w:numId w:val="9"/>
      </w:numPr>
      <w:contextualSpacing/>
    </w:pPr>
  </w:style>
  <w:style w:type="paragraph" w:styleId="50">
    <w:name w:val="toc 8"/>
    <w:basedOn w:val="1"/>
    <w:next w:val="1"/>
    <w:autoRedefine/>
    <w:qFormat/>
    <w:locked/>
    <w:uiPriority w:val="0"/>
    <w:pPr>
      <w:ind w:left="2940" w:leftChars="1400"/>
    </w:pPr>
  </w:style>
  <w:style w:type="paragraph" w:styleId="51">
    <w:name w:val="index 3"/>
    <w:basedOn w:val="1"/>
    <w:next w:val="1"/>
    <w:autoRedefine/>
    <w:qFormat/>
    <w:locked/>
    <w:uiPriority w:val="0"/>
    <w:pPr>
      <w:ind w:left="400" w:leftChars="400"/>
    </w:pPr>
  </w:style>
  <w:style w:type="paragraph" w:styleId="52">
    <w:name w:val="Date"/>
    <w:basedOn w:val="1"/>
    <w:next w:val="1"/>
    <w:link w:val="102"/>
    <w:autoRedefine/>
    <w:qFormat/>
    <w:uiPriority w:val="0"/>
    <w:pPr>
      <w:ind w:left="100" w:leftChars="2500"/>
    </w:pPr>
    <w:rPr>
      <w:kern w:val="0"/>
      <w:sz w:val="24"/>
      <w:szCs w:val="20"/>
    </w:rPr>
  </w:style>
  <w:style w:type="paragraph" w:styleId="53">
    <w:name w:val="Body Text Indent 2"/>
    <w:basedOn w:val="1"/>
    <w:link w:val="121"/>
    <w:autoRedefine/>
    <w:qFormat/>
    <w:locked/>
    <w:uiPriority w:val="0"/>
    <w:pPr>
      <w:spacing w:after="120" w:line="480" w:lineRule="auto"/>
      <w:ind w:left="420" w:leftChars="200"/>
    </w:pPr>
  </w:style>
  <w:style w:type="paragraph" w:styleId="54">
    <w:name w:val="endnote text"/>
    <w:basedOn w:val="1"/>
    <w:link w:val="164"/>
    <w:autoRedefine/>
    <w:qFormat/>
    <w:locked/>
    <w:uiPriority w:val="0"/>
    <w:pPr>
      <w:snapToGrid w:val="0"/>
      <w:jc w:val="left"/>
    </w:pPr>
  </w:style>
  <w:style w:type="paragraph" w:styleId="55">
    <w:name w:val="List Continue 5"/>
    <w:basedOn w:val="1"/>
    <w:autoRedefine/>
    <w:qFormat/>
    <w:locked/>
    <w:uiPriority w:val="0"/>
    <w:pPr>
      <w:spacing w:after="120"/>
      <w:ind w:left="2100" w:leftChars="1000"/>
      <w:contextualSpacing/>
    </w:pPr>
  </w:style>
  <w:style w:type="paragraph" w:styleId="56">
    <w:name w:val="Balloon Text"/>
    <w:basedOn w:val="1"/>
    <w:link w:val="111"/>
    <w:autoRedefine/>
    <w:semiHidden/>
    <w:qFormat/>
    <w:uiPriority w:val="0"/>
    <w:rPr>
      <w:kern w:val="0"/>
      <w:sz w:val="18"/>
      <w:szCs w:val="20"/>
    </w:rPr>
  </w:style>
  <w:style w:type="paragraph" w:styleId="57">
    <w:name w:val="footer"/>
    <w:basedOn w:val="1"/>
    <w:link w:val="101"/>
    <w:autoRedefine/>
    <w:qFormat/>
    <w:uiPriority w:val="0"/>
    <w:pPr>
      <w:tabs>
        <w:tab w:val="center" w:pos="4153"/>
        <w:tab w:val="right" w:pos="8306"/>
      </w:tabs>
      <w:snapToGrid w:val="0"/>
      <w:jc w:val="left"/>
    </w:pPr>
    <w:rPr>
      <w:kern w:val="0"/>
      <w:sz w:val="18"/>
      <w:szCs w:val="20"/>
    </w:rPr>
  </w:style>
  <w:style w:type="paragraph" w:styleId="58">
    <w:name w:val="envelope return"/>
    <w:basedOn w:val="1"/>
    <w:autoRedefine/>
    <w:qFormat/>
    <w:locked/>
    <w:uiPriority w:val="0"/>
    <w:pPr>
      <w:snapToGrid w:val="0"/>
    </w:pPr>
    <w:rPr>
      <w:rFonts w:ascii="等线 Light" w:hAnsi="等线 Light" w:eastAsia="等线 Light"/>
    </w:rPr>
  </w:style>
  <w:style w:type="paragraph" w:styleId="59">
    <w:name w:val="header"/>
    <w:basedOn w:val="1"/>
    <w:link w:val="11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60">
    <w:name w:val="Signature"/>
    <w:basedOn w:val="1"/>
    <w:link w:val="162"/>
    <w:autoRedefine/>
    <w:qFormat/>
    <w:locked/>
    <w:uiPriority w:val="0"/>
    <w:pPr>
      <w:ind w:left="100" w:leftChars="2100"/>
    </w:pPr>
  </w:style>
  <w:style w:type="paragraph" w:styleId="61">
    <w:name w:val="List Continue 4"/>
    <w:basedOn w:val="1"/>
    <w:autoRedefine/>
    <w:qFormat/>
    <w:locked/>
    <w:uiPriority w:val="0"/>
    <w:pPr>
      <w:spacing w:after="120"/>
      <w:ind w:left="1680" w:leftChars="800"/>
      <w:contextualSpacing/>
    </w:pPr>
  </w:style>
  <w:style w:type="paragraph" w:styleId="62">
    <w:name w:val="toc 4"/>
    <w:basedOn w:val="1"/>
    <w:next w:val="1"/>
    <w:autoRedefine/>
    <w:qFormat/>
    <w:locked/>
    <w:uiPriority w:val="0"/>
    <w:pPr>
      <w:ind w:left="1260" w:leftChars="600"/>
    </w:pPr>
  </w:style>
  <w:style w:type="paragraph" w:styleId="63">
    <w:name w:val="index heading"/>
    <w:basedOn w:val="1"/>
    <w:next w:val="64"/>
    <w:autoRedefine/>
    <w:qFormat/>
    <w:locked/>
    <w:uiPriority w:val="0"/>
    <w:rPr>
      <w:rFonts w:ascii="等线 Light" w:hAnsi="等线 Light" w:eastAsia="等线 Light"/>
      <w:b/>
      <w:bCs/>
    </w:rPr>
  </w:style>
  <w:style w:type="paragraph" w:styleId="64">
    <w:name w:val="index 1"/>
    <w:basedOn w:val="1"/>
    <w:next w:val="1"/>
    <w:autoRedefine/>
    <w:qFormat/>
    <w:locked/>
    <w:uiPriority w:val="0"/>
  </w:style>
  <w:style w:type="paragraph" w:styleId="65">
    <w:name w:val="Subtitle"/>
    <w:basedOn w:val="1"/>
    <w:next w:val="1"/>
    <w:link w:val="155"/>
    <w:autoRedefine/>
    <w:qFormat/>
    <w:locked/>
    <w:uiPriority w:val="0"/>
    <w:pPr>
      <w:spacing w:before="240" w:after="60" w:line="312" w:lineRule="auto"/>
      <w:jc w:val="center"/>
      <w:outlineLvl w:val="1"/>
    </w:pPr>
    <w:rPr>
      <w:rFonts w:ascii="等线 Light" w:hAnsi="等线 Light"/>
      <w:b/>
      <w:bCs/>
      <w:kern w:val="28"/>
      <w:sz w:val="32"/>
      <w:szCs w:val="32"/>
    </w:rPr>
  </w:style>
  <w:style w:type="paragraph" w:styleId="66">
    <w:name w:val="List Number 5"/>
    <w:basedOn w:val="1"/>
    <w:autoRedefine/>
    <w:qFormat/>
    <w:locked/>
    <w:uiPriority w:val="0"/>
    <w:pPr>
      <w:numPr>
        <w:ilvl w:val="0"/>
        <w:numId w:val="10"/>
      </w:numPr>
      <w:contextualSpacing/>
    </w:pPr>
  </w:style>
  <w:style w:type="paragraph" w:styleId="67">
    <w:name w:val="List"/>
    <w:basedOn w:val="1"/>
    <w:autoRedefine/>
    <w:qFormat/>
    <w:locked/>
    <w:uiPriority w:val="0"/>
    <w:pPr>
      <w:ind w:left="200" w:hanging="200" w:hangingChars="200"/>
    </w:pPr>
    <w:rPr>
      <w:szCs w:val="20"/>
    </w:rPr>
  </w:style>
  <w:style w:type="paragraph" w:styleId="68">
    <w:name w:val="footnote text"/>
    <w:basedOn w:val="1"/>
    <w:link w:val="157"/>
    <w:autoRedefine/>
    <w:qFormat/>
    <w:locked/>
    <w:uiPriority w:val="0"/>
    <w:pPr>
      <w:snapToGrid w:val="0"/>
      <w:jc w:val="left"/>
    </w:pPr>
    <w:rPr>
      <w:sz w:val="18"/>
      <w:szCs w:val="18"/>
    </w:rPr>
  </w:style>
  <w:style w:type="paragraph" w:styleId="69">
    <w:name w:val="toc 6"/>
    <w:basedOn w:val="1"/>
    <w:next w:val="1"/>
    <w:autoRedefine/>
    <w:qFormat/>
    <w:locked/>
    <w:uiPriority w:val="0"/>
    <w:pPr>
      <w:ind w:left="2100" w:leftChars="1000"/>
    </w:pPr>
  </w:style>
  <w:style w:type="paragraph" w:styleId="70">
    <w:name w:val="List 5"/>
    <w:basedOn w:val="1"/>
    <w:autoRedefine/>
    <w:qFormat/>
    <w:locked/>
    <w:uiPriority w:val="0"/>
    <w:pPr>
      <w:ind w:left="100" w:leftChars="800" w:hanging="200" w:hangingChars="200"/>
      <w:contextualSpacing/>
    </w:pPr>
  </w:style>
  <w:style w:type="paragraph" w:styleId="71">
    <w:name w:val="Body Text Indent 3"/>
    <w:basedOn w:val="1"/>
    <w:link w:val="174"/>
    <w:autoRedefine/>
    <w:qFormat/>
    <w:locked/>
    <w:uiPriority w:val="0"/>
    <w:pPr>
      <w:spacing w:after="120"/>
      <w:ind w:left="420" w:leftChars="200"/>
    </w:pPr>
    <w:rPr>
      <w:sz w:val="16"/>
      <w:szCs w:val="16"/>
    </w:rPr>
  </w:style>
  <w:style w:type="paragraph" w:styleId="72">
    <w:name w:val="index 7"/>
    <w:basedOn w:val="1"/>
    <w:next w:val="1"/>
    <w:autoRedefine/>
    <w:qFormat/>
    <w:locked/>
    <w:uiPriority w:val="0"/>
    <w:pPr>
      <w:ind w:left="1200" w:leftChars="1200"/>
    </w:pPr>
  </w:style>
  <w:style w:type="paragraph" w:styleId="73">
    <w:name w:val="index 9"/>
    <w:basedOn w:val="1"/>
    <w:next w:val="1"/>
    <w:autoRedefine/>
    <w:qFormat/>
    <w:locked/>
    <w:uiPriority w:val="0"/>
    <w:pPr>
      <w:ind w:left="1600" w:leftChars="1600"/>
    </w:pPr>
  </w:style>
  <w:style w:type="paragraph" w:styleId="74">
    <w:name w:val="table of figures"/>
    <w:basedOn w:val="1"/>
    <w:next w:val="1"/>
    <w:autoRedefine/>
    <w:qFormat/>
    <w:locked/>
    <w:uiPriority w:val="0"/>
    <w:pPr>
      <w:ind w:left="200" w:leftChars="200" w:hanging="200" w:hangingChars="200"/>
    </w:pPr>
  </w:style>
  <w:style w:type="paragraph" w:styleId="75">
    <w:name w:val="toc 2"/>
    <w:basedOn w:val="1"/>
    <w:next w:val="1"/>
    <w:autoRedefine/>
    <w:qFormat/>
    <w:locked/>
    <w:uiPriority w:val="0"/>
    <w:pPr>
      <w:ind w:left="420" w:leftChars="200"/>
    </w:pPr>
  </w:style>
  <w:style w:type="paragraph" w:styleId="76">
    <w:name w:val="toc 9"/>
    <w:basedOn w:val="1"/>
    <w:next w:val="1"/>
    <w:autoRedefine/>
    <w:qFormat/>
    <w:locked/>
    <w:uiPriority w:val="0"/>
    <w:pPr>
      <w:ind w:left="3360" w:leftChars="1600"/>
    </w:pPr>
  </w:style>
  <w:style w:type="paragraph" w:styleId="77">
    <w:name w:val="Body Text 2"/>
    <w:basedOn w:val="1"/>
    <w:link w:val="170"/>
    <w:autoRedefine/>
    <w:qFormat/>
    <w:locked/>
    <w:uiPriority w:val="0"/>
    <w:pPr>
      <w:spacing w:after="120" w:line="480" w:lineRule="auto"/>
    </w:pPr>
  </w:style>
  <w:style w:type="paragraph" w:styleId="78">
    <w:name w:val="List 4"/>
    <w:basedOn w:val="1"/>
    <w:autoRedefine/>
    <w:qFormat/>
    <w:locked/>
    <w:uiPriority w:val="0"/>
    <w:pPr>
      <w:ind w:left="100" w:leftChars="600" w:hanging="200" w:hangingChars="200"/>
      <w:contextualSpacing/>
    </w:pPr>
  </w:style>
  <w:style w:type="paragraph" w:styleId="79">
    <w:name w:val="List Continue 2"/>
    <w:basedOn w:val="1"/>
    <w:autoRedefine/>
    <w:qFormat/>
    <w:locked/>
    <w:uiPriority w:val="0"/>
    <w:pPr>
      <w:spacing w:after="120"/>
      <w:ind w:left="840" w:leftChars="400"/>
      <w:contextualSpacing/>
    </w:pPr>
  </w:style>
  <w:style w:type="paragraph" w:styleId="80">
    <w:name w:val="Message Header"/>
    <w:basedOn w:val="1"/>
    <w:link w:val="167"/>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等线 Light" w:hAnsi="等线 Light" w:eastAsia="等线 Light"/>
      <w:sz w:val="24"/>
    </w:rPr>
  </w:style>
  <w:style w:type="paragraph" w:styleId="81">
    <w:name w:val="HTML Preformatted"/>
    <w:basedOn w:val="1"/>
    <w:link w:val="143"/>
    <w:autoRedefine/>
    <w:qFormat/>
    <w:locked/>
    <w:uiPriority w:val="0"/>
    <w:rPr>
      <w:rFonts w:ascii="Courier New" w:hAnsi="Courier New" w:cs="Courier New"/>
      <w:sz w:val="20"/>
      <w:szCs w:val="20"/>
    </w:rPr>
  </w:style>
  <w:style w:type="paragraph" w:styleId="82">
    <w:name w:val="Normal (Web)"/>
    <w:basedOn w:val="1"/>
    <w:link w:val="104"/>
    <w:autoRedefine/>
    <w:qFormat/>
    <w:uiPriority w:val="0"/>
    <w:pPr>
      <w:widowControl/>
      <w:spacing w:before="100" w:beforeAutospacing="1" w:after="100" w:afterAutospacing="1"/>
      <w:jc w:val="left"/>
    </w:pPr>
    <w:rPr>
      <w:rFonts w:ascii="宋体" w:hAnsi="宋体"/>
      <w:kern w:val="0"/>
      <w:sz w:val="24"/>
      <w:szCs w:val="20"/>
    </w:rPr>
  </w:style>
  <w:style w:type="paragraph" w:styleId="83">
    <w:name w:val="List Continue 3"/>
    <w:basedOn w:val="1"/>
    <w:autoRedefine/>
    <w:qFormat/>
    <w:locked/>
    <w:uiPriority w:val="0"/>
    <w:pPr>
      <w:spacing w:after="120"/>
      <w:ind w:left="1260" w:leftChars="600"/>
      <w:contextualSpacing/>
    </w:pPr>
  </w:style>
  <w:style w:type="paragraph" w:styleId="84">
    <w:name w:val="index 2"/>
    <w:basedOn w:val="1"/>
    <w:next w:val="1"/>
    <w:autoRedefine/>
    <w:qFormat/>
    <w:locked/>
    <w:uiPriority w:val="0"/>
    <w:pPr>
      <w:ind w:left="200" w:leftChars="200"/>
    </w:pPr>
  </w:style>
  <w:style w:type="paragraph" w:styleId="85">
    <w:name w:val="Title"/>
    <w:basedOn w:val="1"/>
    <w:next w:val="1"/>
    <w:link w:val="144"/>
    <w:autoRedefine/>
    <w:qFormat/>
    <w:locked/>
    <w:uiPriority w:val="0"/>
    <w:pPr>
      <w:spacing w:before="240" w:after="60"/>
      <w:jc w:val="center"/>
      <w:outlineLvl w:val="0"/>
    </w:pPr>
    <w:rPr>
      <w:rFonts w:ascii="等线 Light" w:hAnsi="等线 Light"/>
      <w:b/>
      <w:bCs/>
      <w:sz w:val="32"/>
      <w:szCs w:val="32"/>
    </w:rPr>
  </w:style>
  <w:style w:type="paragraph" w:styleId="86">
    <w:name w:val="annotation subject"/>
    <w:basedOn w:val="29"/>
    <w:next w:val="29"/>
    <w:link w:val="112"/>
    <w:autoRedefine/>
    <w:semiHidden/>
    <w:qFormat/>
    <w:uiPriority w:val="0"/>
    <w:rPr>
      <w:b/>
    </w:rPr>
  </w:style>
  <w:style w:type="paragraph" w:styleId="87">
    <w:name w:val="Body Text First Indent"/>
    <w:basedOn w:val="35"/>
    <w:link w:val="172"/>
    <w:autoRedefine/>
    <w:qFormat/>
    <w:locked/>
    <w:uiPriority w:val="0"/>
    <w:pPr>
      <w:widowControl w:val="0"/>
      <w:snapToGrid/>
      <w:spacing w:before="0" w:after="120" w:line="240" w:lineRule="auto"/>
      <w:ind w:right="0" w:firstLine="420" w:firstLineChars="100"/>
    </w:pPr>
    <w:rPr>
      <w:kern w:val="2"/>
      <w:sz w:val="21"/>
      <w:szCs w:val="24"/>
    </w:rPr>
  </w:style>
  <w:style w:type="table" w:styleId="89">
    <w:name w:val="Table Grid"/>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Grid 5"/>
    <w:basedOn w:val="88"/>
    <w:autoRedefine/>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92">
    <w:name w:val="Strong"/>
    <w:basedOn w:val="91"/>
    <w:qFormat/>
    <w:locked/>
    <w:uiPriority w:val="0"/>
    <w:rPr>
      <w:b/>
    </w:rPr>
  </w:style>
  <w:style w:type="character" w:styleId="93">
    <w:name w:val="page number"/>
    <w:basedOn w:val="91"/>
    <w:autoRedefine/>
    <w:qFormat/>
    <w:locked/>
    <w:uiPriority w:val="0"/>
  </w:style>
  <w:style w:type="character" w:styleId="94">
    <w:name w:val="FollowedHyperlink"/>
    <w:basedOn w:val="91"/>
    <w:autoRedefine/>
    <w:qFormat/>
    <w:locked/>
    <w:uiPriority w:val="0"/>
    <w:rPr>
      <w:color w:val="333333"/>
      <w:sz w:val="24"/>
      <w:szCs w:val="24"/>
      <w:u w:val="none"/>
    </w:rPr>
  </w:style>
  <w:style w:type="character" w:styleId="95">
    <w:name w:val="Emphasis"/>
    <w:basedOn w:val="91"/>
    <w:autoRedefine/>
    <w:qFormat/>
    <w:locked/>
    <w:uiPriority w:val="0"/>
    <w:rPr>
      <w:i/>
    </w:rPr>
  </w:style>
  <w:style w:type="character" w:styleId="96">
    <w:name w:val="Hyperlink"/>
    <w:autoRedefine/>
    <w:unhideWhenUsed/>
    <w:qFormat/>
    <w:locked/>
    <w:uiPriority w:val="99"/>
    <w:rPr>
      <w:color w:val="0563C1"/>
      <w:u w:val="single"/>
    </w:rPr>
  </w:style>
  <w:style w:type="character" w:styleId="97">
    <w:name w:val="annotation reference"/>
    <w:basedOn w:val="91"/>
    <w:autoRedefine/>
    <w:qFormat/>
    <w:uiPriority w:val="0"/>
    <w:rPr>
      <w:sz w:val="21"/>
    </w:rPr>
  </w:style>
  <w:style w:type="paragraph" w:customStyle="1" w:styleId="98">
    <w:name w:val="正文首行缩进2个字 Char"/>
    <w:autoRedefine/>
    <w:qFormat/>
    <w:uiPriority w:val="0"/>
    <w:pPr>
      <w:widowControl w:val="0"/>
      <w:ind w:firstLine="480" w:firstLineChars="200"/>
      <w:jc w:val="both"/>
    </w:pPr>
    <w:rPr>
      <w:rFonts w:ascii="Times New Roman" w:hAnsi="Times New Roman" w:eastAsia="楷体" w:cs="Times New Roman"/>
      <w:kern w:val="2"/>
      <w:sz w:val="24"/>
      <w:szCs w:val="24"/>
      <w:lang w:val="en-US" w:eastAsia="zh-CN" w:bidi="ar-SA"/>
    </w:rPr>
  </w:style>
  <w:style w:type="paragraph" w:customStyle="1" w:styleId="9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100">
    <w:name w:val="表格文字"/>
    <w:basedOn w:val="36"/>
    <w:next w:val="35"/>
    <w:autoRedefine/>
    <w:qFormat/>
    <w:uiPriority w:val="0"/>
    <w:pPr>
      <w:adjustRightInd w:val="0"/>
      <w:spacing w:line="420" w:lineRule="atLeast"/>
      <w:textAlignment w:val="baseline"/>
    </w:pPr>
    <w:rPr>
      <w:szCs w:val="24"/>
    </w:rPr>
  </w:style>
  <w:style w:type="character" w:customStyle="1" w:styleId="101">
    <w:name w:val="页脚 字符1"/>
    <w:link w:val="57"/>
    <w:autoRedefine/>
    <w:qFormat/>
    <w:locked/>
    <w:uiPriority w:val="99"/>
    <w:rPr>
      <w:sz w:val="18"/>
    </w:rPr>
  </w:style>
  <w:style w:type="character" w:customStyle="1" w:styleId="102">
    <w:name w:val="日期 字符1"/>
    <w:link w:val="52"/>
    <w:autoRedefine/>
    <w:qFormat/>
    <w:locked/>
    <w:uiPriority w:val="0"/>
    <w:rPr>
      <w:rFonts w:ascii="Times New Roman" w:hAnsi="Times New Roman" w:eastAsia="宋体"/>
      <w:sz w:val="24"/>
    </w:rPr>
  </w:style>
  <w:style w:type="character" w:customStyle="1" w:styleId="103">
    <w:name w:val="页脚 字符"/>
    <w:basedOn w:val="91"/>
    <w:autoRedefine/>
    <w:qFormat/>
    <w:uiPriority w:val="99"/>
  </w:style>
  <w:style w:type="character" w:customStyle="1" w:styleId="104">
    <w:name w:val="普通(网站) 字符"/>
    <w:link w:val="82"/>
    <w:autoRedefine/>
    <w:qFormat/>
    <w:locked/>
    <w:uiPriority w:val="0"/>
    <w:rPr>
      <w:rFonts w:ascii="宋体" w:hAnsi="宋体" w:eastAsia="宋体"/>
      <w:sz w:val="24"/>
    </w:rPr>
  </w:style>
  <w:style w:type="character" w:customStyle="1" w:styleId="105">
    <w:name w:val="正文文本 字符1"/>
    <w:autoRedefine/>
    <w:semiHidden/>
    <w:qFormat/>
    <w:uiPriority w:val="0"/>
    <w:rPr>
      <w:rFonts w:ascii="Times New Roman" w:hAnsi="Times New Roman" w:eastAsia="宋体"/>
      <w:sz w:val="24"/>
    </w:rPr>
  </w:style>
  <w:style w:type="character" w:customStyle="1" w:styleId="106">
    <w:name w:val="正文文本 字符"/>
    <w:link w:val="35"/>
    <w:autoRedefine/>
    <w:qFormat/>
    <w:locked/>
    <w:uiPriority w:val="0"/>
    <w:rPr>
      <w:sz w:val="18"/>
    </w:rPr>
  </w:style>
  <w:style w:type="character" w:customStyle="1" w:styleId="107">
    <w:name w:val="批注文字 字符"/>
    <w:link w:val="29"/>
    <w:autoRedefine/>
    <w:qFormat/>
    <w:locked/>
    <w:uiPriority w:val="0"/>
    <w:rPr>
      <w:rFonts w:ascii="Times New Roman" w:hAnsi="Times New Roman" w:eastAsia="宋体"/>
      <w:sz w:val="24"/>
    </w:rPr>
  </w:style>
  <w:style w:type="character" w:customStyle="1" w:styleId="108">
    <w:name w:val="表格 Char"/>
    <w:link w:val="109"/>
    <w:autoRedefine/>
    <w:qFormat/>
    <w:locked/>
    <w:uiPriority w:val="0"/>
    <w:rPr>
      <w:rFonts w:ascii="宋体"/>
      <w:sz w:val="21"/>
    </w:rPr>
  </w:style>
  <w:style w:type="paragraph" w:customStyle="1" w:styleId="109">
    <w:name w:val="表格"/>
    <w:basedOn w:val="35"/>
    <w:next w:val="1"/>
    <w:link w:val="108"/>
    <w:autoRedefine/>
    <w:qFormat/>
    <w:uiPriority w:val="0"/>
    <w:pPr>
      <w:adjustRightInd w:val="0"/>
      <w:spacing w:beforeLines="10" w:afterLines="10"/>
      <w:jc w:val="center"/>
    </w:pPr>
    <w:rPr>
      <w:rFonts w:ascii="宋体"/>
    </w:rPr>
  </w:style>
  <w:style w:type="character" w:customStyle="1" w:styleId="110">
    <w:name w:val="日期 字符"/>
    <w:autoRedefine/>
    <w:semiHidden/>
    <w:qFormat/>
    <w:uiPriority w:val="0"/>
    <w:rPr>
      <w:rFonts w:ascii="Times New Roman" w:hAnsi="Times New Roman" w:eastAsia="宋体"/>
      <w:sz w:val="24"/>
    </w:rPr>
  </w:style>
  <w:style w:type="character" w:customStyle="1" w:styleId="111">
    <w:name w:val="批注框文本 字符"/>
    <w:link w:val="56"/>
    <w:autoRedefine/>
    <w:semiHidden/>
    <w:qFormat/>
    <w:locked/>
    <w:uiPriority w:val="0"/>
    <w:rPr>
      <w:rFonts w:ascii="Times New Roman" w:hAnsi="Times New Roman" w:eastAsia="宋体"/>
      <w:sz w:val="18"/>
    </w:rPr>
  </w:style>
  <w:style w:type="character" w:customStyle="1" w:styleId="112">
    <w:name w:val="批注主题 字符"/>
    <w:link w:val="86"/>
    <w:autoRedefine/>
    <w:semiHidden/>
    <w:qFormat/>
    <w:locked/>
    <w:uiPriority w:val="0"/>
    <w:rPr>
      <w:rFonts w:ascii="Times New Roman" w:hAnsi="Times New Roman" w:eastAsia="宋体"/>
      <w:b/>
      <w:kern w:val="2"/>
      <w:sz w:val="24"/>
    </w:rPr>
  </w:style>
  <w:style w:type="character" w:customStyle="1" w:styleId="113">
    <w:name w:val="页眉 字符"/>
    <w:link w:val="59"/>
    <w:autoRedefine/>
    <w:qFormat/>
    <w:locked/>
    <w:uiPriority w:val="0"/>
    <w:rPr>
      <w:sz w:val="18"/>
    </w:rPr>
  </w:style>
  <w:style w:type="character" w:customStyle="1" w:styleId="114">
    <w:name w:val="批注文字 字符1"/>
    <w:autoRedefine/>
    <w:semiHidden/>
    <w:qFormat/>
    <w:uiPriority w:val="0"/>
    <w:rPr>
      <w:rFonts w:ascii="Times New Roman" w:hAnsi="Times New Roman" w:eastAsia="宋体"/>
      <w:sz w:val="24"/>
    </w:rPr>
  </w:style>
  <w:style w:type="character" w:customStyle="1" w:styleId="115">
    <w:name w:val="正文文本缩进 字符"/>
    <w:link w:val="36"/>
    <w:autoRedefine/>
    <w:semiHidden/>
    <w:qFormat/>
    <w:locked/>
    <w:uiPriority w:val="0"/>
    <w:rPr>
      <w:rFonts w:ascii="Times New Roman" w:hAnsi="Times New Roman" w:eastAsia="宋体"/>
      <w:sz w:val="24"/>
    </w:rPr>
  </w:style>
  <w:style w:type="paragraph" w:customStyle="1" w:styleId="11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18">
    <w:name w:val="TOC 标题1"/>
    <w:basedOn w:val="3"/>
    <w:next w:val="1"/>
    <w:autoRedefine/>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paragraph" w:customStyle="1" w:styleId="119">
    <w:name w:val="居中正文"/>
    <w:basedOn w:val="87"/>
    <w:link w:val="120"/>
    <w:autoRedefine/>
    <w:qFormat/>
    <w:uiPriority w:val="0"/>
    <w:pPr>
      <w:adjustRightInd w:val="0"/>
      <w:spacing w:before="120" w:after="0" w:line="360" w:lineRule="auto"/>
      <w:jc w:val="center"/>
      <w:textAlignment w:val="baseline"/>
    </w:pPr>
    <w:rPr>
      <w:rFonts w:ascii="宋体"/>
      <w:kern w:val="28"/>
      <w:sz w:val="24"/>
      <w:szCs w:val="20"/>
      <w:lang w:val="zh-CN"/>
    </w:rPr>
  </w:style>
  <w:style w:type="character" w:customStyle="1" w:styleId="120">
    <w:name w:val="居中正文 Char"/>
    <w:link w:val="119"/>
    <w:autoRedefine/>
    <w:qFormat/>
    <w:uiPriority w:val="0"/>
    <w:rPr>
      <w:rFonts w:ascii="宋体"/>
      <w:kern w:val="28"/>
      <w:sz w:val="24"/>
      <w:lang w:val="zh-CN" w:eastAsia="zh-CN"/>
    </w:rPr>
  </w:style>
  <w:style w:type="character" w:customStyle="1" w:styleId="121">
    <w:name w:val="正文文本缩进 2 字符"/>
    <w:link w:val="53"/>
    <w:autoRedefine/>
    <w:qFormat/>
    <w:uiPriority w:val="0"/>
    <w:rPr>
      <w:kern w:val="2"/>
      <w:sz w:val="21"/>
      <w:szCs w:val="24"/>
    </w:rPr>
  </w:style>
  <w:style w:type="paragraph" w:customStyle="1" w:styleId="122">
    <w:name w:val="1"/>
    <w:basedOn w:val="1"/>
    <w:next w:val="1"/>
    <w:autoRedefine/>
    <w:qFormat/>
    <w:uiPriority w:val="39"/>
    <w:rPr>
      <w:szCs w:val="20"/>
    </w:rPr>
  </w:style>
  <w:style w:type="paragraph" w:customStyle="1" w:styleId="123">
    <w:name w:val="表格内容"/>
    <w:basedOn w:val="21"/>
    <w:autoRedefine/>
    <w:qFormat/>
    <w:uiPriority w:val="0"/>
    <w:pPr>
      <w:snapToGrid w:val="0"/>
      <w:ind w:firstLine="0" w:firstLineChars="0"/>
      <w:jc w:val="center"/>
    </w:pPr>
    <w:rPr>
      <w:rFonts w:ascii="Arial" w:hAnsi="Arial" w:cs="Arial"/>
      <w:szCs w:val="21"/>
    </w:rPr>
  </w:style>
  <w:style w:type="character" w:customStyle="1" w:styleId="124">
    <w:name w:val="表头样式 Char"/>
    <w:link w:val="125"/>
    <w:autoRedefine/>
    <w:qFormat/>
    <w:uiPriority w:val="0"/>
    <w:rPr>
      <w:rFonts w:eastAsia="楷体_GB2312"/>
      <w:b/>
      <w:kern w:val="2"/>
      <w:sz w:val="24"/>
      <w:szCs w:val="24"/>
    </w:rPr>
  </w:style>
  <w:style w:type="paragraph" w:customStyle="1" w:styleId="125">
    <w:name w:val="表头样式"/>
    <w:basedOn w:val="1"/>
    <w:next w:val="1"/>
    <w:link w:val="124"/>
    <w:autoRedefine/>
    <w:qFormat/>
    <w:uiPriority w:val="0"/>
    <w:pPr>
      <w:snapToGrid w:val="0"/>
      <w:jc w:val="center"/>
    </w:pPr>
    <w:rPr>
      <w:rFonts w:eastAsia="楷体_GB2312"/>
      <w:b/>
      <w:sz w:val="24"/>
    </w:rPr>
  </w:style>
  <w:style w:type="paragraph" w:customStyle="1" w:styleId="126">
    <w:name w:val="表头"/>
    <w:basedOn w:val="109"/>
    <w:link w:val="127"/>
    <w:autoRedefine/>
    <w:qFormat/>
    <w:uiPriority w:val="0"/>
    <w:pPr>
      <w:keepNext/>
      <w:adjustRightInd/>
      <w:spacing w:beforeLines="0" w:afterLines="0" w:line="460" w:lineRule="atLeast"/>
    </w:pPr>
    <w:rPr>
      <w:rFonts w:ascii="Arial" w:hAnsi="Arial" w:eastAsia="Times New Roman"/>
      <w:b/>
      <w:kern w:val="2"/>
      <w:sz w:val="24"/>
      <w:szCs w:val="24"/>
      <w:lang w:val="zh-CN"/>
    </w:rPr>
  </w:style>
  <w:style w:type="character" w:customStyle="1" w:styleId="127">
    <w:name w:val="表头 Char"/>
    <w:link w:val="126"/>
    <w:autoRedefine/>
    <w:qFormat/>
    <w:uiPriority w:val="0"/>
    <w:rPr>
      <w:rFonts w:ascii="Arial" w:hAnsi="Arial" w:eastAsia="Times New Roman"/>
      <w:b/>
      <w:kern w:val="2"/>
      <w:sz w:val="24"/>
      <w:szCs w:val="24"/>
      <w:lang w:val="zh-CN" w:eastAsia="zh-CN"/>
    </w:rPr>
  </w:style>
  <w:style w:type="character" w:customStyle="1" w:styleId="128">
    <w:name w:val="表内格式 Char"/>
    <w:link w:val="129"/>
    <w:autoRedefine/>
    <w:qFormat/>
    <w:uiPriority w:val="0"/>
    <w:rPr>
      <w:rFonts w:ascii="宋体" w:hAnsi="宋体"/>
      <w:kern w:val="2"/>
      <w:sz w:val="21"/>
    </w:rPr>
  </w:style>
  <w:style w:type="paragraph" w:customStyle="1" w:styleId="129">
    <w:name w:val="表内格式"/>
    <w:basedOn w:val="1"/>
    <w:link w:val="128"/>
    <w:autoRedefine/>
    <w:qFormat/>
    <w:uiPriority w:val="0"/>
    <w:pPr>
      <w:spacing w:line="240" w:lineRule="exact"/>
      <w:jc w:val="center"/>
    </w:pPr>
    <w:rPr>
      <w:rFonts w:ascii="宋体" w:hAnsi="宋体"/>
      <w:szCs w:val="20"/>
    </w:rPr>
  </w:style>
  <w:style w:type="paragraph" w:customStyle="1" w:styleId="130">
    <w:name w:val="xl26"/>
    <w:basedOn w:val="1"/>
    <w:link w:val="13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lang w:val="zh-CN"/>
    </w:rPr>
  </w:style>
  <w:style w:type="character" w:customStyle="1" w:styleId="131">
    <w:name w:val="xl26 Char"/>
    <w:link w:val="130"/>
    <w:autoRedefine/>
    <w:qFormat/>
    <w:uiPriority w:val="0"/>
    <w:rPr>
      <w:rFonts w:ascii="宋体" w:hAnsi="宋体"/>
      <w:sz w:val="21"/>
      <w:szCs w:val="21"/>
      <w:lang w:val="zh-CN" w:eastAsia="zh-CN"/>
    </w:rPr>
  </w:style>
  <w:style w:type="character" w:customStyle="1" w:styleId="132">
    <w:name w:val="标题 4 字符"/>
    <w:link w:val="6"/>
    <w:autoRedefine/>
    <w:semiHidden/>
    <w:qFormat/>
    <w:uiPriority w:val="0"/>
    <w:rPr>
      <w:rFonts w:ascii="等线 Light" w:hAnsi="等线 Light" w:eastAsia="等线 Light" w:cs="Times New Roman"/>
      <w:b/>
      <w:bCs/>
      <w:kern w:val="2"/>
      <w:sz w:val="28"/>
      <w:szCs w:val="28"/>
    </w:rPr>
  </w:style>
  <w:style w:type="character" w:customStyle="1" w:styleId="133">
    <w:name w:val="正文缩进 字符"/>
    <w:link w:val="21"/>
    <w:autoRedefine/>
    <w:qFormat/>
    <w:uiPriority w:val="99"/>
    <w:rPr>
      <w:kern w:val="2"/>
      <w:sz w:val="21"/>
      <w:szCs w:val="24"/>
    </w:rPr>
  </w:style>
  <w:style w:type="character" w:customStyle="1" w:styleId="134">
    <w:name w:val="表格中 Char"/>
    <w:link w:val="135"/>
    <w:autoRedefine/>
    <w:qFormat/>
    <w:uiPriority w:val="0"/>
    <w:rPr>
      <w:rFonts w:ascii="Arial" w:hAnsi="Arial"/>
      <w:kern w:val="2"/>
      <w:sz w:val="21"/>
      <w:szCs w:val="21"/>
    </w:rPr>
  </w:style>
  <w:style w:type="paragraph" w:customStyle="1" w:styleId="135">
    <w:name w:val="表格中"/>
    <w:basedOn w:val="1"/>
    <w:next w:val="1"/>
    <w:link w:val="134"/>
    <w:autoRedefine/>
    <w:qFormat/>
    <w:uiPriority w:val="0"/>
    <w:pPr>
      <w:widowControl/>
      <w:spacing w:line="360" w:lineRule="exact"/>
      <w:jc w:val="center"/>
    </w:pPr>
    <w:rPr>
      <w:rFonts w:ascii="Arial" w:hAnsi="Arial"/>
      <w:szCs w:val="21"/>
    </w:rPr>
  </w:style>
  <w:style w:type="paragraph" w:customStyle="1" w:styleId="136">
    <w:name w:val="表格正文"/>
    <w:basedOn w:val="1"/>
    <w:link w:val="137"/>
    <w:autoRedefine/>
    <w:qFormat/>
    <w:uiPriority w:val="0"/>
    <w:pPr>
      <w:spacing w:line="360" w:lineRule="exact"/>
      <w:jc w:val="center"/>
    </w:pPr>
    <w:rPr>
      <w:lang w:val="zh-CN"/>
    </w:rPr>
  </w:style>
  <w:style w:type="character" w:customStyle="1" w:styleId="137">
    <w:name w:val="表格正文 Char"/>
    <w:link w:val="136"/>
    <w:autoRedefine/>
    <w:qFormat/>
    <w:uiPriority w:val="0"/>
    <w:rPr>
      <w:kern w:val="2"/>
      <w:sz w:val="21"/>
      <w:szCs w:val="24"/>
      <w:lang w:val="zh-CN" w:eastAsia="zh-CN"/>
    </w:rPr>
  </w:style>
  <w:style w:type="character" w:customStyle="1" w:styleId="138">
    <w:name w:val="报告表正文 Char"/>
    <w:link w:val="139"/>
    <w:autoRedefine/>
    <w:qFormat/>
    <w:uiPriority w:val="0"/>
    <w:rPr>
      <w:rFonts w:eastAsia="楷体_GB2312"/>
      <w:kern w:val="2"/>
      <w:sz w:val="24"/>
      <w:szCs w:val="24"/>
    </w:rPr>
  </w:style>
  <w:style w:type="paragraph" w:customStyle="1" w:styleId="139">
    <w:name w:val="报告表正文"/>
    <w:basedOn w:val="1"/>
    <w:link w:val="138"/>
    <w:autoRedefine/>
    <w:qFormat/>
    <w:uiPriority w:val="0"/>
    <w:pPr>
      <w:spacing w:line="360" w:lineRule="auto"/>
      <w:ind w:firstLine="200" w:firstLineChars="200"/>
    </w:pPr>
    <w:rPr>
      <w:rFonts w:eastAsia="楷体_GB2312"/>
      <w:sz w:val="24"/>
    </w:rPr>
  </w:style>
  <w:style w:type="paragraph" w:customStyle="1" w:styleId="140">
    <w:name w:val="Char Char Char Char"/>
    <w:basedOn w:val="1"/>
    <w:autoRedefine/>
    <w:qFormat/>
    <w:uiPriority w:val="0"/>
    <w:pPr>
      <w:spacing w:line="360" w:lineRule="auto"/>
      <w:ind w:firstLine="200" w:firstLineChars="200"/>
    </w:pPr>
    <w:rPr>
      <w:rFonts w:ascii="宋体" w:hAnsi="宋体" w:cs="宋体"/>
      <w:sz w:val="24"/>
    </w:rPr>
  </w:style>
  <w:style w:type="character" w:customStyle="1" w:styleId="141">
    <w:name w:val="正文缩进 Char1"/>
    <w:autoRedefine/>
    <w:qFormat/>
    <w:uiPriority w:val="0"/>
    <w:rPr>
      <w:rFonts w:eastAsia="宋体"/>
      <w:kern w:val="2"/>
      <w:sz w:val="21"/>
      <w:szCs w:val="24"/>
      <w:lang w:val="en-US" w:eastAsia="zh-CN" w:bidi="ar-SA"/>
    </w:rPr>
  </w:style>
  <w:style w:type="character" w:customStyle="1" w:styleId="142">
    <w:name w:val="HTML 地址 字符"/>
    <w:link w:val="42"/>
    <w:autoRedefine/>
    <w:qFormat/>
    <w:uiPriority w:val="0"/>
    <w:rPr>
      <w:i/>
      <w:iCs/>
      <w:kern w:val="2"/>
      <w:sz w:val="21"/>
      <w:szCs w:val="24"/>
    </w:rPr>
  </w:style>
  <w:style w:type="character" w:customStyle="1" w:styleId="143">
    <w:name w:val="HTML 预设格式 字符"/>
    <w:link w:val="81"/>
    <w:autoRedefine/>
    <w:qFormat/>
    <w:uiPriority w:val="0"/>
    <w:rPr>
      <w:rFonts w:ascii="Courier New" w:hAnsi="Courier New" w:cs="Courier New"/>
      <w:kern w:val="2"/>
    </w:rPr>
  </w:style>
  <w:style w:type="character" w:customStyle="1" w:styleId="144">
    <w:name w:val="标题 字符"/>
    <w:link w:val="85"/>
    <w:autoRedefine/>
    <w:qFormat/>
    <w:uiPriority w:val="0"/>
    <w:rPr>
      <w:rFonts w:ascii="等线 Light" w:hAnsi="等线 Light" w:cs="Times New Roman"/>
      <w:b/>
      <w:bCs/>
      <w:kern w:val="2"/>
      <w:sz w:val="32"/>
      <w:szCs w:val="32"/>
    </w:rPr>
  </w:style>
  <w:style w:type="character" w:customStyle="1" w:styleId="145">
    <w:name w:val="标题 2 字符"/>
    <w:link w:val="4"/>
    <w:autoRedefine/>
    <w:semiHidden/>
    <w:qFormat/>
    <w:uiPriority w:val="0"/>
    <w:rPr>
      <w:rFonts w:ascii="等线 Light" w:hAnsi="等线 Light" w:eastAsia="等线 Light" w:cs="Times New Roman"/>
      <w:b/>
      <w:bCs/>
      <w:kern w:val="2"/>
      <w:sz w:val="32"/>
      <w:szCs w:val="32"/>
    </w:rPr>
  </w:style>
  <w:style w:type="character" w:customStyle="1" w:styleId="146">
    <w:name w:val="标题 3 字符"/>
    <w:link w:val="5"/>
    <w:autoRedefine/>
    <w:semiHidden/>
    <w:qFormat/>
    <w:uiPriority w:val="0"/>
    <w:rPr>
      <w:b/>
      <w:bCs/>
      <w:kern w:val="2"/>
      <w:sz w:val="32"/>
      <w:szCs w:val="32"/>
    </w:rPr>
  </w:style>
  <w:style w:type="character" w:customStyle="1" w:styleId="147">
    <w:name w:val="标题 5 字符"/>
    <w:link w:val="7"/>
    <w:autoRedefine/>
    <w:semiHidden/>
    <w:qFormat/>
    <w:uiPriority w:val="0"/>
    <w:rPr>
      <w:b/>
      <w:bCs/>
      <w:kern w:val="2"/>
      <w:sz w:val="28"/>
      <w:szCs w:val="28"/>
    </w:rPr>
  </w:style>
  <w:style w:type="character" w:customStyle="1" w:styleId="148">
    <w:name w:val="标题 6 字符"/>
    <w:link w:val="8"/>
    <w:autoRedefine/>
    <w:semiHidden/>
    <w:qFormat/>
    <w:uiPriority w:val="0"/>
    <w:rPr>
      <w:rFonts w:ascii="等线 Light" w:hAnsi="等线 Light" w:eastAsia="等线 Light" w:cs="Times New Roman"/>
      <w:b/>
      <w:bCs/>
      <w:kern w:val="2"/>
      <w:sz w:val="24"/>
      <w:szCs w:val="24"/>
    </w:rPr>
  </w:style>
  <w:style w:type="character" w:customStyle="1" w:styleId="149">
    <w:name w:val="标题 7 字符"/>
    <w:link w:val="9"/>
    <w:autoRedefine/>
    <w:semiHidden/>
    <w:qFormat/>
    <w:uiPriority w:val="0"/>
    <w:rPr>
      <w:b/>
      <w:bCs/>
      <w:kern w:val="2"/>
      <w:sz w:val="24"/>
      <w:szCs w:val="24"/>
    </w:rPr>
  </w:style>
  <w:style w:type="character" w:customStyle="1" w:styleId="150">
    <w:name w:val="标题 8 字符"/>
    <w:link w:val="10"/>
    <w:autoRedefine/>
    <w:semiHidden/>
    <w:qFormat/>
    <w:uiPriority w:val="0"/>
    <w:rPr>
      <w:rFonts w:ascii="等线 Light" w:hAnsi="等线 Light" w:eastAsia="等线 Light" w:cs="Times New Roman"/>
      <w:kern w:val="2"/>
      <w:sz w:val="24"/>
      <w:szCs w:val="24"/>
    </w:rPr>
  </w:style>
  <w:style w:type="character" w:customStyle="1" w:styleId="151">
    <w:name w:val="标题 9 字符"/>
    <w:link w:val="11"/>
    <w:autoRedefine/>
    <w:semiHidden/>
    <w:qFormat/>
    <w:uiPriority w:val="0"/>
    <w:rPr>
      <w:rFonts w:ascii="等线 Light" w:hAnsi="等线 Light" w:eastAsia="等线 Light" w:cs="Times New Roman"/>
      <w:kern w:val="2"/>
      <w:sz w:val="21"/>
      <w:szCs w:val="21"/>
    </w:rPr>
  </w:style>
  <w:style w:type="character" w:customStyle="1" w:styleId="152">
    <w:name w:val="称呼 字符"/>
    <w:link w:val="31"/>
    <w:autoRedefine/>
    <w:qFormat/>
    <w:uiPriority w:val="0"/>
    <w:rPr>
      <w:kern w:val="2"/>
      <w:sz w:val="21"/>
      <w:szCs w:val="24"/>
    </w:rPr>
  </w:style>
  <w:style w:type="character" w:customStyle="1" w:styleId="153">
    <w:name w:val="纯文本 字符"/>
    <w:link w:val="46"/>
    <w:autoRedefine/>
    <w:qFormat/>
    <w:uiPriority w:val="0"/>
    <w:rPr>
      <w:rFonts w:ascii="宋体" w:hAnsi="Courier New" w:cs="Courier New"/>
      <w:kern w:val="2"/>
      <w:sz w:val="21"/>
      <w:szCs w:val="21"/>
    </w:rPr>
  </w:style>
  <w:style w:type="character" w:customStyle="1" w:styleId="154">
    <w:name w:val="电子邮件签名 字符"/>
    <w:link w:val="19"/>
    <w:autoRedefine/>
    <w:qFormat/>
    <w:uiPriority w:val="0"/>
    <w:rPr>
      <w:kern w:val="2"/>
      <w:sz w:val="21"/>
      <w:szCs w:val="24"/>
    </w:rPr>
  </w:style>
  <w:style w:type="character" w:customStyle="1" w:styleId="155">
    <w:name w:val="副标题 字符"/>
    <w:link w:val="65"/>
    <w:autoRedefine/>
    <w:qFormat/>
    <w:uiPriority w:val="0"/>
    <w:rPr>
      <w:rFonts w:ascii="等线 Light" w:hAnsi="等线 Light" w:cs="Times New Roman"/>
      <w:b/>
      <w:bCs/>
      <w:kern w:val="28"/>
      <w:sz w:val="32"/>
      <w:szCs w:val="32"/>
    </w:rPr>
  </w:style>
  <w:style w:type="character" w:customStyle="1" w:styleId="156">
    <w:name w:val="宏文本 字符"/>
    <w:link w:val="2"/>
    <w:autoRedefine/>
    <w:qFormat/>
    <w:uiPriority w:val="0"/>
    <w:rPr>
      <w:rFonts w:ascii="Courier New" w:hAnsi="Courier New" w:cs="Courier New"/>
      <w:kern w:val="2"/>
      <w:sz w:val="24"/>
      <w:szCs w:val="24"/>
    </w:rPr>
  </w:style>
  <w:style w:type="character" w:customStyle="1" w:styleId="157">
    <w:name w:val="脚注文本 字符"/>
    <w:link w:val="68"/>
    <w:autoRedefine/>
    <w:qFormat/>
    <w:uiPriority w:val="0"/>
    <w:rPr>
      <w:kern w:val="2"/>
      <w:sz w:val="18"/>
      <w:szCs w:val="18"/>
    </w:rPr>
  </w:style>
  <w:style w:type="character" w:customStyle="1" w:styleId="158">
    <w:name w:val="结束语 字符"/>
    <w:link w:val="33"/>
    <w:autoRedefine/>
    <w:qFormat/>
    <w:uiPriority w:val="0"/>
    <w:rPr>
      <w:kern w:val="2"/>
      <w:sz w:val="21"/>
      <w:szCs w:val="24"/>
    </w:rPr>
  </w:style>
  <w:style w:type="paragraph" w:styleId="159">
    <w:name w:val="List Paragraph"/>
    <w:basedOn w:val="1"/>
    <w:autoRedefine/>
    <w:qFormat/>
    <w:uiPriority w:val="34"/>
    <w:pPr>
      <w:ind w:firstLine="420" w:firstLineChars="200"/>
    </w:pPr>
  </w:style>
  <w:style w:type="paragraph" w:styleId="160">
    <w:name w:val="Intense Quote"/>
    <w:basedOn w:val="1"/>
    <w:next w:val="1"/>
    <w:link w:val="161"/>
    <w:autoRedefine/>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61">
    <w:name w:val="明显引用 字符"/>
    <w:link w:val="160"/>
    <w:autoRedefine/>
    <w:qFormat/>
    <w:uiPriority w:val="30"/>
    <w:rPr>
      <w:i/>
      <w:iCs/>
      <w:color w:val="4472C4"/>
      <w:kern w:val="2"/>
      <w:sz w:val="21"/>
      <w:szCs w:val="24"/>
    </w:rPr>
  </w:style>
  <w:style w:type="character" w:customStyle="1" w:styleId="162">
    <w:name w:val="签名 字符"/>
    <w:link w:val="60"/>
    <w:autoRedefine/>
    <w:qFormat/>
    <w:uiPriority w:val="0"/>
    <w:rPr>
      <w:kern w:val="2"/>
      <w:sz w:val="21"/>
      <w:szCs w:val="24"/>
    </w:rPr>
  </w:style>
  <w:style w:type="paragraph" w:customStyle="1" w:styleId="163">
    <w:name w:val="书目1"/>
    <w:basedOn w:val="1"/>
    <w:next w:val="1"/>
    <w:autoRedefine/>
    <w:semiHidden/>
    <w:unhideWhenUsed/>
    <w:qFormat/>
    <w:uiPriority w:val="37"/>
  </w:style>
  <w:style w:type="character" w:customStyle="1" w:styleId="164">
    <w:name w:val="尾注文本 字符"/>
    <w:link w:val="54"/>
    <w:autoRedefine/>
    <w:qFormat/>
    <w:uiPriority w:val="0"/>
    <w:rPr>
      <w:kern w:val="2"/>
      <w:sz w:val="21"/>
      <w:szCs w:val="24"/>
    </w:rPr>
  </w:style>
  <w:style w:type="character" w:customStyle="1" w:styleId="165">
    <w:name w:val="文档结构图 字符"/>
    <w:link w:val="27"/>
    <w:autoRedefine/>
    <w:qFormat/>
    <w:uiPriority w:val="0"/>
    <w:rPr>
      <w:rFonts w:ascii="Microsoft YaHei UI" w:eastAsia="Microsoft YaHei UI"/>
      <w:kern w:val="2"/>
      <w:sz w:val="18"/>
      <w:szCs w:val="18"/>
    </w:rPr>
  </w:style>
  <w:style w:type="paragraph" w:styleId="166">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67">
    <w:name w:val="信息标题 字符"/>
    <w:link w:val="80"/>
    <w:autoRedefine/>
    <w:qFormat/>
    <w:uiPriority w:val="0"/>
    <w:rPr>
      <w:rFonts w:ascii="等线 Light" w:hAnsi="等线 Light" w:eastAsia="等线 Light" w:cs="Times New Roman"/>
      <w:kern w:val="2"/>
      <w:sz w:val="24"/>
      <w:szCs w:val="24"/>
      <w:shd w:val="pct20" w:color="auto" w:fill="auto"/>
    </w:rPr>
  </w:style>
  <w:style w:type="paragraph" w:styleId="168">
    <w:name w:val="Quote"/>
    <w:basedOn w:val="1"/>
    <w:next w:val="1"/>
    <w:link w:val="169"/>
    <w:autoRedefine/>
    <w:qFormat/>
    <w:uiPriority w:val="29"/>
    <w:pPr>
      <w:spacing w:before="200" w:after="160"/>
      <w:ind w:left="864" w:right="864"/>
      <w:jc w:val="center"/>
    </w:pPr>
    <w:rPr>
      <w:i/>
      <w:iCs/>
      <w:color w:val="404040"/>
    </w:rPr>
  </w:style>
  <w:style w:type="character" w:customStyle="1" w:styleId="169">
    <w:name w:val="引用 字符"/>
    <w:link w:val="168"/>
    <w:autoRedefine/>
    <w:qFormat/>
    <w:uiPriority w:val="29"/>
    <w:rPr>
      <w:i/>
      <w:iCs/>
      <w:color w:val="404040"/>
      <w:kern w:val="2"/>
      <w:sz w:val="21"/>
      <w:szCs w:val="24"/>
    </w:rPr>
  </w:style>
  <w:style w:type="character" w:customStyle="1" w:styleId="170">
    <w:name w:val="正文文本 2 字符"/>
    <w:link w:val="77"/>
    <w:autoRedefine/>
    <w:qFormat/>
    <w:uiPriority w:val="0"/>
    <w:rPr>
      <w:kern w:val="2"/>
      <w:sz w:val="21"/>
      <w:szCs w:val="24"/>
    </w:rPr>
  </w:style>
  <w:style w:type="character" w:customStyle="1" w:styleId="171">
    <w:name w:val="正文文本 3 字符"/>
    <w:link w:val="32"/>
    <w:autoRedefine/>
    <w:qFormat/>
    <w:uiPriority w:val="0"/>
    <w:rPr>
      <w:kern w:val="2"/>
      <w:sz w:val="16"/>
      <w:szCs w:val="16"/>
    </w:rPr>
  </w:style>
  <w:style w:type="character" w:customStyle="1" w:styleId="172">
    <w:name w:val="正文文本首行缩进 字符"/>
    <w:link w:val="87"/>
    <w:autoRedefine/>
    <w:qFormat/>
    <w:uiPriority w:val="0"/>
    <w:rPr>
      <w:kern w:val="2"/>
      <w:sz w:val="21"/>
      <w:szCs w:val="24"/>
    </w:rPr>
  </w:style>
  <w:style w:type="character" w:customStyle="1" w:styleId="173">
    <w:name w:val="正文文本首行缩进 2 字符"/>
    <w:link w:val="22"/>
    <w:autoRedefine/>
    <w:qFormat/>
    <w:uiPriority w:val="0"/>
    <w:rPr>
      <w:rFonts w:ascii="Times New Roman" w:hAnsi="Times New Roman" w:eastAsia="宋体"/>
      <w:kern w:val="2"/>
      <w:sz w:val="21"/>
      <w:szCs w:val="24"/>
    </w:rPr>
  </w:style>
  <w:style w:type="character" w:customStyle="1" w:styleId="174">
    <w:name w:val="正文文本缩进 3 字符"/>
    <w:link w:val="71"/>
    <w:autoRedefine/>
    <w:qFormat/>
    <w:uiPriority w:val="0"/>
    <w:rPr>
      <w:kern w:val="2"/>
      <w:sz w:val="16"/>
      <w:szCs w:val="16"/>
    </w:rPr>
  </w:style>
  <w:style w:type="character" w:customStyle="1" w:styleId="175">
    <w:name w:val="注释标题 字符"/>
    <w:link w:val="16"/>
    <w:autoRedefine/>
    <w:qFormat/>
    <w:uiPriority w:val="0"/>
    <w:rPr>
      <w:kern w:val="2"/>
      <w:sz w:val="21"/>
      <w:szCs w:val="24"/>
    </w:rPr>
  </w:style>
  <w:style w:type="paragraph" w:customStyle="1" w:styleId="176">
    <w:name w:val="标题 21"/>
    <w:basedOn w:val="1"/>
    <w:autoRedefine/>
    <w:qFormat/>
    <w:uiPriority w:val="0"/>
    <w:pPr>
      <w:spacing w:before="29"/>
      <w:ind w:left="208"/>
      <w:jc w:val="left"/>
      <w:outlineLvl w:val="2"/>
    </w:pPr>
    <w:rPr>
      <w:rFonts w:hint="eastAsia" w:hAnsi="宋体" w:eastAsia="黑体"/>
      <w:b/>
      <w:bCs/>
      <w:sz w:val="24"/>
    </w:rPr>
  </w:style>
  <w:style w:type="paragraph" w:customStyle="1" w:styleId="177">
    <w:name w:val="WPSOffice手动目录 1"/>
    <w:autoRedefine/>
    <w:qFormat/>
    <w:uiPriority w:val="0"/>
    <w:rPr>
      <w:rFonts w:ascii="Times New Roman" w:hAnsi="Times New Roman" w:eastAsia="宋体" w:cs="Times New Roman"/>
      <w:lang w:val="en-US" w:eastAsia="zh-CN" w:bidi="ar-SA"/>
    </w:rPr>
  </w:style>
  <w:style w:type="paragraph" w:customStyle="1" w:styleId="178">
    <w:name w:val="Table Paragraph"/>
    <w:basedOn w:val="1"/>
    <w:autoRedefine/>
    <w:qFormat/>
    <w:uiPriority w:val="1"/>
    <w:rPr>
      <w:rFonts w:ascii="宋体" w:hAnsi="宋体" w:cs="宋体"/>
      <w:lang w:val="zh-CN" w:bidi="zh-CN"/>
    </w:rPr>
  </w:style>
  <w:style w:type="paragraph" w:customStyle="1" w:styleId="179">
    <w:name w:val="p0"/>
    <w:autoRedefine/>
    <w:qFormat/>
    <w:uiPriority w:val="0"/>
    <w:pPr>
      <w:snapToGrid w:val="0"/>
      <w:spacing w:after="200"/>
    </w:pPr>
    <w:rPr>
      <w:rFonts w:ascii="Tahoma" w:hAnsi="Tahoma" w:eastAsia="宋体" w:cs="Tahoma"/>
      <w:sz w:val="22"/>
      <w:szCs w:val="22"/>
      <w:lang w:val="en-US" w:eastAsia="zh-CN" w:bidi="ar-SA"/>
    </w:rPr>
  </w:style>
  <w:style w:type="character" w:customStyle="1" w:styleId="180">
    <w:name w:val="fontstyle01"/>
    <w:autoRedefine/>
    <w:qFormat/>
    <w:uiPriority w:val="0"/>
    <w:rPr>
      <w:rFonts w:hint="eastAsia" w:ascii="宋体" w:hAnsi="宋体" w:eastAsia="宋体"/>
      <w:color w:val="000000"/>
      <w:sz w:val="24"/>
      <w:szCs w:val="24"/>
    </w:rPr>
  </w:style>
  <w:style w:type="character" w:customStyle="1" w:styleId="181">
    <w:name w:val="fontstyle21"/>
    <w:autoRedefine/>
    <w:qFormat/>
    <w:uiPriority w:val="0"/>
    <w:rPr>
      <w:rFonts w:hint="default" w:ascii="Times New Roman" w:hAnsi="Times New Roman" w:cs="Times New Roman"/>
      <w:color w:val="000000"/>
      <w:sz w:val="24"/>
      <w:szCs w:val="24"/>
    </w:rPr>
  </w:style>
  <w:style w:type="paragraph" w:customStyle="1" w:styleId="182">
    <w:name w:val="样式26"/>
    <w:autoRedefine/>
    <w:qFormat/>
    <w:uiPriority w:val="0"/>
    <w:pPr>
      <w:keepNext/>
      <w:keepLines/>
      <w:widowControl w:val="0"/>
      <w:numPr>
        <w:ilvl w:val="3"/>
        <w:numId w:val="11"/>
      </w:numPr>
      <w:tabs>
        <w:tab w:val="left" w:pos="2774"/>
      </w:tabs>
      <w:spacing w:before="120"/>
      <w:jc w:val="center"/>
      <w:outlineLvl w:val="3"/>
    </w:pPr>
    <w:rPr>
      <w:rFonts w:ascii="Arial" w:hAnsi="Arial" w:eastAsia="仿宋_GB2312" w:cs="Times New Roman"/>
      <w:b/>
      <w:kern w:val="2"/>
      <w:sz w:val="24"/>
      <w:lang w:val="en-US" w:eastAsia="zh-CN" w:bidi="ar-SA"/>
    </w:rPr>
  </w:style>
  <w:style w:type="paragraph" w:customStyle="1" w:styleId="183">
    <w:name w:val="Other|1"/>
    <w:basedOn w:val="1"/>
    <w:autoRedefine/>
    <w:qFormat/>
    <w:uiPriority w:val="0"/>
    <w:rPr>
      <w:b/>
      <w:bCs/>
      <w:sz w:val="19"/>
      <w:szCs w:val="19"/>
    </w:rPr>
  </w:style>
  <w:style w:type="table" w:customStyle="1" w:styleId="184">
    <w:name w:val="Table Normal"/>
    <w:autoRedefine/>
    <w:semiHidden/>
    <w:unhideWhenUsed/>
    <w:qFormat/>
    <w:uiPriority w:val="0"/>
    <w:tblPr>
      <w:tblCellMar>
        <w:top w:w="0" w:type="dxa"/>
        <w:left w:w="0" w:type="dxa"/>
        <w:bottom w:w="0" w:type="dxa"/>
        <w:right w:w="0" w:type="dxa"/>
      </w:tblCellMar>
    </w:tblPr>
  </w:style>
  <w:style w:type="paragraph" w:customStyle="1" w:styleId="185">
    <w:name w:val="Table Text"/>
    <w:basedOn w:val="1"/>
    <w:autoRedefine/>
    <w:semiHidden/>
    <w:qFormat/>
    <w:uiPriority w:val="0"/>
    <w:rPr>
      <w:rFonts w:eastAsia="Times New Roman"/>
      <w:szCs w:val="21"/>
      <w:lang w:eastAsia="en-US"/>
    </w:rPr>
  </w:style>
  <w:style w:type="character" w:customStyle="1" w:styleId="186">
    <w:name w:val="font11"/>
    <w:basedOn w:val="91"/>
    <w:autoRedefine/>
    <w:qFormat/>
    <w:uiPriority w:val="0"/>
    <w:rPr>
      <w:rFonts w:hint="eastAsia" w:ascii="宋体" w:hAnsi="宋体" w:eastAsia="宋体" w:cs="宋体"/>
      <w:color w:val="000000"/>
      <w:sz w:val="21"/>
      <w:szCs w:val="21"/>
      <w:u w:val="none"/>
    </w:rPr>
  </w:style>
  <w:style w:type="character" w:customStyle="1" w:styleId="187">
    <w:name w:val="font21"/>
    <w:basedOn w:val="91"/>
    <w:autoRedefine/>
    <w:qFormat/>
    <w:uiPriority w:val="0"/>
    <w:rPr>
      <w:rFonts w:ascii="Calibri" w:hAnsi="Calibri" w:cs="Calibri"/>
      <w:color w:val="000000"/>
      <w:sz w:val="21"/>
      <w:szCs w:val="21"/>
      <w:u w:val="none"/>
    </w:rPr>
  </w:style>
  <w:style w:type="character" w:customStyle="1" w:styleId="188">
    <w:name w:val="font31"/>
    <w:basedOn w:val="91"/>
    <w:autoRedefine/>
    <w:qFormat/>
    <w:uiPriority w:val="0"/>
    <w:rPr>
      <w:rFonts w:hint="default" w:ascii="Times New Roman" w:hAnsi="Times New Roman" w:cs="Times New Roman"/>
      <w:color w:val="000000"/>
      <w:sz w:val="21"/>
      <w:szCs w:val="21"/>
      <w:u w:val="none"/>
      <w:vertAlign w:val="superscript"/>
    </w:rPr>
  </w:style>
  <w:style w:type="character" w:customStyle="1" w:styleId="189">
    <w:name w:val="font01"/>
    <w:basedOn w:val="91"/>
    <w:autoRedefine/>
    <w:qFormat/>
    <w:uiPriority w:val="0"/>
    <w:rPr>
      <w:rFonts w:hint="eastAsia" w:ascii="宋体" w:hAnsi="宋体" w:eastAsia="宋体" w:cs="宋体"/>
      <w:color w:val="000000"/>
      <w:sz w:val="22"/>
      <w:szCs w:val="22"/>
      <w:u w:val="none"/>
    </w:rPr>
  </w:style>
  <w:style w:type="character" w:customStyle="1" w:styleId="190">
    <w:name w:val="font41"/>
    <w:basedOn w:val="91"/>
    <w:autoRedefine/>
    <w:qFormat/>
    <w:uiPriority w:val="0"/>
    <w:rPr>
      <w:rFonts w:hint="default" w:ascii="Calibri" w:hAnsi="Calibri" w:cs="Calibri"/>
      <w:color w:val="000000"/>
      <w:sz w:val="21"/>
      <w:szCs w:val="21"/>
      <w:u w:val="none"/>
    </w:rPr>
  </w:style>
  <w:style w:type="paragraph" w:customStyle="1" w:styleId="191">
    <w:name w:val="@@@@@"/>
    <w:basedOn w:val="46"/>
    <w:qFormat/>
    <w:uiPriority w:val="0"/>
    <w:pPr>
      <w:widowControl/>
      <w:adjustRightInd w:val="0"/>
      <w:snapToGrid w:val="0"/>
      <w:ind w:left="-16" w:leftChars="-51" w:right="-143" w:rightChars="-68" w:hanging="91" w:hangingChars="38"/>
      <w:jc w:val="center"/>
    </w:pPr>
    <w:rPr>
      <w:rFonts w:hAnsi="宋体" w:cs="Times New Roman"/>
      <w:sz w:val="24"/>
      <w:szCs w:val="20"/>
      <w:lang w:val="zh-CN"/>
    </w:rPr>
  </w:style>
  <w:style w:type="paragraph" w:customStyle="1" w:styleId="192">
    <w:name w:val="样式5"/>
    <w:basedOn w:val="1"/>
    <w:qFormat/>
    <w:uiPriority w:val="0"/>
    <w:pPr>
      <w:spacing w:line="360" w:lineRule="auto"/>
    </w:pPr>
    <w:rPr>
      <w:rFonts w:ascii="Arial" w:hAnsi="Arial"/>
      <w:b/>
      <w:sz w:val="24"/>
      <w:szCs w:val="20"/>
      <w:lang w:val="en-GB"/>
    </w:rPr>
  </w:style>
  <w:style w:type="paragraph" w:customStyle="1" w:styleId="193">
    <w:name w:val="样式 表格样式1 + (西文) Arial (中文) 宋体 自动设置 两端对齐 行距: 单倍行距"/>
    <w:basedOn w:val="1"/>
    <w:qFormat/>
    <w:uiPriority w:val="0"/>
    <w:rPr>
      <w:rFonts w:ascii="Arial" w:hAnsi="Arial" w:cs="宋体"/>
      <w:sz w:val="24"/>
    </w:rPr>
  </w:style>
  <w:style w:type="paragraph" w:customStyle="1" w:styleId="194">
    <w:name w:val="正文1"/>
    <w:qFormat/>
    <w:uiPriority w:val="0"/>
    <w:pPr>
      <w:jc w:val="both"/>
    </w:pPr>
    <w:rPr>
      <w:rFonts w:ascii="Calibri" w:hAnsi="Calibri" w:eastAsia="宋体" w:cs="宋体"/>
      <w:kern w:val="2"/>
      <w:sz w:val="21"/>
      <w:szCs w:val="21"/>
      <w:lang w:val="en-US" w:eastAsia="zh-CN" w:bidi="ar-SA"/>
    </w:rPr>
  </w:style>
  <w:style w:type="paragraph" w:customStyle="1" w:styleId="195">
    <w:name w:val="正文11"/>
    <w:basedOn w:val="1"/>
    <w:qFormat/>
    <w:uiPriority w:val="0"/>
    <w:pPr>
      <w:adjustRightInd w:val="0"/>
      <w:snapToGrid w:val="0"/>
      <w:spacing w:line="500" w:lineRule="atLeast"/>
      <w:ind w:firstLine="567"/>
    </w:pPr>
    <w:rPr>
      <w:sz w:val="28"/>
      <w:szCs w:val="20"/>
    </w:rPr>
  </w:style>
  <w:style w:type="paragraph" w:customStyle="1" w:styleId="196">
    <w:name w:val="环评正文1"/>
    <w:basedOn w:val="197"/>
    <w:qFormat/>
    <w:uiPriority w:val="0"/>
    <w:pPr>
      <w:spacing w:line="500" w:lineRule="exact"/>
      <w:ind w:firstLine="472" w:firstLineChars="200"/>
    </w:pPr>
    <w:rPr>
      <w:rFonts w:hAnsi="宋体"/>
      <w:spacing w:val="-2"/>
      <w:sz w:val="24"/>
      <w:szCs w:val="24"/>
    </w:rPr>
  </w:style>
  <w:style w:type="paragraph" w:customStyle="1" w:styleId="197">
    <w:name w:val="正文2"/>
    <w:basedOn w:val="1"/>
    <w:qFormat/>
    <w:uiPriority w:val="0"/>
    <w:pPr>
      <w:adjustRightInd w:val="0"/>
      <w:snapToGrid w:val="0"/>
      <w:jc w:val="center"/>
    </w:pPr>
    <w:rPr>
      <w:sz w:val="16"/>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2.bin"/><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85</Pages>
  <Words>25679</Words>
  <Characters>26747</Characters>
  <Lines>3834</Lines>
  <Paragraphs>3423</Paragraphs>
  <TotalTime>9</TotalTime>
  <ScaleCrop>false</ScaleCrop>
  <LinksUpToDate>false</LinksUpToDate>
  <CharactersWithSpaces>26785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2021-08-04T08:54:00Z</dcterms:created>
  <dc:creator>lhj</dc:creator>
  <cp:lastModifiedBy>好的迹像不是噶</cp:lastModifiedBy>
  <cp:lastPrinted>2025-05-15T01:56:00Z</cp:lastPrinted>
  <dcterms:modified xsi:type="dcterms:W3CDTF">2026-05-19T01:55:03Z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F033482C4E9B4113814815A27AA8159F_13</vt:lpwstr>
  </property>
  <property fmtid="{D5CDD505-2E9C-101B-9397-08002B2CF9AE}" pid="4" name="KSOTemplateDocerSaveRecord">
    <vt:lpwstr>eyJoZGlkIjoiNjg4YmY5ZGY0ZTNkNzkyMGRhOGE5OTI2YWI1ZTBlYWYiLCJ1c2VySWQiOiI2NzE2NjA2MDEifQ==</vt:lpwstr>
  </property>
</Properties>
</file>