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B9BB5">
      <w:pPr>
        <w:rPr>
          <w:rFonts w:hint="default" w:ascii="Arial" w:hAnsi="Arial" w:eastAsia="宋体" w:cs="Arial"/>
        </w:rPr>
      </w:pPr>
      <w:r>
        <w:rPr>
          <w:rFonts w:hint="default" w:ascii="Arial" w:hAnsi="Arial" w:eastAsia="宋体" w:cs="Arial"/>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904240" cy="90424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904240" cy="904240"/>
                    </a:xfrm>
                    <a:prstGeom prst="rect">
                      <a:avLst/>
                    </a:prstGeom>
                    <a:noFill/>
                    <a:ln>
                      <a:noFill/>
                    </a:ln>
                  </pic:spPr>
                </pic:pic>
              </a:graphicData>
            </a:graphic>
          </wp:anchor>
        </w:drawing>
      </w:r>
      <w:r>
        <w:rPr>
          <w:rFonts w:hint="default" w:ascii="Arial" w:hAnsi="Arial" w:eastAsia="宋体" w:cs="Arial"/>
        </w:rPr>
        <w:br w:type="textWrapping" w:clear="all"/>
      </w:r>
    </w:p>
    <w:p w14:paraId="2EBA7B32">
      <w:pPr>
        <w:rPr>
          <w:rFonts w:hint="default" w:ascii="Arial" w:hAnsi="Arial" w:eastAsia="宋体" w:cs="Arial"/>
        </w:rPr>
      </w:pPr>
    </w:p>
    <w:p w14:paraId="0BDB90F6">
      <w:pPr>
        <w:rPr>
          <w:rFonts w:hint="default" w:ascii="Arial" w:hAnsi="Arial" w:eastAsia="宋体" w:cs="Arial"/>
        </w:rPr>
      </w:pPr>
    </w:p>
    <w:p w14:paraId="4C976675">
      <w:pPr>
        <w:spacing w:line="360" w:lineRule="auto"/>
        <w:jc w:val="center"/>
        <w:rPr>
          <w:rFonts w:hint="default" w:ascii="Arial" w:hAnsi="Arial" w:eastAsia="宋体" w:cs="Arial"/>
          <w:b/>
          <w:spacing w:val="40"/>
          <w:sz w:val="56"/>
          <w:szCs w:val="56"/>
        </w:rPr>
      </w:pPr>
      <w:r>
        <w:rPr>
          <w:rFonts w:hint="default" w:ascii="Arial" w:hAnsi="Arial" w:eastAsia="宋体" w:cs="Arial"/>
          <w:b/>
          <w:spacing w:val="40"/>
          <w:sz w:val="56"/>
          <w:szCs w:val="56"/>
        </w:rPr>
        <w:t>建设项目环境影响报告表</w:t>
      </w:r>
    </w:p>
    <w:p w14:paraId="41321140">
      <w:pPr>
        <w:spacing w:line="360" w:lineRule="auto"/>
        <w:jc w:val="center"/>
        <w:rPr>
          <w:rFonts w:hint="default" w:ascii="Arial" w:hAnsi="Arial" w:eastAsia="宋体" w:cs="Arial"/>
          <w:b/>
          <w:spacing w:val="40"/>
          <w:sz w:val="40"/>
          <w:szCs w:val="40"/>
        </w:rPr>
      </w:pPr>
      <w:r>
        <w:rPr>
          <w:rFonts w:hint="default" w:ascii="Arial" w:hAnsi="Arial" w:eastAsia="宋体" w:cs="Arial"/>
          <w:b/>
          <w:spacing w:val="40"/>
          <w:sz w:val="40"/>
          <w:szCs w:val="40"/>
        </w:rPr>
        <w:t>（污 染 影 响 类）</w:t>
      </w:r>
    </w:p>
    <w:p w14:paraId="29FFA014">
      <w:pPr>
        <w:jc w:val="center"/>
        <w:rPr>
          <w:rFonts w:hint="default" w:ascii="Arial" w:hAnsi="Arial" w:eastAsia="宋体" w:cs="Arial"/>
          <w:b/>
          <w:sz w:val="30"/>
          <w:szCs w:val="30"/>
        </w:rPr>
      </w:pPr>
    </w:p>
    <w:p w14:paraId="63442BAB">
      <w:pPr>
        <w:jc w:val="center"/>
        <w:rPr>
          <w:rFonts w:hint="default" w:ascii="Arial" w:hAnsi="Arial" w:eastAsia="宋体" w:cs="Arial"/>
          <w:b/>
          <w:sz w:val="30"/>
          <w:szCs w:val="30"/>
        </w:rPr>
      </w:pPr>
    </w:p>
    <w:tbl>
      <w:tblPr>
        <w:tblStyle w:val="52"/>
        <w:tblW w:w="8787" w:type="dxa"/>
        <w:jc w:val="center"/>
        <w:tblLayout w:type="fixed"/>
        <w:tblCellMar>
          <w:top w:w="0" w:type="dxa"/>
          <w:left w:w="108" w:type="dxa"/>
          <w:bottom w:w="0" w:type="dxa"/>
          <w:right w:w="108" w:type="dxa"/>
        </w:tblCellMar>
      </w:tblPr>
      <w:tblGrid>
        <w:gridCol w:w="2345"/>
        <w:gridCol w:w="6442"/>
      </w:tblGrid>
      <w:tr w14:paraId="727F730F">
        <w:tblPrEx>
          <w:tblCellMar>
            <w:top w:w="0" w:type="dxa"/>
            <w:left w:w="108" w:type="dxa"/>
            <w:bottom w:w="0" w:type="dxa"/>
            <w:right w:w="108" w:type="dxa"/>
          </w:tblCellMar>
        </w:tblPrEx>
        <w:trPr>
          <w:trHeight w:val="1562" w:hRule="atLeast"/>
          <w:jc w:val="center"/>
        </w:trPr>
        <w:tc>
          <w:tcPr>
            <w:tcW w:w="2345" w:type="dxa"/>
            <w:vAlign w:val="center"/>
          </w:tcPr>
          <w:p w14:paraId="48B5D7BC">
            <w:pPr>
              <w:keepNext w:val="0"/>
              <w:keepLines w:val="0"/>
              <w:suppressLineNumbers w:val="0"/>
              <w:spacing w:before="0" w:beforeAutospacing="0" w:after="0" w:afterAutospacing="0"/>
              <w:ind w:left="0" w:right="0"/>
              <w:jc w:val="left"/>
              <w:rPr>
                <w:rFonts w:hint="default" w:ascii="Arial" w:hAnsi="Arial" w:eastAsia="宋体" w:cs="Arial"/>
                <w:b/>
                <w:sz w:val="28"/>
                <w:szCs w:val="24"/>
              </w:rPr>
            </w:pPr>
            <w:r>
              <w:rPr>
                <w:rFonts w:hint="default" w:ascii="Arial" w:hAnsi="Arial" w:eastAsia="宋体" w:cs="Arial"/>
                <w:b/>
                <w:sz w:val="28"/>
                <w:szCs w:val="24"/>
              </w:rPr>
              <w:t>项目名称：</w:t>
            </w:r>
          </w:p>
        </w:tc>
        <w:tc>
          <w:tcPr>
            <w:tcW w:w="6442" w:type="dxa"/>
            <w:tcBorders>
              <w:bottom w:val="single" w:color="auto" w:sz="4" w:space="0"/>
            </w:tcBorders>
            <w:vAlign w:val="center"/>
          </w:tcPr>
          <w:p w14:paraId="615C77B0">
            <w:pPr>
              <w:keepNext w:val="0"/>
              <w:keepLines w:val="0"/>
              <w:suppressLineNumbers w:val="0"/>
              <w:spacing w:before="0" w:beforeAutospacing="0" w:after="0" w:afterAutospacing="0"/>
              <w:ind w:left="0" w:right="0"/>
              <w:jc w:val="center"/>
              <w:rPr>
                <w:rFonts w:hint="default" w:ascii="Arial" w:hAnsi="Arial" w:eastAsia="宋体" w:cs="Arial"/>
                <w:b/>
                <w:kern w:val="0"/>
                <w:sz w:val="28"/>
                <w:szCs w:val="24"/>
                <w:lang w:val="en-US" w:eastAsia="zh-CN"/>
              </w:rPr>
            </w:pPr>
            <w:r>
              <w:rPr>
                <w:rFonts w:hint="default" w:ascii="Arial" w:hAnsi="Arial" w:eastAsia="宋体" w:cs="Arial"/>
                <w:b/>
                <w:kern w:val="0"/>
                <w:sz w:val="28"/>
                <w:szCs w:val="24"/>
                <w:lang w:eastAsia="zh-CN"/>
              </w:rPr>
              <w:t>浙江海科汽车部件有限公司</w:t>
            </w:r>
            <w:r>
              <w:rPr>
                <w:rFonts w:hint="default" w:ascii="Arial" w:hAnsi="Arial" w:eastAsia="宋体" w:cs="Arial"/>
                <w:b/>
                <w:color w:val="000000" w:themeColor="text1"/>
                <w:kern w:val="0"/>
                <w:sz w:val="28"/>
                <w:szCs w:val="24"/>
                <w:lang w:eastAsia="zh-CN"/>
                <w14:textFill>
                  <w14:solidFill>
                    <w14:schemeClr w14:val="tx1"/>
                  </w14:solidFill>
                </w14:textFill>
              </w:rPr>
              <w:t>年产1000万只传动系统部件项目</w:t>
            </w:r>
          </w:p>
        </w:tc>
      </w:tr>
      <w:tr w14:paraId="704BDE9A">
        <w:tblPrEx>
          <w:tblCellMar>
            <w:top w:w="0" w:type="dxa"/>
            <w:left w:w="108" w:type="dxa"/>
            <w:bottom w:w="0" w:type="dxa"/>
            <w:right w:w="108" w:type="dxa"/>
          </w:tblCellMar>
        </w:tblPrEx>
        <w:trPr>
          <w:trHeight w:val="567" w:hRule="atLeast"/>
          <w:jc w:val="center"/>
        </w:trPr>
        <w:tc>
          <w:tcPr>
            <w:tcW w:w="2345" w:type="dxa"/>
            <w:vAlign w:val="center"/>
          </w:tcPr>
          <w:p w14:paraId="19DAA12B">
            <w:pPr>
              <w:keepNext w:val="0"/>
              <w:keepLines w:val="0"/>
              <w:suppressLineNumbers w:val="0"/>
              <w:spacing w:before="0" w:beforeAutospacing="0" w:after="0" w:afterAutospacing="0"/>
              <w:ind w:left="0" w:right="0"/>
              <w:jc w:val="left"/>
              <w:rPr>
                <w:rFonts w:hint="default" w:ascii="Arial" w:hAnsi="Arial" w:eastAsia="宋体" w:cs="Arial"/>
                <w:b/>
                <w:sz w:val="28"/>
                <w:szCs w:val="24"/>
              </w:rPr>
            </w:pPr>
            <w:r>
              <w:rPr>
                <w:rFonts w:hint="default" w:ascii="Arial" w:hAnsi="Arial" w:eastAsia="宋体" w:cs="Arial"/>
                <w:b/>
                <w:sz w:val="28"/>
                <w:szCs w:val="24"/>
              </w:rPr>
              <w:t>建设单位</w:t>
            </w:r>
          </w:p>
          <w:p w14:paraId="1070EBC8">
            <w:pPr>
              <w:keepNext w:val="0"/>
              <w:keepLines w:val="0"/>
              <w:suppressLineNumbers w:val="0"/>
              <w:spacing w:before="0" w:beforeAutospacing="0" w:after="0" w:afterAutospacing="0"/>
              <w:ind w:left="0" w:right="0"/>
              <w:jc w:val="left"/>
              <w:rPr>
                <w:rFonts w:hint="default" w:ascii="Arial" w:hAnsi="Arial" w:eastAsia="宋体" w:cs="Arial"/>
                <w:b/>
                <w:sz w:val="28"/>
                <w:szCs w:val="24"/>
              </w:rPr>
            </w:pPr>
            <w:r>
              <w:rPr>
                <w:rFonts w:hint="default" w:ascii="Arial" w:hAnsi="Arial" w:eastAsia="宋体" w:cs="Arial"/>
                <w:b/>
                <w:sz w:val="28"/>
                <w:szCs w:val="24"/>
              </w:rPr>
              <w:t>（盖章）：</w:t>
            </w:r>
          </w:p>
        </w:tc>
        <w:tc>
          <w:tcPr>
            <w:tcW w:w="6442" w:type="dxa"/>
            <w:tcBorders>
              <w:top w:val="single" w:color="auto" w:sz="4" w:space="0"/>
              <w:bottom w:val="single" w:color="auto" w:sz="4" w:space="0"/>
            </w:tcBorders>
            <w:vAlign w:val="center"/>
          </w:tcPr>
          <w:p w14:paraId="4DAF4A53">
            <w:pPr>
              <w:keepNext w:val="0"/>
              <w:keepLines w:val="0"/>
              <w:suppressLineNumbers w:val="0"/>
              <w:spacing w:before="0" w:beforeAutospacing="0" w:after="0" w:afterAutospacing="0"/>
              <w:ind w:left="0" w:right="0"/>
              <w:jc w:val="center"/>
              <w:rPr>
                <w:rFonts w:hint="default" w:ascii="Arial" w:hAnsi="Arial" w:eastAsia="宋体" w:cs="Arial"/>
                <w:b/>
                <w:kern w:val="0"/>
                <w:sz w:val="28"/>
                <w:szCs w:val="24"/>
                <w:lang w:eastAsia="zh-CN"/>
              </w:rPr>
            </w:pPr>
            <w:r>
              <w:rPr>
                <w:rFonts w:hint="default" w:ascii="Arial" w:hAnsi="Arial" w:eastAsia="宋体" w:cs="Arial"/>
                <w:b/>
                <w:kern w:val="0"/>
                <w:sz w:val="28"/>
                <w:szCs w:val="24"/>
                <w:lang w:eastAsia="zh-CN"/>
              </w:rPr>
              <w:t>浙江海科汽车部件有限公司</w:t>
            </w:r>
          </w:p>
        </w:tc>
      </w:tr>
      <w:tr w14:paraId="2BF9C34E">
        <w:tblPrEx>
          <w:tblCellMar>
            <w:top w:w="0" w:type="dxa"/>
            <w:left w:w="108" w:type="dxa"/>
            <w:bottom w:w="0" w:type="dxa"/>
            <w:right w:w="108" w:type="dxa"/>
          </w:tblCellMar>
        </w:tblPrEx>
        <w:trPr>
          <w:trHeight w:val="567" w:hRule="atLeast"/>
          <w:jc w:val="center"/>
        </w:trPr>
        <w:tc>
          <w:tcPr>
            <w:tcW w:w="2345" w:type="dxa"/>
            <w:vAlign w:val="center"/>
          </w:tcPr>
          <w:p w14:paraId="6E6A78C8">
            <w:pPr>
              <w:keepNext w:val="0"/>
              <w:keepLines w:val="0"/>
              <w:suppressLineNumbers w:val="0"/>
              <w:spacing w:before="0" w:beforeAutospacing="0" w:after="0" w:afterAutospacing="0"/>
              <w:ind w:left="0" w:right="0"/>
              <w:jc w:val="left"/>
              <w:rPr>
                <w:rFonts w:hint="default" w:ascii="Arial" w:hAnsi="Arial" w:eastAsia="宋体" w:cs="Arial"/>
                <w:b/>
                <w:sz w:val="28"/>
                <w:szCs w:val="24"/>
              </w:rPr>
            </w:pPr>
            <w:r>
              <w:rPr>
                <w:rFonts w:hint="default" w:ascii="Arial" w:hAnsi="Arial" w:eastAsia="宋体" w:cs="Arial"/>
                <w:b/>
                <w:sz w:val="28"/>
                <w:szCs w:val="24"/>
              </w:rPr>
              <w:t>编制日期：</w:t>
            </w:r>
          </w:p>
        </w:tc>
        <w:tc>
          <w:tcPr>
            <w:tcW w:w="6442" w:type="dxa"/>
            <w:tcBorders>
              <w:top w:val="single" w:color="auto" w:sz="4" w:space="0"/>
              <w:bottom w:val="single" w:color="auto" w:sz="4" w:space="0"/>
            </w:tcBorders>
            <w:vAlign w:val="center"/>
          </w:tcPr>
          <w:p w14:paraId="2C96CD65">
            <w:pPr>
              <w:keepNext w:val="0"/>
              <w:keepLines w:val="0"/>
              <w:suppressLineNumbers w:val="0"/>
              <w:spacing w:before="0" w:beforeAutospacing="0" w:after="0" w:afterAutospacing="0"/>
              <w:ind w:left="0" w:right="0"/>
              <w:jc w:val="center"/>
              <w:rPr>
                <w:rFonts w:hint="default" w:ascii="Arial" w:hAnsi="Arial" w:eastAsia="宋体" w:cs="Arial"/>
                <w:b/>
                <w:sz w:val="28"/>
                <w:szCs w:val="24"/>
              </w:rPr>
            </w:pPr>
            <w:r>
              <w:rPr>
                <w:rFonts w:hint="default" w:ascii="Arial" w:hAnsi="Arial" w:eastAsia="宋体" w:cs="Arial"/>
                <w:b/>
                <w:sz w:val="28"/>
                <w:szCs w:val="24"/>
              </w:rPr>
              <w:t>202</w:t>
            </w:r>
            <w:r>
              <w:rPr>
                <w:rFonts w:hint="eastAsia" w:ascii="Arial" w:hAnsi="Arial" w:eastAsia="宋体" w:cs="Arial"/>
                <w:b/>
                <w:sz w:val="28"/>
                <w:szCs w:val="24"/>
                <w:lang w:val="en-US" w:eastAsia="zh-CN"/>
              </w:rPr>
              <w:t>6</w:t>
            </w:r>
            <w:r>
              <w:rPr>
                <w:rFonts w:hint="default" w:ascii="Arial" w:hAnsi="Arial" w:eastAsia="宋体" w:cs="Arial"/>
                <w:b/>
                <w:sz w:val="28"/>
                <w:szCs w:val="24"/>
              </w:rPr>
              <w:t>年</w:t>
            </w:r>
            <w:r>
              <w:rPr>
                <w:rFonts w:hint="eastAsia" w:ascii="Arial" w:hAnsi="Arial" w:eastAsia="宋体" w:cs="Arial"/>
                <w:b/>
                <w:sz w:val="28"/>
                <w:szCs w:val="24"/>
                <w:lang w:val="en-US" w:eastAsia="zh-CN"/>
              </w:rPr>
              <w:t>9</w:t>
            </w:r>
            <w:r>
              <w:rPr>
                <w:rFonts w:hint="default" w:ascii="Arial" w:hAnsi="Arial" w:eastAsia="宋体" w:cs="Arial"/>
                <w:b/>
                <w:sz w:val="28"/>
                <w:szCs w:val="24"/>
              </w:rPr>
              <w:t>月</w:t>
            </w:r>
          </w:p>
        </w:tc>
      </w:tr>
    </w:tbl>
    <w:p w14:paraId="166230A5">
      <w:pPr>
        <w:jc w:val="center"/>
        <w:rPr>
          <w:rFonts w:hint="default" w:ascii="Arial" w:hAnsi="Arial" w:eastAsia="宋体" w:cs="Arial"/>
          <w:b/>
          <w:sz w:val="30"/>
          <w:szCs w:val="30"/>
        </w:rPr>
      </w:pPr>
    </w:p>
    <w:p w14:paraId="51D33548">
      <w:pPr>
        <w:rPr>
          <w:rFonts w:hint="default" w:ascii="Arial" w:hAnsi="Arial" w:eastAsia="宋体" w:cs="Arial"/>
        </w:rPr>
      </w:pPr>
    </w:p>
    <w:p w14:paraId="33E39F25">
      <w:pPr>
        <w:rPr>
          <w:rFonts w:hint="default" w:ascii="Arial" w:hAnsi="Arial" w:eastAsia="宋体" w:cs="Arial"/>
        </w:rPr>
      </w:pPr>
    </w:p>
    <w:p w14:paraId="7FECAA50">
      <w:pPr>
        <w:rPr>
          <w:rFonts w:hint="default" w:ascii="Arial" w:hAnsi="Arial" w:eastAsia="宋体" w:cs="Arial"/>
        </w:rPr>
      </w:pPr>
    </w:p>
    <w:p w14:paraId="67B37BF9">
      <w:pPr>
        <w:rPr>
          <w:rFonts w:hint="default" w:ascii="Arial" w:hAnsi="Arial" w:eastAsia="宋体" w:cs="Arial"/>
        </w:rPr>
      </w:pPr>
    </w:p>
    <w:p w14:paraId="724F6C2B">
      <w:pPr>
        <w:rPr>
          <w:rFonts w:hint="default" w:ascii="Arial" w:hAnsi="Arial" w:eastAsia="宋体" w:cs="Arial"/>
        </w:rPr>
      </w:pPr>
    </w:p>
    <w:p w14:paraId="48A27121">
      <w:pPr>
        <w:rPr>
          <w:rFonts w:hint="default" w:ascii="Arial" w:hAnsi="Arial" w:eastAsia="宋体" w:cs="Arial"/>
        </w:rPr>
      </w:pPr>
    </w:p>
    <w:p w14:paraId="07876E37">
      <w:pPr>
        <w:rPr>
          <w:rFonts w:hint="default" w:ascii="Arial" w:hAnsi="Arial" w:eastAsia="宋体" w:cs="Arial"/>
        </w:rPr>
      </w:pPr>
    </w:p>
    <w:p w14:paraId="0F34186D">
      <w:pPr>
        <w:rPr>
          <w:rFonts w:hint="default" w:ascii="Arial" w:hAnsi="Arial" w:eastAsia="宋体" w:cs="Arial"/>
        </w:rPr>
      </w:pPr>
    </w:p>
    <w:p w14:paraId="15FD8B93">
      <w:pPr>
        <w:spacing w:line="360" w:lineRule="auto"/>
        <w:jc w:val="center"/>
        <w:rPr>
          <w:rFonts w:hint="default" w:ascii="Arial" w:hAnsi="Arial" w:eastAsia="宋体" w:cs="Arial"/>
          <w:b/>
          <w:bCs/>
          <w:sz w:val="32"/>
          <w:szCs w:val="32"/>
        </w:rPr>
        <w:sectPr>
          <w:headerReference r:id="rId3" w:type="default"/>
          <w:footerReference r:id="rId5" w:type="default"/>
          <w:headerReference r:id="rId4" w:type="even"/>
          <w:pgSz w:w="11906" w:h="16838"/>
          <w:pgMar w:top="1440" w:right="1287" w:bottom="1440" w:left="1701" w:header="851" w:footer="992" w:gutter="0"/>
          <w:cols w:space="425" w:num="1"/>
          <w:docGrid w:type="linesAndChars" w:linePitch="340" w:charSpace="0"/>
        </w:sectPr>
      </w:pPr>
      <w:r>
        <w:rPr>
          <w:rFonts w:hint="default" w:ascii="Arial" w:hAnsi="Arial" w:eastAsia="宋体" w:cs="Arial"/>
          <w:b/>
          <w:bCs/>
          <w:sz w:val="32"/>
          <w:szCs w:val="32"/>
        </w:rPr>
        <w:t>浙江省工业环保设计研究院有限公司</w:t>
      </w:r>
    </w:p>
    <w:p w14:paraId="38163B2C">
      <w:pPr>
        <w:jc w:val="center"/>
        <w:rPr>
          <w:rFonts w:hint="default" w:ascii="Arial" w:hAnsi="Arial" w:eastAsia="宋体" w:cs="Arial"/>
          <w:b/>
          <w:sz w:val="36"/>
          <w:szCs w:val="36"/>
        </w:rPr>
      </w:pPr>
      <w:r>
        <w:rPr>
          <w:rFonts w:hint="default" w:ascii="Arial" w:hAnsi="Arial" w:eastAsia="宋体" w:cs="Arial"/>
          <w:b/>
          <w:sz w:val="36"/>
          <w:szCs w:val="36"/>
        </w:rPr>
        <w:t>目录</w:t>
      </w:r>
    </w:p>
    <w:p w14:paraId="1EE67624">
      <w:pPr>
        <w:pStyle w:val="36"/>
        <w:tabs>
          <w:tab w:val="left" w:pos="420"/>
          <w:tab w:val="right" w:leader="middleDot" w:pos="8908"/>
        </w:tabs>
        <w:jc w:val="distribute"/>
        <w:rPr>
          <w:rFonts w:hint="default" w:ascii="Arial" w:hAnsi="Arial" w:eastAsia="宋体" w:cs="Arial"/>
          <w:b w:val="0"/>
          <w:bCs w:val="0"/>
          <w:i w:val="0"/>
          <w:iCs w:val="0"/>
          <w:sz w:val="28"/>
        </w:rPr>
      </w:pPr>
      <w:r>
        <w:rPr>
          <w:rFonts w:hint="default" w:ascii="Arial" w:hAnsi="Arial" w:eastAsia="宋体" w:cs="Arial"/>
          <w:b w:val="0"/>
          <w:i w:val="0"/>
          <w:sz w:val="36"/>
          <w:szCs w:val="36"/>
        </w:rPr>
        <w:fldChar w:fldCharType="begin"/>
      </w:r>
      <w:r>
        <w:rPr>
          <w:rFonts w:hint="default" w:ascii="Arial" w:hAnsi="Arial" w:eastAsia="宋体" w:cs="Arial"/>
          <w:b w:val="0"/>
          <w:i w:val="0"/>
          <w:sz w:val="36"/>
          <w:szCs w:val="36"/>
        </w:rPr>
        <w:instrText xml:space="preserve"> TOC \o "1-1" \h \z \u </w:instrText>
      </w:r>
      <w:r>
        <w:rPr>
          <w:rFonts w:hint="default" w:ascii="Arial" w:hAnsi="Arial" w:eastAsia="宋体" w:cs="Arial"/>
          <w:b w:val="0"/>
          <w:i w:val="0"/>
          <w:sz w:val="36"/>
          <w:szCs w:val="36"/>
        </w:rPr>
        <w:fldChar w:fldCharType="separate"/>
      </w:r>
      <w:r>
        <w:rPr>
          <w:rFonts w:hint="default" w:ascii="Arial" w:hAnsi="Arial" w:eastAsia="宋体" w:cs="Arial"/>
        </w:rPr>
        <w:fldChar w:fldCharType="begin"/>
      </w:r>
      <w:r>
        <w:rPr>
          <w:rFonts w:hint="default" w:ascii="Arial" w:hAnsi="Arial" w:eastAsia="宋体" w:cs="Arial"/>
        </w:rPr>
        <w:instrText xml:space="preserve"> HYPERLINK \l "_Toc104732978" </w:instrText>
      </w:r>
      <w:r>
        <w:rPr>
          <w:rFonts w:hint="default" w:ascii="Arial" w:hAnsi="Arial" w:eastAsia="宋体" w:cs="Arial"/>
        </w:rPr>
        <w:fldChar w:fldCharType="separate"/>
      </w:r>
      <w:r>
        <w:rPr>
          <w:rStyle w:val="67"/>
          <w:rFonts w:hint="default" w:ascii="Arial" w:hAnsi="Arial" w:eastAsia="宋体" w:cs="Arial"/>
          <w:i w:val="0"/>
          <w:color w:val="auto"/>
          <w:sz w:val="28"/>
        </w:rPr>
        <w:t>1.</w:t>
      </w:r>
      <w:r>
        <w:rPr>
          <w:rFonts w:hint="default" w:ascii="Arial" w:hAnsi="Arial" w:eastAsia="宋体" w:cs="Arial"/>
          <w:b w:val="0"/>
          <w:bCs w:val="0"/>
          <w:i w:val="0"/>
          <w:iCs w:val="0"/>
          <w:sz w:val="28"/>
        </w:rPr>
        <w:tab/>
      </w:r>
      <w:r>
        <w:rPr>
          <w:rStyle w:val="67"/>
          <w:rFonts w:hint="default" w:ascii="Arial" w:hAnsi="Arial" w:eastAsia="宋体" w:cs="Arial"/>
          <w:i w:val="0"/>
          <w:color w:val="auto"/>
          <w:sz w:val="28"/>
        </w:rPr>
        <w:t>建设项目基本情况</w:t>
      </w:r>
      <w:r>
        <w:rPr>
          <w:rStyle w:val="67"/>
          <w:rFonts w:hint="default" w:ascii="Arial" w:hAnsi="Arial" w:eastAsia="宋体" w:cs="Arial"/>
          <w:i w:val="0"/>
          <w:color w:val="auto"/>
          <w:sz w:val="28"/>
          <w:lang w:eastAsia="zh-CN"/>
        </w:rPr>
        <w:t>……………………………………………………</w:t>
      </w:r>
      <w:r>
        <w:rPr>
          <w:rFonts w:hint="default" w:ascii="Arial" w:hAnsi="Arial" w:eastAsia="宋体" w:cs="Arial"/>
          <w:i w:val="0"/>
          <w:sz w:val="28"/>
        </w:rPr>
        <w:t>1</w:t>
      </w:r>
      <w:r>
        <w:rPr>
          <w:rFonts w:hint="default" w:ascii="Arial" w:hAnsi="Arial" w:eastAsia="宋体" w:cs="Arial"/>
          <w:i w:val="0"/>
          <w:sz w:val="28"/>
        </w:rPr>
        <w:fldChar w:fldCharType="end"/>
      </w:r>
    </w:p>
    <w:p w14:paraId="27A8815B">
      <w:pPr>
        <w:pStyle w:val="36"/>
        <w:tabs>
          <w:tab w:val="left" w:pos="420"/>
          <w:tab w:val="right" w:leader="middleDot" w:pos="8908"/>
        </w:tabs>
        <w:jc w:val="distribute"/>
        <w:rPr>
          <w:rFonts w:hint="default" w:ascii="Arial" w:hAnsi="Arial" w:eastAsia="宋体" w:cs="Arial"/>
          <w:b w:val="0"/>
          <w:bCs w:val="0"/>
          <w:i w:val="0"/>
          <w:iCs w:val="0"/>
          <w:sz w:val="28"/>
          <w:lang w:val="en-US" w:eastAsia="zh-CN"/>
        </w:rPr>
      </w:pPr>
      <w:r>
        <w:rPr>
          <w:rFonts w:hint="default" w:ascii="Arial" w:hAnsi="Arial" w:eastAsia="宋体" w:cs="Arial"/>
        </w:rPr>
        <w:fldChar w:fldCharType="begin"/>
      </w:r>
      <w:r>
        <w:rPr>
          <w:rFonts w:hint="default" w:ascii="Arial" w:hAnsi="Arial" w:eastAsia="宋体" w:cs="Arial"/>
        </w:rPr>
        <w:instrText xml:space="preserve"> HYPERLINK \l "_Toc104732979" </w:instrText>
      </w:r>
      <w:r>
        <w:rPr>
          <w:rFonts w:hint="default" w:ascii="Arial" w:hAnsi="Arial" w:eastAsia="宋体" w:cs="Arial"/>
        </w:rPr>
        <w:fldChar w:fldCharType="separate"/>
      </w:r>
      <w:r>
        <w:rPr>
          <w:rStyle w:val="67"/>
          <w:rFonts w:hint="default" w:ascii="Arial" w:hAnsi="Arial" w:eastAsia="宋体" w:cs="Arial"/>
          <w:i w:val="0"/>
          <w:color w:val="auto"/>
          <w:sz w:val="28"/>
        </w:rPr>
        <w:t>2.</w:t>
      </w:r>
      <w:r>
        <w:rPr>
          <w:rFonts w:hint="default" w:ascii="Arial" w:hAnsi="Arial" w:eastAsia="宋体" w:cs="Arial"/>
          <w:b w:val="0"/>
          <w:bCs w:val="0"/>
          <w:i w:val="0"/>
          <w:iCs w:val="0"/>
          <w:sz w:val="28"/>
        </w:rPr>
        <w:tab/>
      </w:r>
      <w:r>
        <w:rPr>
          <w:rStyle w:val="67"/>
          <w:rFonts w:hint="default" w:ascii="Arial" w:hAnsi="Arial" w:eastAsia="宋体" w:cs="Arial"/>
          <w:i w:val="0"/>
          <w:color w:val="auto"/>
          <w:sz w:val="28"/>
        </w:rPr>
        <w:t>建设项目工程分析</w:t>
      </w:r>
      <w:r>
        <w:rPr>
          <w:rFonts w:hint="default" w:ascii="Arial" w:hAnsi="Arial" w:eastAsia="宋体" w:cs="Arial"/>
          <w:i w:val="0"/>
          <w:sz w:val="28"/>
          <w:lang w:eastAsia="zh-CN"/>
        </w:rPr>
        <w:t>……………………………………………………</w:t>
      </w:r>
      <w:r>
        <w:rPr>
          <w:rFonts w:hint="eastAsia" w:ascii="Arial" w:hAnsi="Arial" w:cs="Arial"/>
          <w:i w:val="0"/>
          <w:sz w:val="28"/>
          <w:lang w:val="en-US" w:eastAsia="zh-CN"/>
        </w:rPr>
        <w:t>2</w:t>
      </w:r>
      <w:r>
        <w:rPr>
          <w:rFonts w:hint="default" w:ascii="Arial" w:hAnsi="Arial" w:eastAsia="宋体" w:cs="Arial"/>
          <w:i w:val="0"/>
          <w:sz w:val="28"/>
        </w:rPr>
        <w:fldChar w:fldCharType="end"/>
      </w:r>
      <w:r>
        <w:rPr>
          <w:rFonts w:hint="eastAsia" w:ascii="Arial" w:hAnsi="Arial" w:cs="Arial"/>
          <w:i w:val="0"/>
          <w:sz w:val="28"/>
          <w:lang w:val="en-US" w:eastAsia="zh-CN"/>
        </w:rPr>
        <w:t>2</w:t>
      </w:r>
    </w:p>
    <w:p w14:paraId="68BC1B92">
      <w:pPr>
        <w:pStyle w:val="36"/>
        <w:tabs>
          <w:tab w:val="left" w:pos="420"/>
          <w:tab w:val="right" w:leader="middleDot" w:pos="8908"/>
        </w:tabs>
        <w:jc w:val="distribute"/>
        <w:rPr>
          <w:rFonts w:hint="default" w:ascii="Arial" w:hAnsi="Arial" w:eastAsia="宋体" w:cs="Arial"/>
          <w:b w:val="0"/>
          <w:bCs w:val="0"/>
          <w:i w:val="0"/>
          <w:iCs w:val="0"/>
          <w:sz w:val="28"/>
        </w:rPr>
      </w:pPr>
      <w:r>
        <w:rPr>
          <w:rFonts w:hint="default" w:ascii="Arial" w:hAnsi="Arial" w:eastAsia="宋体" w:cs="Arial"/>
        </w:rPr>
        <w:fldChar w:fldCharType="begin"/>
      </w:r>
      <w:r>
        <w:rPr>
          <w:rFonts w:hint="default" w:ascii="Arial" w:hAnsi="Arial" w:eastAsia="宋体" w:cs="Arial"/>
        </w:rPr>
        <w:instrText xml:space="preserve"> HYPERLINK \l "_Toc104732980" </w:instrText>
      </w:r>
      <w:r>
        <w:rPr>
          <w:rFonts w:hint="default" w:ascii="Arial" w:hAnsi="Arial" w:eastAsia="宋体" w:cs="Arial"/>
        </w:rPr>
        <w:fldChar w:fldCharType="separate"/>
      </w:r>
      <w:r>
        <w:rPr>
          <w:rStyle w:val="67"/>
          <w:rFonts w:hint="default" w:ascii="Arial" w:hAnsi="Arial" w:eastAsia="宋体" w:cs="Arial"/>
          <w:i w:val="0"/>
          <w:color w:val="auto"/>
          <w:sz w:val="28"/>
        </w:rPr>
        <w:t>3.</w:t>
      </w:r>
      <w:r>
        <w:rPr>
          <w:rFonts w:hint="default" w:ascii="Arial" w:hAnsi="Arial" w:eastAsia="宋体" w:cs="Arial"/>
          <w:b w:val="0"/>
          <w:bCs w:val="0"/>
          <w:i w:val="0"/>
          <w:iCs w:val="0"/>
          <w:sz w:val="28"/>
        </w:rPr>
        <w:tab/>
      </w:r>
      <w:r>
        <w:rPr>
          <w:rStyle w:val="67"/>
          <w:rFonts w:hint="default" w:ascii="Arial" w:hAnsi="Arial" w:eastAsia="宋体" w:cs="Arial"/>
          <w:i w:val="0"/>
          <w:color w:val="auto"/>
          <w:sz w:val="28"/>
        </w:rPr>
        <w:t>区域环境质量现状、环境保护目标及评价标准</w:t>
      </w:r>
      <w:r>
        <w:rPr>
          <w:rFonts w:hint="default" w:ascii="Arial" w:hAnsi="Arial" w:eastAsia="宋体" w:cs="Arial"/>
          <w:i w:val="0"/>
          <w:sz w:val="28"/>
          <w:lang w:eastAsia="zh-CN"/>
        </w:rPr>
        <w:t>……………………</w:t>
      </w:r>
      <w:r>
        <w:rPr>
          <w:rFonts w:hint="default" w:ascii="Arial" w:hAnsi="Arial" w:eastAsia="宋体" w:cs="Arial"/>
          <w:i w:val="0"/>
          <w:sz w:val="28"/>
        </w:rPr>
        <w:fldChar w:fldCharType="begin"/>
      </w:r>
      <w:r>
        <w:rPr>
          <w:rFonts w:hint="default" w:ascii="Arial" w:hAnsi="Arial" w:eastAsia="宋体" w:cs="Arial"/>
          <w:i w:val="0"/>
          <w:sz w:val="28"/>
        </w:rPr>
        <w:instrText xml:space="preserve"> PAGEREF _Toc104732980 \h </w:instrText>
      </w:r>
      <w:r>
        <w:rPr>
          <w:rFonts w:hint="default" w:ascii="Arial" w:hAnsi="Arial" w:eastAsia="宋体" w:cs="Arial"/>
          <w:i w:val="0"/>
          <w:sz w:val="28"/>
        </w:rPr>
        <w:fldChar w:fldCharType="separate"/>
      </w:r>
      <w:r>
        <w:rPr>
          <w:rFonts w:hint="default" w:ascii="Arial" w:hAnsi="Arial" w:eastAsia="宋体" w:cs="Arial"/>
          <w:i w:val="0"/>
          <w:sz w:val="28"/>
        </w:rPr>
        <w:t>31</w:t>
      </w:r>
      <w:r>
        <w:rPr>
          <w:rFonts w:hint="default" w:ascii="Arial" w:hAnsi="Arial" w:eastAsia="宋体" w:cs="Arial"/>
          <w:i w:val="0"/>
          <w:sz w:val="28"/>
        </w:rPr>
        <w:fldChar w:fldCharType="end"/>
      </w:r>
      <w:r>
        <w:rPr>
          <w:rFonts w:hint="default" w:ascii="Arial" w:hAnsi="Arial" w:eastAsia="宋体" w:cs="Arial"/>
          <w:i w:val="0"/>
          <w:sz w:val="28"/>
        </w:rPr>
        <w:fldChar w:fldCharType="end"/>
      </w:r>
    </w:p>
    <w:p w14:paraId="68104C0F">
      <w:pPr>
        <w:pStyle w:val="36"/>
        <w:tabs>
          <w:tab w:val="left" w:pos="420"/>
          <w:tab w:val="right" w:leader="middleDot" w:pos="8908"/>
        </w:tabs>
        <w:jc w:val="distribute"/>
        <w:rPr>
          <w:rFonts w:hint="default" w:ascii="Arial" w:hAnsi="Arial" w:eastAsia="宋体" w:cs="Arial"/>
          <w:b w:val="0"/>
          <w:bCs w:val="0"/>
          <w:i w:val="0"/>
          <w:iCs w:val="0"/>
          <w:sz w:val="28"/>
        </w:rPr>
      </w:pPr>
      <w:r>
        <w:rPr>
          <w:rFonts w:hint="default" w:ascii="Arial" w:hAnsi="Arial" w:eastAsia="宋体" w:cs="Arial"/>
        </w:rPr>
        <w:fldChar w:fldCharType="begin"/>
      </w:r>
      <w:r>
        <w:rPr>
          <w:rFonts w:hint="default" w:ascii="Arial" w:hAnsi="Arial" w:eastAsia="宋体" w:cs="Arial"/>
        </w:rPr>
        <w:instrText xml:space="preserve"> HYPERLINK \l "_Toc104732981" </w:instrText>
      </w:r>
      <w:r>
        <w:rPr>
          <w:rFonts w:hint="default" w:ascii="Arial" w:hAnsi="Arial" w:eastAsia="宋体" w:cs="Arial"/>
        </w:rPr>
        <w:fldChar w:fldCharType="separate"/>
      </w:r>
      <w:r>
        <w:rPr>
          <w:rStyle w:val="67"/>
          <w:rFonts w:hint="default" w:ascii="Arial" w:hAnsi="Arial" w:eastAsia="宋体" w:cs="Arial"/>
          <w:i w:val="0"/>
          <w:color w:val="auto"/>
          <w:sz w:val="28"/>
        </w:rPr>
        <w:t>4.</w:t>
      </w:r>
      <w:r>
        <w:rPr>
          <w:rFonts w:hint="default" w:ascii="Arial" w:hAnsi="Arial" w:eastAsia="宋体" w:cs="Arial"/>
          <w:b w:val="0"/>
          <w:bCs w:val="0"/>
          <w:i w:val="0"/>
          <w:iCs w:val="0"/>
          <w:sz w:val="28"/>
        </w:rPr>
        <w:tab/>
      </w:r>
      <w:r>
        <w:rPr>
          <w:rStyle w:val="67"/>
          <w:rFonts w:hint="default" w:ascii="Arial" w:hAnsi="Arial" w:eastAsia="宋体" w:cs="Arial"/>
          <w:i w:val="0"/>
          <w:color w:val="auto"/>
          <w:sz w:val="28"/>
        </w:rPr>
        <w:t>主要环境影响和保护措施</w:t>
      </w:r>
      <w:r>
        <w:rPr>
          <w:rFonts w:hint="default" w:ascii="Arial" w:hAnsi="Arial" w:eastAsia="宋体" w:cs="Arial"/>
          <w:i w:val="0"/>
          <w:sz w:val="28"/>
          <w:lang w:eastAsia="zh-CN"/>
        </w:rPr>
        <w:t>……………………………………………</w:t>
      </w:r>
      <w:r>
        <w:rPr>
          <w:rFonts w:hint="default" w:ascii="Arial" w:hAnsi="Arial" w:eastAsia="宋体" w:cs="Arial"/>
          <w:i w:val="0"/>
          <w:sz w:val="28"/>
        </w:rPr>
        <w:fldChar w:fldCharType="begin"/>
      </w:r>
      <w:r>
        <w:rPr>
          <w:rFonts w:hint="default" w:ascii="Arial" w:hAnsi="Arial" w:eastAsia="宋体" w:cs="Arial"/>
          <w:i w:val="0"/>
          <w:sz w:val="28"/>
        </w:rPr>
        <w:instrText xml:space="preserve"> PAGEREF _Toc104732981 \h </w:instrText>
      </w:r>
      <w:r>
        <w:rPr>
          <w:rFonts w:hint="default" w:ascii="Arial" w:hAnsi="Arial" w:eastAsia="宋体" w:cs="Arial"/>
          <w:i w:val="0"/>
          <w:sz w:val="28"/>
        </w:rPr>
        <w:fldChar w:fldCharType="separate"/>
      </w:r>
      <w:r>
        <w:rPr>
          <w:rFonts w:hint="default" w:ascii="Arial" w:hAnsi="Arial" w:eastAsia="宋体" w:cs="Arial"/>
          <w:i w:val="0"/>
          <w:sz w:val="28"/>
        </w:rPr>
        <w:t>39</w:t>
      </w:r>
      <w:r>
        <w:rPr>
          <w:rFonts w:hint="default" w:ascii="Arial" w:hAnsi="Arial" w:eastAsia="宋体" w:cs="Arial"/>
          <w:i w:val="0"/>
          <w:sz w:val="28"/>
        </w:rPr>
        <w:fldChar w:fldCharType="end"/>
      </w:r>
      <w:r>
        <w:rPr>
          <w:rFonts w:hint="default" w:ascii="Arial" w:hAnsi="Arial" w:eastAsia="宋体" w:cs="Arial"/>
          <w:i w:val="0"/>
          <w:sz w:val="28"/>
        </w:rPr>
        <w:fldChar w:fldCharType="end"/>
      </w:r>
    </w:p>
    <w:p w14:paraId="330C77AB">
      <w:pPr>
        <w:pStyle w:val="36"/>
        <w:tabs>
          <w:tab w:val="left" w:pos="420"/>
          <w:tab w:val="right" w:leader="middleDot" w:pos="8908"/>
        </w:tabs>
        <w:jc w:val="distribute"/>
        <w:rPr>
          <w:rFonts w:hint="default" w:ascii="Arial" w:hAnsi="Arial" w:eastAsia="宋体" w:cs="Arial"/>
          <w:b w:val="0"/>
          <w:bCs w:val="0"/>
          <w:i w:val="0"/>
          <w:iCs w:val="0"/>
          <w:sz w:val="28"/>
          <w:lang w:val="en-US" w:eastAsia="zh-CN"/>
        </w:rPr>
      </w:pPr>
      <w:r>
        <w:rPr>
          <w:rFonts w:hint="default" w:ascii="Arial" w:hAnsi="Arial" w:eastAsia="宋体" w:cs="Arial"/>
        </w:rPr>
        <w:fldChar w:fldCharType="begin"/>
      </w:r>
      <w:r>
        <w:rPr>
          <w:rFonts w:hint="default" w:ascii="Arial" w:hAnsi="Arial" w:eastAsia="宋体" w:cs="Arial"/>
        </w:rPr>
        <w:instrText xml:space="preserve"> HYPERLINK \l "_Toc104732982" </w:instrText>
      </w:r>
      <w:r>
        <w:rPr>
          <w:rFonts w:hint="default" w:ascii="Arial" w:hAnsi="Arial" w:eastAsia="宋体" w:cs="Arial"/>
        </w:rPr>
        <w:fldChar w:fldCharType="separate"/>
      </w:r>
      <w:r>
        <w:rPr>
          <w:rStyle w:val="67"/>
          <w:rFonts w:hint="default" w:ascii="Arial" w:hAnsi="Arial" w:eastAsia="宋体" w:cs="Arial"/>
          <w:i w:val="0"/>
          <w:color w:val="auto"/>
          <w:sz w:val="28"/>
        </w:rPr>
        <w:t>5.</w:t>
      </w:r>
      <w:r>
        <w:rPr>
          <w:rFonts w:hint="default" w:ascii="Arial" w:hAnsi="Arial" w:eastAsia="宋体" w:cs="Arial"/>
          <w:b w:val="0"/>
          <w:bCs w:val="0"/>
          <w:i w:val="0"/>
          <w:iCs w:val="0"/>
          <w:sz w:val="28"/>
        </w:rPr>
        <w:tab/>
      </w:r>
      <w:r>
        <w:rPr>
          <w:rStyle w:val="67"/>
          <w:rFonts w:hint="default" w:ascii="Arial" w:hAnsi="Arial" w:eastAsia="宋体" w:cs="Arial"/>
          <w:i w:val="0"/>
          <w:color w:val="auto"/>
          <w:sz w:val="28"/>
        </w:rPr>
        <w:t>环境保护措施监督检查清单</w:t>
      </w:r>
      <w:r>
        <w:rPr>
          <w:rFonts w:hint="default" w:ascii="Arial" w:hAnsi="Arial" w:eastAsia="宋体" w:cs="Arial"/>
          <w:i w:val="0"/>
          <w:sz w:val="28"/>
          <w:lang w:eastAsia="zh-CN"/>
        </w:rPr>
        <w:t>…………………………………………</w:t>
      </w:r>
      <w:r>
        <w:rPr>
          <w:rFonts w:hint="eastAsia" w:ascii="Arial" w:hAnsi="Arial" w:cs="Arial"/>
          <w:i w:val="0"/>
          <w:sz w:val="28"/>
          <w:lang w:val="en-US" w:eastAsia="zh-CN"/>
        </w:rPr>
        <w:t>7</w:t>
      </w:r>
      <w:r>
        <w:rPr>
          <w:rFonts w:hint="default" w:ascii="Arial" w:hAnsi="Arial" w:eastAsia="宋体" w:cs="Arial"/>
          <w:i w:val="0"/>
          <w:sz w:val="28"/>
        </w:rPr>
        <w:fldChar w:fldCharType="end"/>
      </w:r>
      <w:r>
        <w:rPr>
          <w:rFonts w:hint="eastAsia" w:ascii="Arial" w:hAnsi="Arial" w:cs="Arial"/>
          <w:i w:val="0"/>
          <w:sz w:val="28"/>
          <w:lang w:val="en-US" w:eastAsia="zh-CN"/>
        </w:rPr>
        <w:t>1</w:t>
      </w:r>
    </w:p>
    <w:p w14:paraId="0D25099F">
      <w:pPr>
        <w:pStyle w:val="36"/>
        <w:tabs>
          <w:tab w:val="left" w:pos="420"/>
          <w:tab w:val="right" w:leader="middleDot" w:pos="8908"/>
        </w:tabs>
        <w:jc w:val="distribute"/>
        <w:rPr>
          <w:rFonts w:hint="default" w:ascii="Arial" w:hAnsi="Arial" w:eastAsia="宋体" w:cs="Arial"/>
          <w:b w:val="0"/>
          <w:bCs w:val="0"/>
          <w:i w:val="0"/>
          <w:iCs w:val="0"/>
          <w:sz w:val="28"/>
          <w:lang w:val="en-US" w:eastAsia="zh-CN"/>
        </w:rPr>
      </w:pPr>
      <w:r>
        <w:rPr>
          <w:rFonts w:hint="default" w:ascii="Arial" w:hAnsi="Arial" w:eastAsia="宋体" w:cs="Arial"/>
        </w:rPr>
        <w:fldChar w:fldCharType="begin"/>
      </w:r>
      <w:r>
        <w:rPr>
          <w:rFonts w:hint="default" w:ascii="Arial" w:hAnsi="Arial" w:eastAsia="宋体" w:cs="Arial"/>
        </w:rPr>
        <w:instrText xml:space="preserve"> HYPERLINK \l "_Toc104732983" </w:instrText>
      </w:r>
      <w:r>
        <w:rPr>
          <w:rFonts w:hint="default" w:ascii="Arial" w:hAnsi="Arial" w:eastAsia="宋体" w:cs="Arial"/>
        </w:rPr>
        <w:fldChar w:fldCharType="separate"/>
      </w:r>
      <w:r>
        <w:rPr>
          <w:rStyle w:val="67"/>
          <w:rFonts w:hint="default" w:ascii="Arial" w:hAnsi="Arial" w:eastAsia="宋体" w:cs="Arial"/>
          <w:i w:val="0"/>
          <w:color w:val="auto"/>
          <w:sz w:val="28"/>
        </w:rPr>
        <w:t>6.</w:t>
      </w:r>
      <w:r>
        <w:rPr>
          <w:rFonts w:hint="default" w:ascii="Arial" w:hAnsi="Arial" w:eastAsia="宋体" w:cs="Arial"/>
          <w:b w:val="0"/>
          <w:bCs w:val="0"/>
          <w:i w:val="0"/>
          <w:iCs w:val="0"/>
          <w:sz w:val="28"/>
        </w:rPr>
        <w:tab/>
      </w:r>
      <w:r>
        <w:rPr>
          <w:rStyle w:val="67"/>
          <w:rFonts w:hint="default" w:ascii="Arial" w:hAnsi="Arial" w:eastAsia="宋体" w:cs="Arial"/>
          <w:i w:val="0"/>
          <w:color w:val="auto"/>
          <w:sz w:val="28"/>
        </w:rPr>
        <w:t>结论</w:t>
      </w:r>
      <w:r>
        <w:rPr>
          <w:rFonts w:hint="default" w:ascii="Arial" w:hAnsi="Arial" w:eastAsia="宋体" w:cs="Arial"/>
          <w:i w:val="0"/>
          <w:sz w:val="28"/>
          <w:lang w:eastAsia="zh-CN"/>
        </w:rPr>
        <w:t>……………………………………………………………………</w:t>
      </w:r>
      <w:r>
        <w:rPr>
          <w:rFonts w:hint="eastAsia" w:ascii="Arial" w:hAnsi="Arial" w:cs="Arial"/>
          <w:i w:val="0"/>
          <w:sz w:val="28"/>
          <w:lang w:val="en-US" w:eastAsia="zh-CN"/>
        </w:rPr>
        <w:t>7</w:t>
      </w:r>
      <w:r>
        <w:rPr>
          <w:rFonts w:hint="default" w:ascii="Arial" w:hAnsi="Arial" w:eastAsia="宋体" w:cs="Arial"/>
          <w:i w:val="0"/>
          <w:sz w:val="28"/>
        </w:rPr>
        <w:fldChar w:fldCharType="end"/>
      </w:r>
      <w:r>
        <w:rPr>
          <w:rFonts w:hint="eastAsia" w:ascii="Arial" w:hAnsi="Arial" w:cs="Arial"/>
          <w:i w:val="0"/>
          <w:sz w:val="28"/>
          <w:lang w:val="en-US" w:eastAsia="zh-CN"/>
        </w:rPr>
        <w:t>3</w:t>
      </w:r>
    </w:p>
    <w:p w14:paraId="40E5C0B9">
      <w:pPr>
        <w:widowControl/>
        <w:jc w:val="center"/>
        <w:rPr>
          <w:rFonts w:hint="default" w:ascii="Arial" w:hAnsi="Arial" w:eastAsia="宋体" w:cs="Arial"/>
          <w:b/>
          <w:sz w:val="36"/>
          <w:szCs w:val="36"/>
        </w:rPr>
      </w:pPr>
      <w:r>
        <w:rPr>
          <w:rFonts w:hint="default" w:ascii="Arial" w:hAnsi="Arial" w:eastAsia="宋体" w:cs="Arial"/>
          <w:b/>
          <w:sz w:val="36"/>
          <w:szCs w:val="36"/>
        </w:rPr>
        <w:fldChar w:fldCharType="end"/>
      </w:r>
    </w:p>
    <w:tbl>
      <w:tblPr>
        <w:tblStyle w:val="52"/>
        <w:tblW w:w="8750" w:type="dxa"/>
        <w:tblInd w:w="108" w:type="dxa"/>
        <w:tblLayout w:type="fixed"/>
        <w:tblCellMar>
          <w:top w:w="0" w:type="dxa"/>
          <w:left w:w="108" w:type="dxa"/>
          <w:bottom w:w="0" w:type="dxa"/>
          <w:right w:w="108" w:type="dxa"/>
        </w:tblCellMar>
      </w:tblPr>
      <w:tblGrid>
        <w:gridCol w:w="1134"/>
        <w:gridCol w:w="7616"/>
      </w:tblGrid>
      <w:tr w14:paraId="4E93C61C">
        <w:tblPrEx>
          <w:tblCellMar>
            <w:top w:w="0" w:type="dxa"/>
            <w:left w:w="108" w:type="dxa"/>
            <w:bottom w:w="0" w:type="dxa"/>
            <w:right w:w="108" w:type="dxa"/>
          </w:tblCellMar>
        </w:tblPrEx>
        <w:trPr>
          <w:trHeight w:val="20" w:hRule="atLeast"/>
        </w:trPr>
        <w:tc>
          <w:tcPr>
            <w:tcW w:w="1134" w:type="dxa"/>
            <w:tcBorders>
              <w:tl2br w:val="nil"/>
              <w:tr2bl w:val="nil"/>
            </w:tcBorders>
          </w:tcPr>
          <w:p w14:paraId="132ED1BC">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附表</w:t>
            </w:r>
          </w:p>
        </w:tc>
        <w:tc>
          <w:tcPr>
            <w:tcW w:w="7616" w:type="dxa"/>
            <w:tcBorders>
              <w:tl2br w:val="nil"/>
              <w:tr2bl w:val="nil"/>
            </w:tcBorders>
          </w:tcPr>
          <w:p w14:paraId="3CB31E05">
            <w:pPr>
              <w:keepNext w:val="0"/>
              <w:keepLines w:val="0"/>
              <w:suppressLineNumbers w:val="0"/>
              <w:spacing w:before="0" w:beforeAutospacing="0" w:after="0" w:afterAutospacing="0"/>
              <w:ind w:left="0" w:right="0"/>
              <w:rPr>
                <w:rFonts w:hint="default" w:ascii="Arial" w:hAnsi="Arial" w:eastAsia="宋体" w:cs="Arial"/>
                <w:b/>
                <w:bCs/>
                <w:sz w:val="24"/>
                <w:szCs w:val="24"/>
              </w:rPr>
            </w:pPr>
          </w:p>
        </w:tc>
      </w:tr>
      <w:tr w14:paraId="594366BA">
        <w:tblPrEx>
          <w:tblCellMar>
            <w:top w:w="0" w:type="dxa"/>
            <w:left w:w="108" w:type="dxa"/>
            <w:bottom w:w="0" w:type="dxa"/>
            <w:right w:w="108" w:type="dxa"/>
          </w:tblCellMar>
        </w:tblPrEx>
        <w:trPr>
          <w:trHeight w:val="20" w:hRule="atLeast"/>
        </w:trPr>
        <w:tc>
          <w:tcPr>
            <w:tcW w:w="1134" w:type="dxa"/>
            <w:tcBorders>
              <w:tl2br w:val="nil"/>
              <w:tr2bl w:val="nil"/>
            </w:tcBorders>
          </w:tcPr>
          <w:p w14:paraId="14BDBB1E">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附表1</w:t>
            </w:r>
          </w:p>
        </w:tc>
        <w:tc>
          <w:tcPr>
            <w:tcW w:w="7616" w:type="dxa"/>
            <w:tcBorders>
              <w:tl2br w:val="nil"/>
              <w:tr2bl w:val="nil"/>
            </w:tcBorders>
          </w:tcPr>
          <w:p w14:paraId="5A30D175">
            <w:pPr>
              <w:keepNext w:val="0"/>
              <w:keepLines w:val="0"/>
              <w:suppressLineNumbers w:val="0"/>
              <w:spacing w:before="0" w:beforeAutospacing="0" w:after="0" w:afterAutospacing="0"/>
              <w:ind w:left="0" w:right="0"/>
              <w:rPr>
                <w:rFonts w:hint="default" w:ascii="Arial" w:hAnsi="Arial" w:eastAsia="宋体" w:cs="Arial"/>
                <w:bCs/>
                <w:sz w:val="24"/>
                <w:szCs w:val="24"/>
              </w:rPr>
            </w:pPr>
            <w:r>
              <w:rPr>
                <w:rFonts w:hint="default" w:ascii="Arial" w:hAnsi="Arial" w:eastAsia="宋体" w:cs="Arial"/>
                <w:bCs/>
                <w:sz w:val="24"/>
                <w:szCs w:val="24"/>
              </w:rPr>
              <w:t>建设项目污染物排放量汇总表</w:t>
            </w:r>
          </w:p>
        </w:tc>
      </w:tr>
      <w:tr w14:paraId="612CC511">
        <w:tblPrEx>
          <w:tblCellMar>
            <w:top w:w="0" w:type="dxa"/>
            <w:left w:w="108" w:type="dxa"/>
            <w:bottom w:w="0" w:type="dxa"/>
            <w:right w:w="108" w:type="dxa"/>
          </w:tblCellMar>
        </w:tblPrEx>
        <w:trPr>
          <w:trHeight w:val="20" w:hRule="atLeast"/>
        </w:trPr>
        <w:tc>
          <w:tcPr>
            <w:tcW w:w="1134" w:type="dxa"/>
            <w:tcBorders>
              <w:tl2br w:val="nil"/>
              <w:tr2bl w:val="nil"/>
            </w:tcBorders>
          </w:tcPr>
          <w:p w14:paraId="7DCB2B23">
            <w:pPr>
              <w:keepNext w:val="0"/>
              <w:keepLines w:val="0"/>
              <w:suppressLineNumbers w:val="0"/>
              <w:spacing w:before="0" w:beforeAutospacing="0" w:after="0" w:afterAutospacing="0"/>
              <w:ind w:left="0" w:right="0"/>
              <w:rPr>
                <w:rFonts w:hint="default" w:ascii="Arial" w:hAnsi="Arial" w:eastAsia="宋体" w:cs="Arial"/>
                <w:sz w:val="24"/>
                <w:szCs w:val="24"/>
                <w:lang w:val="en-US" w:eastAsia="zh-CN"/>
              </w:rPr>
            </w:pPr>
            <w:r>
              <w:rPr>
                <w:rFonts w:hint="eastAsia" w:ascii="Arial" w:hAnsi="Arial" w:eastAsia="宋体" w:cs="Arial"/>
                <w:sz w:val="24"/>
                <w:szCs w:val="24"/>
                <w:lang w:val="en-US" w:eastAsia="zh-CN"/>
              </w:rPr>
              <w:t>附表2</w:t>
            </w:r>
          </w:p>
        </w:tc>
        <w:tc>
          <w:tcPr>
            <w:tcW w:w="7616" w:type="dxa"/>
            <w:tcBorders>
              <w:tl2br w:val="nil"/>
              <w:tr2bl w:val="nil"/>
            </w:tcBorders>
          </w:tcPr>
          <w:p w14:paraId="512C1E6B">
            <w:pPr>
              <w:keepNext w:val="0"/>
              <w:keepLines w:val="0"/>
              <w:suppressLineNumbers w:val="0"/>
              <w:spacing w:before="0" w:beforeAutospacing="0" w:after="0" w:afterAutospacing="0"/>
              <w:ind w:left="0" w:right="0"/>
              <w:rPr>
                <w:rFonts w:hint="default" w:ascii="Arial" w:hAnsi="Arial" w:eastAsia="宋体" w:cs="Arial"/>
                <w:bCs/>
                <w:sz w:val="24"/>
                <w:szCs w:val="24"/>
              </w:rPr>
            </w:pPr>
            <w:r>
              <w:rPr>
                <w:rFonts w:hint="default" w:ascii="Arial" w:hAnsi="Arial" w:eastAsia="宋体" w:cs="Arial"/>
                <w:bCs/>
                <w:sz w:val="24"/>
                <w:szCs w:val="24"/>
              </w:rPr>
              <w:t>建设项目碳排放环境影响评价</w:t>
            </w:r>
          </w:p>
        </w:tc>
      </w:tr>
      <w:tr w14:paraId="66E9497F">
        <w:tblPrEx>
          <w:tblCellMar>
            <w:top w:w="0" w:type="dxa"/>
            <w:left w:w="108" w:type="dxa"/>
            <w:bottom w:w="0" w:type="dxa"/>
            <w:right w:w="108" w:type="dxa"/>
          </w:tblCellMar>
        </w:tblPrEx>
        <w:trPr>
          <w:trHeight w:val="20" w:hRule="atLeast"/>
        </w:trPr>
        <w:tc>
          <w:tcPr>
            <w:tcW w:w="1134" w:type="dxa"/>
            <w:tcBorders>
              <w:tl2br w:val="nil"/>
              <w:tr2bl w:val="nil"/>
            </w:tcBorders>
          </w:tcPr>
          <w:p w14:paraId="60E17EB2">
            <w:pPr>
              <w:keepNext w:val="0"/>
              <w:keepLines w:val="0"/>
              <w:suppressLineNumbers w:val="0"/>
              <w:spacing w:before="0" w:beforeAutospacing="0" w:after="0" w:afterAutospacing="0"/>
              <w:ind w:left="0" w:right="0"/>
              <w:rPr>
                <w:rFonts w:hint="default" w:ascii="Arial" w:hAnsi="Arial" w:eastAsia="宋体" w:cs="Arial"/>
                <w:b/>
                <w:bCs/>
                <w:sz w:val="24"/>
                <w:szCs w:val="24"/>
              </w:rPr>
            </w:pPr>
            <w:r>
              <w:rPr>
                <w:rFonts w:hint="default" w:ascii="Arial" w:hAnsi="Arial" w:eastAsia="宋体" w:cs="Arial"/>
                <w:sz w:val="24"/>
                <w:szCs w:val="24"/>
              </w:rPr>
              <w:t>附图：</w:t>
            </w:r>
          </w:p>
        </w:tc>
        <w:tc>
          <w:tcPr>
            <w:tcW w:w="7616" w:type="dxa"/>
            <w:tcBorders>
              <w:tl2br w:val="nil"/>
              <w:tr2bl w:val="nil"/>
            </w:tcBorders>
          </w:tcPr>
          <w:p w14:paraId="08A5D47C">
            <w:pPr>
              <w:keepNext w:val="0"/>
              <w:keepLines w:val="0"/>
              <w:suppressLineNumbers w:val="0"/>
              <w:spacing w:before="0" w:beforeAutospacing="0" w:after="0" w:afterAutospacing="0"/>
              <w:ind w:left="0" w:right="0"/>
              <w:rPr>
                <w:rFonts w:hint="default" w:ascii="Arial" w:hAnsi="Arial" w:eastAsia="宋体" w:cs="Arial"/>
                <w:b/>
                <w:bCs/>
                <w:sz w:val="24"/>
                <w:szCs w:val="24"/>
              </w:rPr>
            </w:pPr>
          </w:p>
        </w:tc>
      </w:tr>
      <w:tr w14:paraId="5FE2F5FD">
        <w:tblPrEx>
          <w:tblCellMar>
            <w:top w:w="0" w:type="dxa"/>
            <w:left w:w="108" w:type="dxa"/>
            <w:bottom w:w="0" w:type="dxa"/>
            <w:right w:w="108" w:type="dxa"/>
          </w:tblCellMar>
        </w:tblPrEx>
        <w:trPr>
          <w:trHeight w:val="20" w:hRule="atLeast"/>
        </w:trPr>
        <w:tc>
          <w:tcPr>
            <w:tcW w:w="1134" w:type="dxa"/>
            <w:tcBorders>
              <w:tl2br w:val="nil"/>
              <w:tr2bl w:val="nil"/>
            </w:tcBorders>
          </w:tcPr>
          <w:p w14:paraId="2B9DB8B1">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附图1</w:t>
            </w:r>
          </w:p>
        </w:tc>
        <w:tc>
          <w:tcPr>
            <w:tcW w:w="7616" w:type="dxa"/>
            <w:tcBorders>
              <w:tl2br w:val="nil"/>
              <w:tr2bl w:val="nil"/>
            </w:tcBorders>
          </w:tcPr>
          <w:p w14:paraId="4A164E3B">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建设项目地理位置图</w:t>
            </w:r>
          </w:p>
        </w:tc>
      </w:tr>
      <w:tr w14:paraId="3E9787DD">
        <w:tblPrEx>
          <w:tblCellMar>
            <w:top w:w="0" w:type="dxa"/>
            <w:left w:w="108" w:type="dxa"/>
            <w:bottom w:w="0" w:type="dxa"/>
            <w:right w:w="108" w:type="dxa"/>
          </w:tblCellMar>
        </w:tblPrEx>
        <w:trPr>
          <w:trHeight w:val="20" w:hRule="atLeast"/>
        </w:trPr>
        <w:tc>
          <w:tcPr>
            <w:tcW w:w="1134" w:type="dxa"/>
            <w:tcBorders>
              <w:tl2br w:val="nil"/>
              <w:tr2bl w:val="nil"/>
            </w:tcBorders>
          </w:tcPr>
          <w:p w14:paraId="1C250D9E">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附图2</w:t>
            </w:r>
          </w:p>
        </w:tc>
        <w:tc>
          <w:tcPr>
            <w:tcW w:w="7616" w:type="dxa"/>
            <w:tcBorders>
              <w:tl2br w:val="nil"/>
              <w:tr2bl w:val="nil"/>
            </w:tcBorders>
          </w:tcPr>
          <w:p w14:paraId="203EBF76">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建设项目周边环境概况及敏感目标分布图</w:t>
            </w:r>
          </w:p>
        </w:tc>
      </w:tr>
      <w:tr w14:paraId="1A4C56E7">
        <w:tblPrEx>
          <w:tblCellMar>
            <w:top w:w="0" w:type="dxa"/>
            <w:left w:w="108" w:type="dxa"/>
            <w:bottom w:w="0" w:type="dxa"/>
            <w:right w:w="108" w:type="dxa"/>
          </w:tblCellMar>
        </w:tblPrEx>
        <w:trPr>
          <w:trHeight w:val="340" w:hRule="atLeast"/>
        </w:trPr>
        <w:tc>
          <w:tcPr>
            <w:tcW w:w="1134" w:type="dxa"/>
            <w:tcBorders>
              <w:tl2br w:val="nil"/>
              <w:tr2bl w:val="nil"/>
            </w:tcBorders>
          </w:tcPr>
          <w:p w14:paraId="30A6177F">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附图3</w:t>
            </w:r>
          </w:p>
        </w:tc>
        <w:tc>
          <w:tcPr>
            <w:tcW w:w="7616" w:type="dxa"/>
            <w:tcBorders>
              <w:tl2br w:val="nil"/>
              <w:tr2bl w:val="nil"/>
            </w:tcBorders>
          </w:tcPr>
          <w:p w14:paraId="3B979E2A">
            <w:pPr>
              <w:keepNext w:val="0"/>
              <w:keepLines w:val="0"/>
              <w:suppressLineNumbers w:val="0"/>
              <w:spacing w:before="0" w:beforeAutospacing="0" w:after="0" w:afterAutospacing="0"/>
              <w:ind w:left="0" w:right="0"/>
              <w:rPr>
                <w:rFonts w:hint="default" w:ascii="Arial" w:hAnsi="Arial" w:eastAsia="宋体" w:cs="Arial"/>
                <w:sz w:val="24"/>
                <w:szCs w:val="24"/>
                <w:lang w:val="en-US" w:eastAsia="zh-CN"/>
              </w:rPr>
            </w:pPr>
            <w:r>
              <w:rPr>
                <w:rFonts w:hint="default" w:ascii="Arial" w:hAnsi="Arial" w:eastAsia="宋体" w:cs="Arial"/>
                <w:sz w:val="24"/>
                <w:szCs w:val="24"/>
              </w:rPr>
              <w:t>建设项目厂区平面布置图</w:t>
            </w:r>
          </w:p>
        </w:tc>
      </w:tr>
      <w:tr w14:paraId="71244057">
        <w:tblPrEx>
          <w:tblCellMar>
            <w:top w:w="0" w:type="dxa"/>
            <w:left w:w="108" w:type="dxa"/>
            <w:bottom w:w="0" w:type="dxa"/>
            <w:right w:w="108" w:type="dxa"/>
          </w:tblCellMar>
        </w:tblPrEx>
        <w:trPr>
          <w:trHeight w:val="340" w:hRule="atLeast"/>
        </w:trPr>
        <w:tc>
          <w:tcPr>
            <w:tcW w:w="1134" w:type="dxa"/>
            <w:tcBorders>
              <w:tl2br w:val="nil"/>
              <w:tr2bl w:val="nil"/>
            </w:tcBorders>
          </w:tcPr>
          <w:p w14:paraId="459BBDC8">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附图4</w:t>
            </w:r>
          </w:p>
        </w:tc>
        <w:tc>
          <w:tcPr>
            <w:tcW w:w="7616" w:type="dxa"/>
            <w:tcBorders>
              <w:tl2br w:val="nil"/>
              <w:tr2bl w:val="nil"/>
            </w:tcBorders>
          </w:tcPr>
          <w:p w14:paraId="4CE72C3E">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建设项目厂区雨污管网图</w:t>
            </w:r>
          </w:p>
        </w:tc>
      </w:tr>
      <w:tr w14:paraId="31492BF2">
        <w:tblPrEx>
          <w:tblCellMar>
            <w:top w:w="0" w:type="dxa"/>
            <w:left w:w="108" w:type="dxa"/>
            <w:bottom w:w="0" w:type="dxa"/>
            <w:right w:w="108" w:type="dxa"/>
          </w:tblCellMar>
        </w:tblPrEx>
        <w:trPr>
          <w:trHeight w:val="20" w:hRule="atLeast"/>
        </w:trPr>
        <w:tc>
          <w:tcPr>
            <w:tcW w:w="1134" w:type="dxa"/>
            <w:tcBorders>
              <w:tl2br w:val="nil"/>
              <w:tr2bl w:val="nil"/>
            </w:tcBorders>
          </w:tcPr>
          <w:p w14:paraId="6B1198BE">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附图5</w:t>
            </w:r>
          </w:p>
        </w:tc>
        <w:tc>
          <w:tcPr>
            <w:tcW w:w="7616" w:type="dxa"/>
            <w:tcBorders>
              <w:tl2br w:val="nil"/>
              <w:tr2bl w:val="nil"/>
            </w:tcBorders>
            <w:shd w:val="clear" w:color="auto" w:fill="auto"/>
            <w:vAlign w:val="top"/>
          </w:tcPr>
          <w:p w14:paraId="6E09EC20">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lang w:val="en-US" w:eastAsia="zh-CN"/>
              </w:rPr>
              <w:t>水环境功能区划图</w:t>
            </w:r>
          </w:p>
        </w:tc>
      </w:tr>
      <w:tr w14:paraId="76BF8B14">
        <w:tblPrEx>
          <w:tblCellMar>
            <w:top w:w="0" w:type="dxa"/>
            <w:left w:w="108" w:type="dxa"/>
            <w:bottom w:w="0" w:type="dxa"/>
            <w:right w:w="108" w:type="dxa"/>
          </w:tblCellMar>
        </w:tblPrEx>
        <w:trPr>
          <w:trHeight w:val="80" w:hRule="atLeast"/>
        </w:trPr>
        <w:tc>
          <w:tcPr>
            <w:tcW w:w="1134" w:type="dxa"/>
            <w:tcBorders>
              <w:tl2br w:val="nil"/>
              <w:tr2bl w:val="nil"/>
            </w:tcBorders>
          </w:tcPr>
          <w:p w14:paraId="3D60915F">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附图6</w:t>
            </w:r>
          </w:p>
        </w:tc>
        <w:tc>
          <w:tcPr>
            <w:tcW w:w="7616" w:type="dxa"/>
            <w:tcBorders>
              <w:tl2br w:val="nil"/>
              <w:tr2bl w:val="nil"/>
            </w:tcBorders>
            <w:shd w:val="clear" w:color="auto" w:fill="auto"/>
            <w:vAlign w:val="top"/>
          </w:tcPr>
          <w:p w14:paraId="11BDB2DF">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rPr>
              <w:t>环境空气质量功能区划图</w:t>
            </w:r>
          </w:p>
        </w:tc>
      </w:tr>
      <w:tr w14:paraId="0882B994">
        <w:tblPrEx>
          <w:tblCellMar>
            <w:top w:w="0" w:type="dxa"/>
            <w:left w:w="108" w:type="dxa"/>
            <w:bottom w:w="0" w:type="dxa"/>
            <w:right w:w="108" w:type="dxa"/>
          </w:tblCellMar>
        </w:tblPrEx>
        <w:trPr>
          <w:trHeight w:val="80" w:hRule="atLeast"/>
        </w:trPr>
        <w:tc>
          <w:tcPr>
            <w:tcW w:w="1134" w:type="dxa"/>
            <w:tcBorders>
              <w:tl2br w:val="nil"/>
              <w:tr2bl w:val="nil"/>
            </w:tcBorders>
          </w:tcPr>
          <w:p w14:paraId="349E9CC3">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附图7</w:t>
            </w:r>
          </w:p>
        </w:tc>
        <w:tc>
          <w:tcPr>
            <w:tcW w:w="7616" w:type="dxa"/>
            <w:tcBorders>
              <w:tl2br w:val="nil"/>
              <w:tr2bl w:val="nil"/>
            </w:tcBorders>
            <w:shd w:val="clear" w:color="auto" w:fill="auto"/>
            <w:vAlign w:val="top"/>
          </w:tcPr>
          <w:p w14:paraId="4A81978B">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rPr>
              <w:t>平湖市环境管控单元分类图</w:t>
            </w:r>
          </w:p>
        </w:tc>
      </w:tr>
      <w:tr w14:paraId="2402273A">
        <w:tblPrEx>
          <w:tblCellMar>
            <w:top w:w="0" w:type="dxa"/>
            <w:left w:w="108" w:type="dxa"/>
            <w:bottom w:w="0" w:type="dxa"/>
            <w:right w:w="108" w:type="dxa"/>
          </w:tblCellMar>
        </w:tblPrEx>
        <w:trPr>
          <w:trHeight w:val="80" w:hRule="atLeast"/>
        </w:trPr>
        <w:tc>
          <w:tcPr>
            <w:tcW w:w="1134" w:type="dxa"/>
            <w:tcBorders>
              <w:tl2br w:val="nil"/>
              <w:tr2bl w:val="nil"/>
            </w:tcBorders>
          </w:tcPr>
          <w:p w14:paraId="3482B327">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附图8</w:t>
            </w:r>
          </w:p>
        </w:tc>
        <w:tc>
          <w:tcPr>
            <w:tcW w:w="7616" w:type="dxa"/>
            <w:tcBorders>
              <w:tl2br w:val="nil"/>
              <w:tr2bl w:val="nil"/>
            </w:tcBorders>
            <w:shd w:val="clear" w:color="auto" w:fill="auto"/>
            <w:vAlign w:val="top"/>
          </w:tcPr>
          <w:p w14:paraId="7E4F5FD3">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rPr>
              <w:t>平湖市生态红线图</w:t>
            </w:r>
          </w:p>
        </w:tc>
      </w:tr>
      <w:tr w14:paraId="19A7DF12">
        <w:tblPrEx>
          <w:tblCellMar>
            <w:top w:w="0" w:type="dxa"/>
            <w:left w:w="108" w:type="dxa"/>
            <w:bottom w:w="0" w:type="dxa"/>
            <w:right w:w="108" w:type="dxa"/>
          </w:tblCellMar>
        </w:tblPrEx>
        <w:trPr>
          <w:trHeight w:val="80" w:hRule="atLeast"/>
        </w:trPr>
        <w:tc>
          <w:tcPr>
            <w:tcW w:w="1134" w:type="dxa"/>
            <w:tcBorders>
              <w:tl2br w:val="nil"/>
              <w:tr2bl w:val="nil"/>
            </w:tcBorders>
          </w:tcPr>
          <w:p w14:paraId="6CB1323A">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附图9</w:t>
            </w:r>
          </w:p>
        </w:tc>
        <w:tc>
          <w:tcPr>
            <w:tcW w:w="7616" w:type="dxa"/>
            <w:tcBorders>
              <w:tl2br w:val="nil"/>
              <w:tr2bl w:val="nil"/>
            </w:tcBorders>
            <w:shd w:val="clear" w:color="auto" w:fill="auto"/>
            <w:vAlign w:val="top"/>
          </w:tcPr>
          <w:p w14:paraId="6682F9CF">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rPr>
              <w:t>三区三线成果图</w:t>
            </w:r>
          </w:p>
        </w:tc>
      </w:tr>
      <w:tr w14:paraId="3CA17052">
        <w:tblPrEx>
          <w:tblCellMar>
            <w:top w:w="0" w:type="dxa"/>
            <w:left w:w="108" w:type="dxa"/>
            <w:bottom w:w="0" w:type="dxa"/>
            <w:right w:w="108" w:type="dxa"/>
          </w:tblCellMar>
        </w:tblPrEx>
        <w:trPr>
          <w:trHeight w:val="80" w:hRule="atLeast"/>
        </w:trPr>
        <w:tc>
          <w:tcPr>
            <w:tcW w:w="1134" w:type="dxa"/>
            <w:tcBorders>
              <w:tl2br w:val="nil"/>
              <w:tr2bl w:val="nil"/>
            </w:tcBorders>
          </w:tcPr>
          <w:p w14:paraId="07E4C1B5">
            <w:pPr>
              <w:keepNext w:val="0"/>
              <w:keepLines w:val="0"/>
              <w:suppressLineNumbers w:val="0"/>
              <w:spacing w:before="0" w:beforeAutospacing="0" w:after="0" w:afterAutospacing="0"/>
              <w:ind w:left="0" w:right="0"/>
              <w:rPr>
                <w:rFonts w:hint="default" w:ascii="Arial" w:hAnsi="Arial" w:eastAsia="宋体" w:cs="Arial"/>
                <w:sz w:val="24"/>
                <w:szCs w:val="24"/>
                <w:lang w:val="en-US" w:eastAsia="zh-CN"/>
              </w:rPr>
            </w:pPr>
            <w:r>
              <w:rPr>
                <w:rFonts w:hint="eastAsia" w:ascii="Arial" w:hAnsi="Arial" w:eastAsia="宋体" w:cs="Arial"/>
                <w:sz w:val="24"/>
                <w:szCs w:val="24"/>
                <w:lang w:val="en-US" w:eastAsia="zh-CN"/>
              </w:rPr>
              <w:t>附图10</w:t>
            </w:r>
          </w:p>
        </w:tc>
        <w:tc>
          <w:tcPr>
            <w:tcW w:w="7616" w:type="dxa"/>
            <w:tcBorders>
              <w:tl2br w:val="nil"/>
              <w:tr2bl w:val="nil"/>
            </w:tcBorders>
            <w:shd w:val="clear" w:color="auto" w:fill="auto"/>
            <w:vAlign w:val="top"/>
          </w:tcPr>
          <w:p w14:paraId="53A6951E">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rPr>
              <w:t>平湖市</w:t>
            </w:r>
            <w:r>
              <w:rPr>
                <w:rFonts w:hint="default" w:ascii="Arial" w:hAnsi="Arial" w:eastAsia="宋体" w:cs="Arial"/>
                <w:sz w:val="24"/>
                <w:szCs w:val="24"/>
                <w:lang w:val="en-US" w:eastAsia="zh-CN"/>
              </w:rPr>
              <w:t>国土空间总体规划</w:t>
            </w:r>
            <w:r>
              <w:rPr>
                <w:rFonts w:hint="default" w:ascii="Arial" w:hAnsi="Arial" w:eastAsia="宋体" w:cs="Arial"/>
                <w:sz w:val="24"/>
                <w:szCs w:val="24"/>
              </w:rPr>
              <w:t>图</w:t>
            </w:r>
          </w:p>
        </w:tc>
      </w:tr>
      <w:tr w14:paraId="1BDAF435">
        <w:tblPrEx>
          <w:tblCellMar>
            <w:top w:w="0" w:type="dxa"/>
            <w:left w:w="108" w:type="dxa"/>
            <w:bottom w:w="0" w:type="dxa"/>
            <w:right w:w="108" w:type="dxa"/>
          </w:tblCellMar>
        </w:tblPrEx>
        <w:trPr>
          <w:trHeight w:val="20" w:hRule="atLeast"/>
        </w:trPr>
        <w:tc>
          <w:tcPr>
            <w:tcW w:w="1134" w:type="dxa"/>
            <w:tcBorders>
              <w:tl2br w:val="nil"/>
              <w:tr2bl w:val="nil"/>
            </w:tcBorders>
          </w:tcPr>
          <w:p w14:paraId="37D9C833">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附件：</w:t>
            </w:r>
          </w:p>
        </w:tc>
        <w:tc>
          <w:tcPr>
            <w:tcW w:w="7616" w:type="dxa"/>
            <w:tcBorders>
              <w:tl2br w:val="nil"/>
              <w:tr2bl w:val="nil"/>
            </w:tcBorders>
          </w:tcPr>
          <w:p w14:paraId="1111D889">
            <w:pPr>
              <w:keepNext w:val="0"/>
              <w:keepLines w:val="0"/>
              <w:suppressLineNumbers w:val="0"/>
              <w:spacing w:before="0" w:beforeAutospacing="0" w:after="0" w:afterAutospacing="0"/>
              <w:ind w:left="0" w:right="0"/>
              <w:rPr>
                <w:rFonts w:hint="default" w:ascii="Arial" w:hAnsi="Arial" w:eastAsia="宋体" w:cs="Arial"/>
                <w:sz w:val="24"/>
                <w:szCs w:val="24"/>
              </w:rPr>
            </w:pPr>
          </w:p>
        </w:tc>
      </w:tr>
      <w:tr w14:paraId="3F5A0C46">
        <w:tblPrEx>
          <w:tblCellMar>
            <w:top w:w="0" w:type="dxa"/>
            <w:left w:w="108" w:type="dxa"/>
            <w:bottom w:w="0" w:type="dxa"/>
            <w:right w:w="108" w:type="dxa"/>
          </w:tblCellMar>
        </w:tblPrEx>
        <w:trPr>
          <w:trHeight w:val="20" w:hRule="atLeast"/>
        </w:trPr>
        <w:tc>
          <w:tcPr>
            <w:tcW w:w="1134" w:type="dxa"/>
            <w:tcBorders>
              <w:tl2br w:val="nil"/>
              <w:tr2bl w:val="nil"/>
            </w:tcBorders>
          </w:tcPr>
          <w:p w14:paraId="1AA40CD9">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附件1</w:t>
            </w:r>
          </w:p>
        </w:tc>
        <w:tc>
          <w:tcPr>
            <w:tcW w:w="7616" w:type="dxa"/>
            <w:tcBorders>
              <w:tl2br w:val="nil"/>
              <w:tr2bl w:val="nil"/>
            </w:tcBorders>
          </w:tcPr>
          <w:p w14:paraId="61800B9B">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备案通知书</w:t>
            </w:r>
          </w:p>
        </w:tc>
      </w:tr>
      <w:tr w14:paraId="712CC72F">
        <w:tblPrEx>
          <w:tblCellMar>
            <w:top w:w="0" w:type="dxa"/>
            <w:left w:w="108" w:type="dxa"/>
            <w:bottom w:w="0" w:type="dxa"/>
            <w:right w:w="108" w:type="dxa"/>
          </w:tblCellMar>
        </w:tblPrEx>
        <w:trPr>
          <w:trHeight w:val="20" w:hRule="atLeast"/>
        </w:trPr>
        <w:tc>
          <w:tcPr>
            <w:tcW w:w="1134" w:type="dxa"/>
            <w:tcBorders>
              <w:tl2br w:val="nil"/>
              <w:tr2bl w:val="nil"/>
            </w:tcBorders>
          </w:tcPr>
          <w:p w14:paraId="53F7575C">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附件2</w:t>
            </w:r>
          </w:p>
        </w:tc>
        <w:tc>
          <w:tcPr>
            <w:tcW w:w="7616" w:type="dxa"/>
            <w:tcBorders>
              <w:tl2br w:val="nil"/>
              <w:tr2bl w:val="nil"/>
            </w:tcBorders>
          </w:tcPr>
          <w:p w14:paraId="11FADF49">
            <w:pPr>
              <w:keepNext w:val="0"/>
              <w:keepLines w:val="0"/>
              <w:suppressLineNumbers w:val="0"/>
              <w:spacing w:before="0" w:beforeAutospacing="0" w:after="0" w:afterAutospacing="0"/>
              <w:ind w:left="0" w:right="0"/>
              <w:rPr>
                <w:rFonts w:hint="eastAsia" w:ascii="Arial" w:hAnsi="Arial" w:eastAsia="宋体" w:cs="Arial"/>
                <w:sz w:val="24"/>
                <w:szCs w:val="24"/>
                <w:lang w:val="en-US" w:eastAsia="zh-CN"/>
              </w:rPr>
            </w:pPr>
            <w:r>
              <w:rPr>
                <w:rFonts w:hint="eastAsia" w:ascii="Arial" w:hAnsi="Arial" w:eastAsia="宋体" w:cs="Arial"/>
                <w:sz w:val="24"/>
                <w:szCs w:val="24"/>
                <w:lang w:val="en-US" w:eastAsia="zh-CN"/>
              </w:rPr>
              <w:t>营业执照</w:t>
            </w:r>
          </w:p>
        </w:tc>
      </w:tr>
      <w:tr w14:paraId="5AF9C59B">
        <w:tblPrEx>
          <w:tblCellMar>
            <w:top w:w="0" w:type="dxa"/>
            <w:left w:w="108" w:type="dxa"/>
            <w:bottom w:w="0" w:type="dxa"/>
            <w:right w:w="108" w:type="dxa"/>
          </w:tblCellMar>
        </w:tblPrEx>
        <w:trPr>
          <w:trHeight w:val="20" w:hRule="atLeast"/>
        </w:trPr>
        <w:tc>
          <w:tcPr>
            <w:tcW w:w="1134" w:type="dxa"/>
            <w:tcBorders>
              <w:tl2br w:val="nil"/>
              <w:tr2bl w:val="nil"/>
            </w:tcBorders>
          </w:tcPr>
          <w:p w14:paraId="21DB7375">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附件3</w:t>
            </w:r>
          </w:p>
        </w:tc>
        <w:tc>
          <w:tcPr>
            <w:tcW w:w="7616" w:type="dxa"/>
            <w:tcBorders>
              <w:tl2br w:val="nil"/>
              <w:tr2bl w:val="nil"/>
            </w:tcBorders>
            <w:shd w:val="clear" w:color="auto" w:fill="auto"/>
            <w:vAlign w:val="top"/>
          </w:tcPr>
          <w:p w14:paraId="652CCF72">
            <w:pPr>
              <w:keepNext w:val="0"/>
              <w:keepLines w:val="0"/>
              <w:suppressLineNumbers w:val="0"/>
              <w:spacing w:before="0" w:beforeAutospacing="0" w:after="0" w:afterAutospacing="0"/>
              <w:ind w:left="0" w:right="0"/>
              <w:rPr>
                <w:rFonts w:hint="default" w:ascii="Arial" w:hAnsi="Arial" w:eastAsia="宋体" w:cs="Arial"/>
                <w:kern w:val="2"/>
                <w:sz w:val="24"/>
                <w:szCs w:val="24"/>
                <w:lang w:val="en-US" w:eastAsia="zh-CN" w:bidi="ar-SA"/>
              </w:rPr>
            </w:pPr>
            <w:r>
              <w:rPr>
                <w:rFonts w:hint="eastAsia" w:ascii="Arial" w:hAnsi="Arial" w:eastAsia="宋体" w:cs="Arial"/>
                <w:sz w:val="24"/>
                <w:szCs w:val="24"/>
                <w:lang w:val="en-US" w:eastAsia="zh-CN"/>
              </w:rPr>
              <w:t>总量平衡意见</w:t>
            </w:r>
          </w:p>
        </w:tc>
      </w:tr>
      <w:tr w14:paraId="374D63E8">
        <w:tblPrEx>
          <w:tblCellMar>
            <w:top w:w="0" w:type="dxa"/>
            <w:left w:w="108" w:type="dxa"/>
            <w:bottom w:w="0" w:type="dxa"/>
            <w:right w:w="108" w:type="dxa"/>
          </w:tblCellMar>
        </w:tblPrEx>
        <w:trPr>
          <w:trHeight w:val="20" w:hRule="atLeast"/>
        </w:trPr>
        <w:tc>
          <w:tcPr>
            <w:tcW w:w="1134" w:type="dxa"/>
            <w:tcBorders>
              <w:tl2br w:val="nil"/>
              <w:tr2bl w:val="nil"/>
            </w:tcBorders>
          </w:tcPr>
          <w:p w14:paraId="053DB4B2">
            <w:pPr>
              <w:keepNext w:val="0"/>
              <w:keepLines w:val="0"/>
              <w:suppressLineNumbers w:val="0"/>
              <w:spacing w:before="0" w:beforeAutospacing="0" w:after="0" w:afterAutospacing="0"/>
              <w:ind w:left="0" w:right="0"/>
              <w:rPr>
                <w:rFonts w:hint="default" w:ascii="Arial" w:hAnsi="Arial" w:eastAsia="宋体" w:cs="Arial"/>
                <w:sz w:val="24"/>
                <w:szCs w:val="24"/>
                <w:lang w:val="en-US" w:eastAsia="zh-CN"/>
              </w:rPr>
            </w:pPr>
            <w:r>
              <w:rPr>
                <w:rFonts w:hint="eastAsia" w:ascii="Arial" w:hAnsi="Arial" w:eastAsia="宋体" w:cs="Arial"/>
                <w:sz w:val="24"/>
                <w:szCs w:val="24"/>
                <w:lang w:val="en-US" w:eastAsia="zh-CN"/>
              </w:rPr>
              <w:t>附件4</w:t>
            </w:r>
          </w:p>
        </w:tc>
        <w:tc>
          <w:tcPr>
            <w:tcW w:w="7616" w:type="dxa"/>
            <w:tcBorders>
              <w:tl2br w:val="nil"/>
              <w:tr2bl w:val="nil"/>
            </w:tcBorders>
            <w:shd w:val="clear" w:color="auto" w:fill="auto"/>
            <w:vAlign w:val="top"/>
          </w:tcPr>
          <w:p w14:paraId="0B06685B">
            <w:pPr>
              <w:keepNext w:val="0"/>
              <w:keepLines w:val="0"/>
              <w:suppressLineNumbers w:val="0"/>
              <w:spacing w:before="0" w:beforeAutospacing="0" w:after="0" w:afterAutospacing="0"/>
              <w:ind w:left="0" w:right="0"/>
              <w:rPr>
                <w:rFonts w:hint="default" w:ascii="Arial" w:hAnsi="Arial" w:eastAsia="宋体" w:cs="Arial"/>
                <w:sz w:val="24"/>
                <w:szCs w:val="24"/>
                <w:lang w:val="en-US" w:eastAsia="zh-CN"/>
              </w:rPr>
            </w:pPr>
            <w:r>
              <w:rPr>
                <w:rFonts w:hint="eastAsia" w:ascii="Arial" w:hAnsi="Arial" w:eastAsia="宋体" w:cs="Arial"/>
                <w:sz w:val="24"/>
                <w:szCs w:val="24"/>
                <w:lang w:val="en-US" w:eastAsia="zh-CN"/>
              </w:rPr>
              <w:t>不动产权证及租赁合同</w:t>
            </w:r>
          </w:p>
        </w:tc>
      </w:tr>
      <w:tr w14:paraId="24DBF9E8">
        <w:tblPrEx>
          <w:tblCellMar>
            <w:top w:w="0" w:type="dxa"/>
            <w:left w:w="108" w:type="dxa"/>
            <w:bottom w:w="0" w:type="dxa"/>
            <w:right w:w="108" w:type="dxa"/>
          </w:tblCellMar>
        </w:tblPrEx>
        <w:trPr>
          <w:trHeight w:val="20" w:hRule="atLeast"/>
        </w:trPr>
        <w:tc>
          <w:tcPr>
            <w:tcW w:w="1134" w:type="dxa"/>
            <w:tcBorders>
              <w:tl2br w:val="nil"/>
              <w:tr2bl w:val="nil"/>
            </w:tcBorders>
          </w:tcPr>
          <w:p w14:paraId="509DE31F">
            <w:pPr>
              <w:keepNext w:val="0"/>
              <w:keepLines w:val="0"/>
              <w:suppressLineNumbers w:val="0"/>
              <w:spacing w:before="0" w:beforeAutospacing="0" w:after="0" w:afterAutospacing="0"/>
              <w:ind w:left="0" w:right="0"/>
              <w:rPr>
                <w:rFonts w:hint="default" w:ascii="Arial" w:hAnsi="Arial" w:eastAsia="宋体" w:cs="Arial"/>
                <w:sz w:val="24"/>
                <w:szCs w:val="24"/>
                <w:lang w:val="en-US" w:eastAsia="zh-CN"/>
              </w:rPr>
            </w:pPr>
            <w:r>
              <w:rPr>
                <w:rFonts w:hint="eastAsia" w:ascii="Arial" w:hAnsi="Arial" w:eastAsia="宋体" w:cs="Arial"/>
                <w:sz w:val="24"/>
                <w:szCs w:val="24"/>
                <w:lang w:val="en-US" w:eastAsia="zh-CN"/>
              </w:rPr>
              <w:t>附件5</w:t>
            </w:r>
          </w:p>
        </w:tc>
        <w:tc>
          <w:tcPr>
            <w:tcW w:w="7616" w:type="dxa"/>
            <w:tcBorders>
              <w:tl2br w:val="nil"/>
              <w:tr2bl w:val="nil"/>
            </w:tcBorders>
            <w:shd w:val="clear" w:color="auto" w:fill="auto"/>
            <w:vAlign w:val="top"/>
          </w:tcPr>
          <w:p w14:paraId="3C937246">
            <w:pPr>
              <w:keepNext w:val="0"/>
              <w:keepLines w:val="0"/>
              <w:suppressLineNumbers w:val="0"/>
              <w:spacing w:before="0" w:beforeAutospacing="0" w:after="0" w:afterAutospacing="0"/>
              <w:ind w:left="0" w:leftChars="0" w:right="0" w:rightChars="0"/>
              <w:rPr>
                <w:rFonts w:hint="default" w:ascii="Arial" w:hAnsi="Arial" w:eastAsia="宋体" w:cs="Arial"/>
                <w:kern w:val="2"/>
                <w:sz w:val="24"/>
                <w:szCs w:val="24"/>
                <w:lang w:val="en-US" w:eastAsia="zh-CN" w:bidi="ar-SA"/>
              </w:rPr>
            </w:pPr>
            <w:r>
              <w:rPr>
                <w:rFonts w:hint="default" w:ascii="Arial" w:hAnsi="Arial" w:eastAsia="宋体" w:cs="Arial"/>
                <w:sz w:val="24"/>
                <w:szCs w:val="24"/>
              </w:rPr>
              <w:t>主要化学品MSDS</w:t>
            </w:r>
          </w:p>
        </w:tc>
      </w:tr>
      <w:tr w14:paraId="2E940063">
        <w:tblPrEx>
          <w:tblCellMar>
            <w:top w:w="0" w:type="dxa"/>
            <w:left w:w="108" w:type="dxa"/>
            <w:bottom w:w="0" w:type="dxa"/>
            <w:right w:w="108" w:type="dxa"/>
          </w:tblCellMar>
        </w:tblPrEx>
        <w:trPr>
          <w:trHeight w:val="20" w:hRule="atLeast"/>
        </w:trPr>
        <w:tc>
          <w:tcPr>
            <w:tcW w:w="1134" w:type="dxa"/>
            <w:tcBorders>
              <w:tl2br w:val="nil"/>
              <w:tr2bl w:val="nil"/>
            </w:tcBorders>
          </w:tcPr>
          <w:p w14:paraId="321E3EB5">
            <w:pPr>
              <w:keepNext w:val="0"/>
              <w:keepLines w:val="0"/>
              <w:suppressLineNumbers w:val="0"/>
              <w:spacing w:before="0" w:beforeAutospacing="0" w:after="0" w:afterAutospacing="0"/>
              <w:ind w:left="0" w:right="0"/>
              <w:rPr>
                <w:rFonts w:hint="eastAsia" w:ascii="Arial" w:hAnsi="Arial" w:eastAsia="宋体" w:cs="Arial"/>
                <w:sz w:val="24"/>
                <w:szCs w:val="24"/>
                <w:lang w:val="en-US" w:eastAsia="zh-CN"/>
              </w:rPr>
            </w:pPr>
          </w:p>
        </w:tc>
        <w:tc>
          <w:tcPr>
            <w:tcW w:w="7616" w:type="dxa"/>
            <w:tcBorders>
              <w:tl2br w:val="nil"/>
              <w:tr2bl w:val="nil"/>
            </w:tcBorders>
            <w:shd w:val="clear" w:color="auto" w:fill="auto"/>
            <w:vAlign w:val="top"/>
          </w:tcPr>
          <w:p w14:paraId="4AB31820">
            <w:pPr>
              <w:keepNext w:val="0"/>
              <w:keepLines w:val="0"/>
              <w:suppressLineNumbers w:val="0"/>
              <w:spacing w:before="0" w:beforeAutospacing="0" w:after="0" w:afterAutospacing="0"/>
              <w:ind w:left="0" w:right="0"/>
              <w:rPr>
                <w:rFonts w:hint="default" w:ascii="Arial" w:hAnsi="Arial" w:eastAsia="宋体" w:cs="Arial"/>
                <w:sz w:val="24"/>
                <w:szCs w:val="24"/>
              </w:rPr>
            </w:pPr>
          </w:p>
        </w:tc>
      </w:tr>
    </w:tbl>
    <w:p w14:paraId="1BF37C83">
      <w:pPr>
        <w:spacing w:line="360" w:lineRule="auto"/>
        <w:rPr>
          <w:rFonts w:hint="default" w:ascii="Arial" w:hAnsi="Arial" w:eastAsia="宋体" w:cs="Arial"/>
          <w:b/>
          <w:bCs/>
          <w:sz w:val="32"/>
          <w:szCs w:val="32"/>
        </w:rPr>
        <w:sectPr>
          <w:pgSz w:w="11906" w:h="16838"/>
          <w:pgMar w:top="1440" w:right="1287" w:bottom="1440" w:left="1701" w:header="851" w:footer="992" w:gutter="0"/>
          <w:cols w:space="425" w:num="1"/>
          <w:docGrid w:type="linesAndChars" w:linePitch="340" w:charSpace="0"/>
        </w:sectPr>
      </w:pPr>
    </w:p>
    <w:tbl>
      <w:tblPr>
        <w:tblStyle w:val="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85" w:type="dxa"/>
          <w:bottom w:w="85" w:type="dxa"/>
          <w:right w:w="85" w:type="dxa"/>
        </w:tblCellMar>
      </w:tblPr>
      <w:tblGrid>
        <w:gridCol w:w="1882"/>
        <w:gridCol w:w="2254"/>
        <w:gridCol w:w="2184"/>
        <w:gridCol w:w="2768"/>
      </w:tblGrid>
      <w:tr w14:paraId="3D16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2FA8750A">
            <w:pPr>
              <w:keepNext w:val="0"/>
              <w:keepLines w:val="0"/>
              <w:suppressLineNumbers w:val="0"/>
              <w:spacing w:before="0" w:beforeAutospacing="0" w:after="0" w:afterAutospacing="0"/>
              <w:ind w:left="0" w:right="0"/>
              <w:jc w:val="center"/>
              <w:rPr>
                <w:rFonts w:hint="default" w:ascii="Arial" w:hAnsi="Arial" w:eastAsia="宋体" w:cs="Arial"/>
                <w:b/>
                <w:sz w:val="24"/>
                <w:szCs w:val="24"/>
              </w:rPr>
            </w:pPr>
            <w:r>
              <w:rPr>
                <w:rFonts w:hint="default" w:ascii="Arial" w:hAnsi="Arial" w:eastAsia="宋体" w:cs="Arial"/>
                <w:sz w:val="24"/>
                <w:szCs w:val="24"/>
              </w:rPr>
              <w:t>建设项目名称</w:t>
            </w:r>
          </w:p>
        </w:tc>
        <w:tc>
          <w:tcPr>
            <w:tcW w:w="7206" w:type="dxa"/>
            <w:gridSpan w:val="3"/>
            <w:vAlign w:val="center"/>
          </w:tcPr>
          <w:p w14:paraId="50BEE129">
            <w:pPr>
              <w:keepNext w:val="0"/>
              <w:keepLines w:val="0"/>
              <w:suppressLineNumbers w:val="0"/>
              <w:spacing w:before="0" w:beforeAutospacing="0" w:after="0" w:afterAutospacing="0"/>
              <w:ind w:left="0" w:right="0"/>
              <w:jc w:val="center"/>
              <w:rPr>
                <w:rFonts w:hint="default" w:ascii="Arial" w:hAnsi="Arial" w:eastAsia="宋体" w:cs="Arial"/>
                <w:sz w:val="24"/>
                <w:lang w:val="en-GB" w:eastAsia="zh-CN"/>
              </w:rPr>
            </w:pPr>
            <w:r>
              <w:rPr>
                <w:rFonts w:hint="default" w:ascii="Arial" w:hAnsi="Arial" w:eastAsia="宋体" w:cs="Arial"/>
                <w:sz w:val="24"/>
                <w:szCs w:val="24"/>
                <w:lang w:eastAsia="zh-CN"/>
              </w:rPr>
              <w:t>浙江海科汽车部件有限公司</w:t>
            </w:r>
            <w:r>
              <w:rPr>
                <w:rFonts w:hint="default" w:ascii="Arial" w:hAnsi="Arial" w:eastAsia="宋体" w:cs="Arial"/>
                <w:sz w:val="24"/>
                <w:szCs w:val="24"/>
                <w:lang w:val="en-US" w:eastAsia="zh-CN"/>
              </w:rPr>
              <w:t>年产1000万只传动系统部件项目</w:t>
            </w:r>
          </w:p>
        </w:tc>
      </w:tr>
      <w:tr w14:paraId="03E3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008DCE1B">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项目代码</w:t>
            </w:r>
          </w:p>
        </w:tc>
        <w:tc>
          <w:tcPr>
            <w:tcW w:w="7206" w:type="dxa"/>
            <w:gridSpan w:val="3"/>
            <w:vAlign w:val="center"/>
          </w:tcPr>
          <w:p w14:paraId="4F73BE9E">
            <w:pPr>
              <w:keepNext w:val="0"/>
              <w:keepLines w:val="0"/>
              <w:suppressLineNumbers w:val="0"/>
              <w:spacing w:before="0" w:beforeAutospacing="0" w:after="0" w:afterAutospacing="0"/>
              <w:ind w:left="0" w:right="0"/>
              <w:jc w:val="center"/>
              <w:rPr>
                <w:rFonts w:hint="default" w:ascii="Arial" w:hAnsi="Arial" w:eastAsia="宋体" w:cs="Arial"/>
                <w:sz w:val="24"/>
                <w:lang w:val="en-GB" w:eastAsia="zh-CN"/>
              </w:rPr>
            </w:pPr>
            <w:r>
              <w:rPr>
                <w:rFonts w:hint="default" w:ascii="Arial" w:hAnsi="Arial" w:eastAsia="宋体" w:cs="Arial"/>
                <w:sz w:val="24"/>
                <w:lang w:val="en-GB" w:eastAsia="zh-CN"/>
              </w:rPr>
              <w:t>2508-330482-04-01-124768</w:t>
            </w:r>
          </w:p>
        </w:tc>
      </w:tr>
      <w:tr w14:paraId="48E5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0FD77D8B">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建设单位联系人</w:t>
            </w:r>
          </w:p>
        </w:tc>
        <w:tc>
          <w:tcPr>
            <w:tcW w:w="2254" w:type="dxa"/>
            <w:vAlign w:val="center"/>
          </w:tcPr>
          <w:p w14:paraId="7236CF85">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p>
        </w:tc>
        <w:tc>
          <w:tcPr>
            <w:tcW w:w="2184" w:type="dxa"/>
            <w:vAlign w:val="center"/>
          </w:tcPr>
          <w:p w14:paraId="42A17B71">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联系方式</w:t>
            </w:r>
          </w:p>
        </w:tc>
        <w:tc>
          <w:tcPr>
            <w:tcW w:w="2768" w:type="dxa"/>
            <w:vAlign w:val="center"/>
          </w:tcPr>
          <w:p w14:paraId="314031AB">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bookmarkStart w:id="8" w:name="_GoBack"/>
            <w:bookmarkEnd w:id="8"/>
          </w:p>
        </w:tc>
      </w:tr>
      <w:tr w14:paraId="05EE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5C79D40E">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建设地点</w:t>
            </w:r>
          </w:p>
        </w:tc>
        <w:tc>
          <w:tcPr>
            <w:tcW w:w="7206" w:type="dxa"/>
            <w:gridSpan w:val="3"/>
            <w:vAlign w:val="center"/>
          </w:tcPr>
          <w:p w14:paraId="0B50001D">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r>
              <w:rPr>
                <w:rFonts w:hint="default" w:ascii="Arial" w:hAnsi="Arial" w:eastAsia="宋体" w:cs="Arial"/>
                <w:sz w:val="24"/>
                <w:szCs w:val="24"/>
                <w:lang w:eastAsia="zh-CN"/>
              </w:rPr>
              <w:t>平湖经济技术开发区平善大道4885号内三号楼一层</w:t>
            </w:r>
          </w:p>
        </w:tc>
      </w:tr>
      <w:tr w14:paraId="261C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7BBC35E4">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地理坐标</w:t>
            </w:r>
          </w:p>
        </w:tc>
        <w:tc>
          <w:tcPr>
            <w:tcW w:w="7206" w:type="dxa"/>
            <w:gridSpan w:val="3"/>
            <w:vAlign w:val="center"/>
          </w:tcPr>
          <w:p w14:paraId="7F95D7EA">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30°4</w:t>
            </w:r>
            <w:r>
              <w:rPr>
                <w:rFonts w:hint="default" w:ascii="Arial" w:hAnsi="Arial" w:eastAsia="宋体" w:cs="Arial"/>
                <w:sz w:val="24"/>
                <w:szCs w:val="24"/>
                <w:lang w:val="en-US" w:eastAsia="zh-CN"/>
              </w:rPr>
              <w:t>5</w:t>
            </w:r>
            <w:r>
              <w:rPr>
                <w:rFonts w:hint="default" w:ascii="Arial" w:hAnsi="Arial" w:eastAsia="宋体" w:cs="Arial"/>
                <w:sz w:val="24"/>
                <w:szCs w:val="24"/>
              </w:rPr>
              <w:t xml:space="preserve">' </w:t>
            </w:r>
            <w:r>
              <w:rPr>
                <w:rFonts w:hint="default" w:ascii="Arial" w:hAnsi="Arial" w:eastAsia="宋体" w:cs="Arial"/>
                <w:sz w:val="24"/>
                <w:szCs w:val="24"/>
                <w:lang w:val="en-US" w:eastAsia="zh-CN"/>
              </w:rPr>
              <w:t>12.224</w:t>
            </w:r>
            <w:r>
              <w:rPr>
                <w:rFonts w:hint="default" w:ascii="Arial" w:hAnsi="Arial" w:eastAsia="宋体" w:cs="Arial"/>
                <w:sz w:val="24"/>
                <w:szCs w:val="24"/>
              </w:rPr>
              <w:t>"N，120°5</w:t>
            </w:r>
            <w:r>
              <w:rPr>
                <w:rFonts w:hint="default" w:ascii="Arial" w:hAnsi="Arial" w:eastAsia="宋体" w:cs="Arial"/>
                <w:sz w:val="24"/>
                <w:szCs w:val="24"/>
                <w:lang w:val="en-US" w:eastAsia="zh-CN"/>
              </w:rPr>
              <w:t>9</w:t>
            </w:r>
            <w:r>
              <w:rPr>
                <w:rFonts w:hint="default" w:ascii="Arial" w:hAnsi="Arial" w:eastAsia="宋体" w:cs="Arial"/>
                <w:sz w:val="24"/>
                <w:szCs w:val="24"/>
              </w:rPr>
              <w:t xml:space="preserve">' </w:t>
            </w:r>
            <w:r>
              <w:rPr>
                <w:rFonts w:hint="default" w:ascii="Arial" w:hAnsi="Arial" w:eastAsia="宋体" w:cs="Arial"/>
                <w:sz w:val="24"/>
                <w:szCs w:val="24"/>
                <w:lang w:val="en-US" w:eastAsia="zh-CN"/>
              </w:rPr>
              <w:t>4.660</w:t>
            </w:r>
            <w:r>
              <w:rPr>
                <w:rFonts w:hint="default" w:ascii="Arial" w:hAnsi="Arial" w:eastAsia="宋体" w:cs="Arial"/>
                <w:sz w:val="24"/>
                <w:szCs w:val="24"/>
              </w:rPr>
              <w:t>"E</w:t>
            </w:r>
          </w:p>
        </w:tc>
      </w:tr>
      <w:tr w14:paraId="36CF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6AEDBD67">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国民经济</w:t>
            </w:r>
            <w:r>
              <w:rPr>
                <w:rFonts w:hint="default" w:ascii="Arial" w:hAnsi="Arial" w:eastAsia="宋体" w:cs="Arial"/>
                <w:sz w:val="24"/>
                <w:lang w:val="en-GB"/>
              </w:rPr>
              <w:br w:type="textWrapping"/>
            </w:r>
            <w:r>
              <w:rPr>
                <w:rFonts w:hint="default" w:ascii="Arial" w:hAnsi="Arial" w:eastAsia="宋体" w:cs="Arial"/>
                <w:sz w:val="24"/>
                <w:lang w:val="en-GB"/>
              </w:rPr>
              <w:t>行业类别</w:t>
            </w:r>
          </w:p>
        </w:tc>
        <w:tc>
          <w:tcPr>
            <w:tcW w:w="2254" w:type="dxa"/>
            <w:vAlign w:val="center"/>
          </w:tcPr>
          <w:p w14:paraId="0E699156">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rPr>
            </w:pPr>
            <w:r>
              <w:rPr>
                <w:rFonts w:hint="default" w:ascii="Arial" w:hAnsi="Arial" w:eastAsia="宋体" w:cs="Arial"/>
                <w:sz w:val="24"/>
                <w:szCs w:val="24"/>
              </w:rPr>
              <w:t>C</w:t>
            </w:r>
            <w:r>
              <w:rPr>
                <w:rFonts w:hint="default" w:ascii="Arial" w:hAnsi="Arial" w:eastAsia="宋体" w:cs="Arial"/>
                <w:sz w:val="24"/>
                <w:szCs w:val="24"/>
                <w:lang w:val="en-US" w:eastAsia="zh-CN"/>
              </w:rPr>
              <w:t>3670汽车零部件及配件制造</w:t>
            </w:r>
          </w:p>
        </w:tc>
        <w:tc>
          <w:tcPr>
            <w:tcW w:w="2184" w:type="dxa"/>
            <w:vAlign w:val="center"/>
          </w:tcPr>
          <w:p w14:paraId="5EA6A180">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建设项目</w:t>
            </w:r>
          </w:p>
          <w:p w14:paraId="70EE326E">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行业类别</w:t>
            </w:r>
          </w:p>
        </w:tc>
        <w:tc>
          <w:tcPr>
            <w:tcW w:w="2768" w:type="dxa"/>
            <w:vAlign w:val="center"/>
          </w:tcPr>
          <w:p w14:paraId="58D84548">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rPr>
            </w:pPr>
            <w:r>
              <w:rPr>
                <w:rFonts w:hint="default" w:ascii="Arial" w:hAnsi="Arial" w:eastAsia="宋体" w:cs="Arial"/>
                <w:sz w:val="24"/>
                <w:szCs w:val="24"/>
                <w:lang w:val="en-US"/>
              </w:rPr>
              <w:t>三十三、汽车制造业—71、汽车零部件及配件制造367</w:t>
            </w:r>
          </w:p>
        </w:tc>
      </w:tr>
      <w:tr w14:paraId="25FC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2BCF79DC">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建设性质</w:t>
            </w:r>
          </w:p>
        </w:tc>
        <w:tc>
          <w:tcPr>
            <w:tcW w:w="2254" w:type="dxa"/>
            <w:vAlign w:val="center"/>
          </w:tcPr>
          <w:p w14:paraId="629A1495">
            <w:pPr>
              <w:keepNext w:val="0"/>
              <w:keepLines w:val="0"/>
              <w:suppressLineNumbers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lang w:eastAsia="zh-CN"/>
              </w:rPr>
              <w:t>☑</w:t>
            </w:r>
            <w:r>
              <w:rPr>
                <w:rFonts w:hint="default" w:ascii="Arial" w:hAnsi="Arial" w:eastAsia="宋体" w:cs="Arial"/>
                <w:szCs w:val="21"/>
              </w:rPr>
              <w:t>新建</w:t>
            </w:r>
          </w:p>
          <w:p w14:paraId="0B54F836">
            <w:pPr>
              <w:keepNext w:val="0"/>
              <w:keepLines w:val="0"/>
              <w:suppressLineNumbers w:val="0"/>
              <w:spacing w:before="0" w:beforeAutospacing="0" w:after="0" w:afterAutospacing="0"/>
              <w:ind w:left="0" w:right="0"/>
              <w:rPr>
                <w:rFonts w:hint="default" w:ascii="Arial" w:hAnsi="Arial" w:eastAsia="宋体" w:cs="Arial"/>
                <w:szCs w:val="21"/>
              </w:rPr>
            </w:pPr>
            <w:r>
              <w:rPr>
                <w:rFonts w:hint="eastAsia" w:ascii="Arial" w:hAnsi="Arial" w:eastAsia="宋体" w:cs="Arial"/>
                <w:szCs w:val="21"/>
                <w:lang w:eastAsia="zh-CN"/>
              </w:rPr>
              <w:t>□</w:t>
            </w:r>
            <w:r>
              <w:rPr>
                <w:rFonts w:hint="default" w:ascii="Arial" w:hAnsi="Arial" w:eastAsia="宋体" w:cs="Arial"/>
                <w:szCs w:val="21"/>
              </w:rPr>
              <w:t>改建</w:t>
            </w:r>
          </w:p>
          <w:p w14:paraId="00B7FD69">
            <w:pPr>
              <w:keepNext w:val="0"/>
              <w:keepLines w:val="0"/>
              <w:suppressLineNumbers w:val="0"/>
              <w:spacing w:before="0" w:beforeAutospacing="0" w:after="0" w:afterAutospacing="0"/>
              <w:ind w:left="0" w:right="0"/>
              <w:rPr>
                <w:rFonts w:hint="default" w:ascii="Arial" w:hAnsi="Arial" w:eastAsia="宋体" w:cs="Arial"/>
                <w:szCs w:val="21"/>
              </w:rPr>
            </w:pPr>
            <w:r>
              <w:rPr>
                <w:rFonts w:hint="eastAsia" w:ascii="Arial" w:hAnsi="Arial" w:eastAsia="宋体" w:cs="Arial"/>
                <w:szCs w:val="21"/>
                <w:lang w:eastAsia="zh-CN"/>
              </w:rPr>
              <w:t>□</w:t>
            </w:r>
            <w:r>
              <w:rPr>
                <w:rFonts w:hint="default" w:ascii="Arial" w:hAnsi="Arial" w:eastAsia="宋体" w:cs="Arial"/>
                <w:szCs w:val="21"/>
              </w:rPr>
              <w:t>扩建</w:t>
            </w:r>
          </w:p>
          <w:p w14:paraId="1CB9D3EA">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eastAsia" w:ascii="Arial" w:hAnsi="Arial" w:eastAsia="宋体" w:cs="Arial"/>
                <w:szCs w:val="21"/>
                <w:lang w:eastAsia="zh-CN"/>
              </w:rPr>
              <w:t>□</w:t>
            </w:r>
            <w:r>
              <w:rPr>
                <w:rFonts w:hint="default" w:ascii="Arial" w:hAnsi="Arial" w:eastAsia="宋体" w:cs="Arial"/>
                <w:szCs w:val="21"/>
              </w:rPr>
              <w:t>技术改造</w:t>
            </w:r>
          </w:p>
        </w:tc>
        <w:tc>
          <w:tcPr>
            <w:tcW w:w="2184" w:type="dxa"/>
            <w:vAlign w:val="center"/>
          </w:tcPr>
          <w:p w14:paraId="2B85F340">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建设项目</w:t>
            </w:r>
            <w:r>
              <w:rPr>
                <w:rFonts w:hint="default" w:ascii="Arial" w:hAnsi="Arial" w:eastAsia="宋体" w:cs="Arial"/>
                <w:sz w:val="24"/>
                <w:lang w:val="en-GB"/>
              </w:rPr>
              <w:br w:type="textWrapping"/>
            </w:r>
            <w:r>
              <w:rPr>
                <w:rFonts w:hint="default" w:ascii="Arial" w:hAnsi="Arial" w:eastAsia="宋体" w:cs="Arial"/>
                <w:sz w:val="24"/>
                <w:lang w:val="en-GB"/>
              </w:rPr>
              <w:t>申报情形</w:t>
            </w:r>
          </w:p>
        </w:tc>
        <w:tc>
          <w:tcPr>
            <w:tcW w:w="2768" w:type="dxa"/>
            <w:vAlign w:val="center"/>
          </w:tcPr>
          <w:p w14:paraId="3F0CFE99">
            <w:pPr>
              <w:keepNext w:val="0"/>
              <w:keepLines w:val="0"/>
              <w:suppressLineNumbers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lang w:eastAsia="zh-CN"/>
              </w:rPr>
              <w:t>☑</w:t>
            </w:r>
            <w:r>
              <w:rPr>
                <w:rFonts w:hint="default" w:ascii="Arial" w:hAnsi="Arial" w:eastAsia="宋体" w:cs="Arial"/>
                <w:szCs w:val="21"/>
              </w:rPr>
              <w:t>首次申报项目</w:t>
            </w:r>
          </w:p>
          <w:p w14:paraId="2E6A27B1">
            <w:pPr>
              <w:keepNext w:val="0"/>
              <w:keepLines w:val="0"/>
              <w:suppressLineNumbers w:val="0"/>
              <w:spacing w:before="0" w:beforeAutospacing="0" w:after="0" w:afterAutospacing="0"/>
              <w:ind w:left="0" w:right="0"/>
              <w:rPr>
                <w:rFonts w:hint="default" w:ascii="Arial" w:hAnsi="Arial" w:eastAsia="宋体" w:cs="Arial"/>
                <w:szCs w:val="21"/>
              </w:rPr>
            </w:pPr>
            <w:r>
              <w:rPr>
                <w:rFonts w:hint="eastAsia" w:ascii="Arial" w:hAnsi="Arial" w:eastAsia="宋体" w:cs="Arial"/>
                <w:szCs w:val="21"/>
                <w:lang w:eastAsia="zh-CN"/>
              </w:rPr>
              <w:t>□</w:t>
            </w:r>
            <w:r>
              <w:rPr>
                <w:rFonts w:hint="default" w:ascii="Arial" w:hAnsi="Arial" w:eastAsia="宋体" w:cs="Arial"/>
                <w:szCs w:val="21"/>
              </w:rPr>
              <w:t>不予批准后再次申报项目</w:t>
            </w:r>
          </w:p>
          <w:p w14:paraId="582B180C">
            <w:pPr>
              <w:keepNext w:val="0"/>
              <w:keepLines w:val="0"/>
              <w:suppressLineNumbers w:val="0"/>
              <w:spacing w:before="0" w:beforeAutospacing="0" w:after="0" w:afterAutospacing="0"/>
              <w:ind w:left="0" w:right="0"/>
              <w:rPr>
                <w:rFonts w:hint="default" w:ascii="Arial" w:hAnsi="Arial" w:eastAsia="宋体" w:cs="Arial"/>
                <w:szCs w:val="21"/>
              </w:rPr>
            </w:pPr>
            <w:r>
              <w:rPr>
                <w:rFonts w:hint="eastAsia" w:ascii="Arial" w:hAnsi="Arial" w:eastAsia="宋体" w:cs="Arial"/>
                <w:szCs w:val="21"/>
                <w:lang w:eastAsia="zh-CN"/>
              </w:rPr>
              <w:t>□</w:t>
            </w:r>
            <w:r>
              <w:rPr>
                <w:rFonts w:hint="default" w:ascii="Arial" w:hAnsi="Arial" w:eastAsia="宋体" w:cs="Arial"/>
                <w:szCs w:val="21"/>
              </w:rPr>
              <w:t>超五年重新审核项目</w:t>
            </w:r>
          </w:p>
          <w:p w14:paraId="088587F8">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eastAsia" w:ascii="Arial" w:hAnsi="Arial" w:eastAsia="宋体" w:cs="Arial"/>
                <w:szCs w:val="21"/>
                <w:lang w:eastAsia="zh-CN"/>
              </w:rPr>
              <w:t>□</w:t>
            </w:r>
            <w:r>
              <w:rPr>
                <w:rFonts w:hint="default" w:ascii="Arial" w:hAnsi="Arial" w:eastAsia="宋体" w:cs="Arial"/>
                <w:szCs w:val="21"/>
              </w:rPr>
              <w:t>重大变动重新报批项目</w:t>
            </w:r>
          </w:p>
        </w:tc>
      </w:tr>
      <w:tr w14:paraId="5270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467EDE2F">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项目审批（核准/备案）部门</w:t>
            </w:r>
          </w:p>
        </w:tc>
        <w:tc>
          <w:tcPr>
            <w:tcW w:w="2254" w:type="dxa"/>
            <w:vAlign w:val="center"/>
          </w:tcPr>
          <w:p w14:paraId="4C238AAD">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r>
              <w:rPr>
                <w:rFonts w:hint="default" w:ascii="Arial" w:hAnsi="Arial" w:eastAsia="宋体" w:cs="Arial"/>
                <w:sz w:val="24"/>
                <w:szCs w:val="24"/>
              </w:rPr>
              <w:t>平湖市</w:t>
            </w:r>
            <w:r>
              <w:rPr>
                <w:rFonts w:hint="default" w:ascii="Arial" w:hAnsi="Arial" w:eastAsia="宋体" w:cs="Arial"/>
                <w:sz w:val="24"/>
                <w:szCs w:val="24"/>
                <w:lang w:val="en-US" w:eastAsia="zh-CN"/>
              </w:rPr>
              <w:t>发展和改革局</w:t>
            </w:r>
          </w:p>
        </w:tc>
        <w:tc>
          <w:tcPr>
            <w:tcW w:w="2184" w:type="dxa"/>
            <w:vAlign w:val="center"/>
          </w:tcPr>
          <w:p w14:paraId="311E67B3">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项目审批（核准/备案）文号</w:t>
            </w:r>
          </w:p>
        </w:tc>
        <w:tc>
          <w:tcPr>
            <w:tcW w:w="2768" w:type="dxa"/>
            <w:vAlign w:val="center"/>
          </w:tcPr>
          <w:p w14:paraId="5F049BC3">
            <w:pPr>
              <w:keepNext w:val="0"/>
              <w:keepLines w:val="0"/>
              <w:suppressLineNumbers w:val="0"/>
              <w:spacing w:before="0" w:beforeAutospacing="0" w:after="0" w:afterAutospacing="0"/>
              <w:ind w:left="0" w:right="0"/>
              <w:jc w:val="center"/>
              <w:rPr>
                <w:rFonts w:hint="default" w:ascii="Arial" w:hAnsi="Arial" w:eastAsia="宋体" w:cs="Arial"/>
                <w:sz w:val="24"/>
                <w:szCs w:val="24"/>
                <w:lang w:eastAsia="zh-CN"/>
              </w:rPr>
            </w:pPr>
            <w:r>
              <w:rPr>
                <w:rFonts w:hint="default" w:ascii="Arial" w:hAnsi="Arial" w:eastAsia="宋体" w:cs="Arial"/>
                <w:sz w:val="24"/>
                <w:lang w:val="en-GB" w:eastAsia="zh-CN"/>
              </w:rPr>
              <w:t>2508-330482-04-01-124768</w:t>
            </w:r>
          </w:p>
        </w:tc>
      </w:tr>
      <w:tr w14:paraId="67C2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33904CA4">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总投资</w:t>
            </w:r>
          </w:p>
          <w:p w14:paraId="32E28359">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（万元）</w:t>
            </w:r>
          </w:p>
        </w:tc>
        <w:tc>
          <w:tcPr>
            <w:tcW w:w="2254" w:type="dxa"/>
            <w:vAlign w:val="center"/>
          </w:tcPr>
          <w:p w14:paraId="086BAE1A">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r>
              <w:rPr>
                <w:rFonts w:hint="default" w:ascii="Arial" w:hAnsi="Arial" w:eastAsia="宋体" w:cs="Arial"/>
                <w:sz w:val="24"/>
                <w:szCs w:val="24"/>
                <w:lang w:val="en-US" w:eastAsia="zh-CN"/>
              </w:rPr>
              <w:t>1000</w:t>
            </w:r>
          </w:p>
        </w:tc>
        <w:tc>
          <w:tcPr>
            <w:tcW w:w="2184" w:type="dxa"/>
            <w:vAlign w:val="center"/>
          </w:tcPr>
          <w:p w14:paraId="058AB7DC">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环保投资</w:t>
            </w:r>
          </w:p>
          <w:p w14:paraId="23B50CF6">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（万元）</w:t>
            </w:r>
          </w:p>
        </w:tc>
        <w:tc>
          <w:tcPr>
            <w:tcW w:w="2768" w:type="dxa"/>
            <w:vAlign w:val="center"/>
          </w:tcPr>
          <w:p w14:paraId="78F34160">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r>
              <w:rPr>
                <w:rFonts w:hint="default" w:ascii="Arial" w:hAnsi="Arial" w:eastAsia="宋体" w:cs="Arial"/>
                <w:sz w:val="24"/>
                <w:szCs w:val="24"/>
                <w:lang w:val="en-US" w:eastAsia="zh-CN"/>
              </w:rPr>
              <w:t>50</w:t>
            </w:r>
          </w:p>
        </w:tc>
      </w:tr>
      <w:tr w14:paraId="6E89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41492493">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环保投资占比（%）</w:t>
            </w:r>
          </w:p>
        </w:tc>
        <w:tc>
          <w:tcPr>
            <w:tcW w:w="2254" w:type="dxa"/>
            <w:vAlign w:val="center"/>
          </w:tcPr>
          <w:p w14:paraId="7FE85136">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r>
              <w:rPr>
                <w:rFonts w:hint="default" w:ascii="Arial" w:hAnsi="Arial" w:eastAsia="宋体" w:cs="Arial"/>
                <w:sz w:val="24"/>
                <w:szCs w:val="24"/>
                <w:lang w:val="en-US" w:eastAsia="zh-CN"/>
              </w:rPr>
              <w:t>0.05</w:t>
            </w:r>
          </w:p>
        </w:tc>
        <w:tc>
          <w:tcPr>
            <w:tcW w:w="2184" w:type="dxa"/>
            <w:vAlign w:val="center"/>
          </w:tcPr>
          <w:p w14:paraId="441632E8">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施工工期</w:t>
            </w:r>
          </w:p>
        </w:tc>
        <w:tc>
          <w:tcPr>
            <w:tcW w:w="2768" w:type="dxa"/>
            <w:vAlign w:val="center"/>
          </w:tcPr>
          <w:p w14:paraId="1C42B579">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lang w:val="en-US" w:eastAsia="zh-CN"/>
              </w:rPr>
              <w:t>3</w:t>
            </w:r>
            <w:r>
              <w:rPr>
                <w:rFonts w:hint="default" w:ascii="Arial" w:hAnsi="Arial" w:eastAsia="宋体" w:cs="Arial"/>
                <w:sz w:val="24"/>
                <w:szCs w:val="24"/>
              </w:rPr>
              <w:t>个月</w:t>
            </w:r>
          </w:p>
        </w:tc>
      </w:tr>
      <w:tr w14:paraId="5FEE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03309914">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是否开工建设</w:t>
            </w:r>
          </w:p>
        </w:tc>
        <w:tc>
          <w:tcPr>
            <w:tcW w:w="2254" w:type="dxa"/>
            <w:vAlign w:val="center"/>
          </w:tcPr>
          <w:p w14:paraId="119AC43B">
            <w:pPr>
              <w:keepNext w:val="0"/>
              <w:keepLines w:val="0"/>
              <w:suppressLineNumbers w:val="0"/>
              <w:spacing w:before="0" w:beforeAutospacing="0" w:after="0" w:afterAutospacing="0"/>
              <w:ind w:left="0" w:right="0"/>
              <w:jc w:val="left"/>
              <w:rPr>
                <w:rFonts w:hint="default" w:ascii="Arial" w:hAnsi="Arial" w:eastAsia="宋体" w:cs="Arial"/>
                <w:szCs w:val="21"/>
              </w:rPr>
            </w:pPr>
            <w:r>
              <w:rPr>
                <w:rFonts w:hint="default" w:ascii="Arial" w:hAnsi="Arial" w:eastAsia="宋体" w:cs="Arial"/>
                <w:szCs w:val="21"/>
              </w:rPr>
              <w:t>■否</w:t>
            </w:r>
          </w:p>
          <w:p w14:paraId="79079D8C">
            <w:pPr>
              <w:keepNext w:val="0"/>
              <w:keepLines w:val="0"/>
              <w:suppressLineNumbers w:val="0"/>
              <w:spacing w:before="0" w:beforeAutospacing="0" w:after="0" w:afterAutospacing="0"/>
              <w:ind w:left="0" w:right="0"/>
              <w:jc w:val="left"/>
              <w:rPr>
                <w:rFonts w:hint="default" w:ascii="Arial" w:hAnsi="Arial" w:eastAsia="宋体" w:cs="Arial"/>
                <w:sz w:val="24"/>
                <w:szCs w:val="24"/>
              </w:rPr>
            </w:pPr>
            <w:r>
              <w:rPr>
                <w:rFonts w:hint="default" w:ascii="Arial" w:hAnsi="Arial" w:eastAsia="宋体" w:cs="Arial"/>
                <w:szCs w:val="21"/>
              </w:rPr>
              <w:t>□是：</w:t>
            </w:r>
          </w:p>
        </w:tc>
        <w:tc>
          <w:tcPr>
            <w:tcW w:w="2184" w:type="dxa"/>
            <w:vAlign w:val="center"/>
          </w:tcPr>
          <w:p w14:paraId="1B5A35D8">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建筑面积（㎡）</w:t>
            </w:r>
          </w:p>
        </w:tc>
        <w:tc>
          <w:tcPr>
            <w:tcW w:w="2768" w:type="dxa"/>
            <w:vAlign w:val="center"/>
          </w:tcPr>
          <w:p w14:paraId="34E1CBBA">
            <w:pPr>
              <w:keepNext w:val="0"/>
              <w:keepLines w:val="0"/>
              <w:suppressLineNumbers w:val="0"/>
              <w:spacing w:before="0" w:beforeAutospacing="0" w:after="0" w:afterAutospacing="0"/>
              <w:ind w:left="0" w:right="0"/>
              <w:jc w:val="center"/>
              <w:rPr>
                <w:rFonts w:hint="default" w:ascii="Arial" w:hAnsi="Arial" w:eastAsia="宋体" w:cs="Arial"/>
                <w:sz w:val="24"/>
                <w:szCs w:val="24"/>
                <w:lang w:val="en-US" w:eastAsia="zh-CN"/>
              </w:rPr>
            </w:pPr>
            <w:r>
              <w:rPr>
                <w:rFonts w:hint="default" w:ascii="Arial" w:hAnsi="Arial" w:eastAsia="宋体" w:cs="Arial"/>
                <w:sz w:val="24"/>
                <w:szCs w:val="24"/>
                <w:lang w:val="en-US" w:eastAsia="zh-CN"/>
              </w:rPr>
              <w:t>1910</w:t>
            </w:r>
          </w:p>
        </w:tc>
      </w:tr>
      <w:tr w14:paraId="7B70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086BF6B2">
            <w:pPr>
              <w:keepNext w:val="0"/>
              <w:keepLines w:val="0"/>
              <w:suppressLineNumbers w:val="0"/>
              <w:spacing w:before="0" w:beforeAutospacing="0" w:after="0" w:afterAutospacing="0"/>
              <w:ind w:left="0" w:right="0"/>
              <w:jc w:val="center"/>
              <w:rPr>
                <w:rFonts w:hint="default" w:ascii="Arial" w:hAnsi="Arial" w:eastAsia="宋体" w:cs="Arial"/>
                <w:sz w:val="24"/>
                <w:lang w:val="en-GB"/>
              </w:rPr>
            </w:pPr>
            <w:r>
              <w:rPr>
                <w:rFonts w:hint="default" w:ascii="Arial" w:hAnsi="Arial" w:eastAsia="宋体" w:cs="Arial"/>
                <w:sz w:val="24"/>
                <w:lang w:val="en-GB"/>
              </w:rPr>
              <w:t>专项评价设置情况</w:t>
            </w:r>
          </w:p>
        </w:tc>
        <w:tc>
          <w:tcPr>
            <w:tcW w:w="7206" w:type="dxa"/>
            <w:gridSpan w:val="3"/>
            <w:vAlign w:val="center"/>
          </w:tcPr>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3165"/>
              <w:gridCol w:w="2173"/>
              <w:gridCol w:w="760"/>
            </w:tblGrid>
            <w:tr w14:paraId="4A7E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3" w:type="dxa"/>
                  <w:shd w:val="clear" w:color="auto" w:fill="auto"/>
                  <w:vAlign w:val="center"/>
                </w:tcPr>
                <w:p w14:paraId="416EE95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类别</w:t>
                  </w:r>
                </w:p>
              </w:tc>
              <w:tc>
                <w:tcPr>
                  <w:tcW w:w="3262" w:type="dxa"/>
                  <w:shd w:val="clear" w:color="auto" w:fill="auto"/>
                  <w:vAlign w:val="center"/>
                </w:tcPr>
                <w:p w14:paraId="14CE1E3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设置原则</w:t>
                  </w:r>
                </w:p>
              </w:tc>
              <w:tc>
                <w:tcPr>
                  <w:tcW w:w="2213" w:type="dxa"/>
                  <w:shd w:val="clear" w:color="auto" w:fill="auto"/>
                  <w:vAlign w:val="center"/>
                </w:tcPr>
                <w:p w14:paraId="5251E0C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对照分析</w:t>
                  </w:r>
                </w:p>
              </w:tc>
              <w:tc>
                <w:tcPr>
                  <w:tcW w:w="678" w:type="dxa"/>
                  <w:shd w:val="clear" w:color="auto" w:fill="auto"/>
                  <w:vAlign w:val="center"/>
                </w:tcPr>
                <w:p w14:paraId="1A1E52FB">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kern w:val="0"/>
                      <w:szCs w:val="21"/>
                      <w:lang w:val="en-US" w:eastAsia="zh-CN"/>
                    </w:rPr>
                  </w:pPr>
                  <w:r>
                    <w:rPr>
                      <w:rFonts w:hint="eastAsia" w:ascii="Arial" w:hAnsi="Arial" w:eastAsia="宋体" w:cs="Arial"/>
                      <w:kern w:val="0"/>
                      <w:szCs w:val="21"/>
                      <w:lang w:val="en-US" w:eastAsia="zh-CN"/>
                    </w:rPr>
                    <w:t>是否</w:t>
                  </w:r>
                </w:p>
                <w:p w14:paraId="63199FC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lang w:val="en-US" w:eastAsia="zh-CN"/>
                    </w:rPr>
                  </w:pPr>
                  <w:r>
                    <w:rPr>
                      <w:rFonts w:hint="eastAsia" w:ascii="Arial" w:hAnsi="Arial" w:eastAsia="宋体" w:cs="Arial"/>
                      <w:kern w:val="0"/>
                      <w:szCs w:val="21"/>
                      <w:lang w:val="en-US" w:eastAsia="zh-CN"/>
                    </w:rPr>
                    <w:t>设置</w:t>
                  </w:r>
                </w:p>
              </w:tc>
            </w:tr>
            <w:tr w14:paraId="10CC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shd w:val="clear" w:color="auto" w:fill="auto"/>
                  <w:vAlign w:val="center"/>
                </w:tcPr>
                <w:p w14:paraId="3A4D49E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大气</w:t>
                  </w:r>
                </w:p>
              </w:tc>
              <w:tc>
                <w:tcPr>
                  <w:tcW w:w="3262" w:type="dxa"/>
                  <w:shd w:val="clear" w:color="auto" w:fill="auto"/>
                  <w:vAlign w:val="center"/>
                </w:tcPr>
                <w:p w14:paraId="030442E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排放废气含有毒有害污染物</w:t>
                  </w:r>
                  <w:r>
                    <w:rPr>
                      <w:rFonts w:hint="default" w:ascii="Arial" w:hAnsi="Arial" w:eastAsia="宋体" w:cs="Arial"/>
                      <w:kern w:val="0"/>
                      <w:szCs w:val="21"/>
                      <w:vertAlign w:val="superscript"/>
                    </w:rPr>
                    <w:t>1</w:t>
                  </w:r>
                  <w:r>
                    <w:rPr>
                      <w:rFonts w:hint="default" w:ascii="Arial" w:hAnsi="Arial" w:eastAsia="宋体" w:cs="Arial"/>
                      <w:kern w:val="0"/>
                      <w:szCs w:val="21"/>
                    </w:rPr>
                    <w:t>、二噁英、苯并[a]芘、氰化物、氯气且厂界外500米范围内有环境空气保护目标</w:t>
                  </w:r>
                  <w:r>
                    <w:rPr>
                      <w:rFonts w:hint="default" w:ascii="Arial" w:hAnsi="Arial" w:eastAsia="宋体" w:cs="Arial"/>
                      <w:kern w:val="0"/>
                      <w:szCs w:val="21"/>
                      <w:vertAlign w:val="superscript"/>
                    </w:rPr>
                    <w:t>2</w:t>
                  </w:r>
                  <w:r>
                    <w:rPr>
                      <w:rFonts w:hint="default" w:ascii="Arial" w:hAnsi="Arial" w:eastAsia="宋体" w:cs="Arial"/>
                      <w:kern w:val="0"/>
                      <w:szCs w:val="21"/>
                    </w:rPr>
                    <w:t>的建设项目</w:t>
                  </w:r>
                </w:p>
              </w:tc>
              <w:tc>
                <w:tcPr>
                  <w:tcW w:w="2213" w:type="dxa"/>
                  <w:shd w:val="clear" w:color="auto" w:fill="auto"/>
                  <w:vAlign w:val="center"/>
                </w:tcPr>
                <w:p w14:paraId="3A3996E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lang w:eastAsia="zh-CN"/>
                    </w:rPr>
                  </w:pPr>
                  <w:r>
                    <w:rPr>
                      <w:rFonts w:hint="default" w:ascii="Arial" w:hAnsi="Arial" w:eastAsia="宋体" w:cs="Arial"/>
                      <w:kern w:val="0"/>
                      <w:szCs w:val="21"/>
                    </w:rPr>
                    <w:t>不涉及有毒有害污染物</w:t>
                  </w:r>
                  <w:r>
                    <w:rPr>
                      <w:rFonts w:hint="default" w:ascii="Arial" w:hAnsi="Arial" w:eastAsia="宋体" w:cs="Arial"/>
                      <w:kern w:val="0"/>
                      <w:szCs w:val="21"/>
                      <w:lang w:eastAsia="zh-CN"/>
                    </w:rPr>
                    <w:t>。</w:t>
                  </w:r>
                </w:p>
              </w:tc>
              <w:tc>
                <w:tcPr>
                  <w:tcW w:w="678" w:type="dxa"/>
                  <w:shd w:val="clear" w:color="auto" w:fill="auto"/>
                  <w:vAlign w:val="center"/>
                </w:tcPr>
                <w:p w14:paraId="7613DF6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否</w:t>
                  </w:r>
                </w:p>
              </w:tc>
            </w:tr>
            <w:tr w14:paraId="75E4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shd w:val="clear" w:color="auto" w:fill="auto"/>
                  <w:vAlign w:val="center"/>
                </w:tcPr>
                <w:p w14:paraId="30B5CDA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地表水</w:t>
                  </w:r>
                </w:p>
              </w:tc>
              <w:tc>
                <w:tcPr>
                  <w:tcW w:w="3262" w:type="dxa"/>
                  <w:shd w:val="clear" w:color="auto" w:fill="auto"/>
                  <w:vAlign w:val="center"/>
                </w:tcPr>
                <w:p w14:paraId="294C78D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新增工业废水直排建设项目（槽罐车外送污水处理厂的除外）；新增废水直排的污水集中处理厂</w:t>
                  </w:r>
                </w:p>
              </w:tc>
              <w:tc>
                <w:tcPr>
                  <w:tcW w:w="2213" w:type="dxa"/>
                  <w:shd w:val="clear" w:color="auto" w:fill="auto"/>
                  <w:vAlign w:val="center"/>
                </w:tcPr>
                <w:p w14:paraId="5BF6E3F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本项目废水纳管排放。</w:t>
                  </w:r>
                </w:p>
              </w:tc>
              <w:tc>
                <w:tcPr>
                  <w:tcW w:w="678" w:type="dxa"/>
                  <w:shd w:val="clear" w:color="auto" w:fill="auto"/>
                  <w:vAlign w:val="center"/>
                </w:tcPr>
                <w:p w14:paraId="1FC63D6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否</w:t>
                  </w:r>
                </w:p>
              </w:tc>
            </w:tr>
            <w:tr w14:paraId="0CAE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shd w:val="clear" w:color="auto" w:fill="auto"/>
                  <w:vAlign w:val="center"/>
                </w:tcPr>
                <w:p w14:paraId="26CED95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环境风险</w:t>
                  </w:r>
                </w:p>
              </w:tc>
              <w:tc>
                <w:tcPr>
                  <w:tcW w:w="3262" w:type="dxa"/>
                  <w:shd w:val="clear" w:color="auto" w:fill="auto"/>
                  <w:vAlign w:val="center"/>
                </w:tcPr>
                <w:p w14:paraId="6F4DE8D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有毒有害和易燃易爆危险物质存储量超过临界量</w:t>
                  </w:r>
                  <w:r>
                    <w:rPr>
                      <w:rFonts w:hint="default" w:ascii="Arial" w:hAnsi="Arial" w:eastAsia="宋体" w:cs="Arial"/>
                      <w:kern w:val="0"/>
                      <w:szCs w:val="21"/>
                      <w:vertAlign w:val="superscript"/>
                    </w:rPr>
                    <w:t>3</w:t>
                  </w:r>
                  <w:r>
                    <w:rPr>
                      <w:rFonts w:hint="default" w:ascii="Arial" w:hAnsi="Arial" w:eastAsia="宋体" w:cs="Arial"/>
                      <w:kern w:val="0"/>
                      <w:szCs w:val="21"/>
                    </w:rPr>
                    <w:t>的建设项目</w:t>
                  </w:r>
                </w:p>
              </w:tc>
              <w:tc>
                <w:tcPr>
                  <w:tcW w:w="2213" w:type="dxa"/>
                  <w:shd w:val="clear" w:color="auto" w:fill="auto"/>
                  <w:vAlign w:val="center"/>
                </w:tcPr>
                <w:p w14:paraId="2A09DE8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本项目有毒有害和易燃易爆危险物质存储量未超过临界量，Q＜1。</w:t>
                  </w:r>
                </w:p>
              </w:tc>
              <w:tc>
                <w:tcPr>
                  <w:tcW w:w="678" w:type="dxa"/>
                  <w:shd w:val="clear" w:color="auto" w:fill="auto"/>
                  <w:vAlign w:val="center"/>
                </w:tcPr>
                <w:p w14:paraId="05D9174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否</w:t>
                  </w:r>
                </w:p>
              </w:tc>
            </w:tr>
            <w:tr w14:paraId="7954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shd w:val="clear" w:color="auto" w:fill="auto"/>
                  <w:vAlign w:val="center"/>
                </w:tcPr>
                <w:p w14:paraId="421DB05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生态</w:t>
                  </w:r>
                </w:p>
              </w:tc>
              <w:tc>
                <w:tcPr>
                  <w:tcW w:w="3262" w:type="dxa"/>
                  <w:shd w:val="clear" w:color="auto" w:fill="auto"/>
                  <w:vAlign w:val="center"/>
                </w:tcPr>
                <w:p w14:paraId="08F66B1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取水口下游500米范围内有重要水生生物的自然产卵场、索饵场、越冬场和洄游通道的新增河道取水的污染类建设项目</w:t>
                  </w:r>
                </w:p>
              </w:tc>
              <w:tc>
                <w:tcPr>
                  <w:tcW w:w="2213" w:type="dxa"/>
                  <w:shd w:val="clear" w:color="auto" w:fill="auto"/>
                  <w:vAlign w:val="center"/>
                </w:tcPr>
                <w:p w14:paraId="2C3FE53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lang w:eastAsia="zh-CN"/>
                    </w:rPr>
                  </w:pPr>
                  <w:r>
                    <w:rPr>
                      <w:rFonts w:hint="default" w:ascii="Arial" w:hAnsi="Arial" w:eastAsia="宋体" w:cs="Arial"/>
                      <w:kern w:val="0"/>
                      <w:szCs w:val="21"/>
                    </w:rPr>
                    <w:t>本项目全部用水均由平湖市自来水厂提供，不设置取水口</w:t>
                  </w:r>
                  <w:r>
                    <w:rPr>
                      <w:rFonts w:hint="default" w:ascii="Arial" w:hAnsi="Arial" w:eastAsia="宋体" w:cs="Arial"/>
                      <w:kern w:val="0"/>
                      <w:szCs w:val="21"/>
                      <w:lang w:eastAsia="zh-CN"/>
                    </w:rPr>
                    <w:t>。</w:t>
                  </w:r>
                </w:p>
              </w:tc>
              <w:tc>
                <w:tcPr>
                  <w:tcW w:w="678" w:type="dxa"/>
                  <w:shd w:val="clear" w:color="auto" w:fill="auto"/>
                  <w:vAlign w:val="center"/>
                </w:tcPr>
                <w:p w14:paraId="2D459A7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否</w:t>
                  </w:r>
                </w:p>
              </w:tc>
            </w:tr>
            <w:tr w14:paraId="30CE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shd w:val="clear" w:color="auto" w:fill="auto"/>
                  <w:vAlign w:val="center"/>
                </w:tcPr>
                <w:p w14:paraId="7A2234B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海洋</w:t>
                  </w:r>
                </w:p>
              </w:tc>
              <w:tc>
                <w:tcPr>
                  <w:tcW w:w="3262" w:type="dxa"/>
                  <w:shd w:val="clear" w:color="auto" w:fill="auto"/>
                  <w:vAlign w:val="center"/>
                </w:tcPr>
                <w:p w14:paraId="0E332C9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直接向海排放污染物的海洋工程建设项目</w:t>
                  </w:r>
                </w:p>
              </w:tc>
              <w:tc>
                <w:tcPr>
                  <w:tcW w:w="2213" w:type="dxa"/>
                  <w:shd w:val="clear" w:color="auto" w:fill="auto"/>
                  <w:tcMar>
                    <w:top w:w="0" w:type="dxa"/>
                    <w:left w:w="0" w:type="dxa"/>
                    <w:bottom w:w="0" w:type="dxa"/>
                    <w:right w:w="0" w:type="dxa"/>
                  </w:tcMar>
                  <w:vAlign w:val="center"/>
                </w:tcPr>
                <w:p w14:paraId="26773EF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本项目不涉及直接向海洋排放污染物。</w:t>
                  </w:r>
                </w:p>
              </w:tc>
              <w:tc>
                <w:tcPr>
                  <w:tcW w:w="678" w:type="dxa"/>
                  <w:shd w:val="clear" w:color="auto" w:fill="auto"/>
                  <w:vAlign w:val="center"/>
                </w:tcPr>
                <w:p w14:paraId="2BF0DB8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否</w:t>
                  </w:r>
                </w:p>
              </w:tc>
            </w:tr>
            <w:tr w14:paraId="4C4E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4"/>
                  <w:shd w:val="clear" w:color="auto" w:fill="auto"/>
                  <w:vAlign w:val="center"/>
                </w:tcPr>
                <w:p w14:paraId="7C4B227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注：1.废气中有毒有害污染物指纳入《有毒有害大气污染物名录》的污染物（不包括无排放标准的污染物）。</w:t>
                  </w:r>
                </w:p>
                <w:p w14:paraId="6F0A7B4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2.环境空气保护目标指自然保护区、风景名胜区、居住区、文化区和农村地区中人群较集中的区域。</w:t>
                  </w:r>
                </w:p>
                <w:p w14:paraId="3D50B4E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3.临界量及其计算方法可参考《建设项目环境风险评价技术导则》（HJ 169）附录B、附录C。</w:t>
                  </w:r>
                </w:p>
              </w:tc>
            </w:tr>
          </w:tbl>
          <w:p w14:paraId="45252D80">
            <w:pPr>
              <w:keepNext w:val="0"/>
              <w:keepLines w:val="0"/>
              <w:suppressLineNumbers w:val="0"/>
              <w:spacing w:before="0" w:beforeAutospacing="0" w:after="0" w:afterAutospacing="0"/>
              <w:ind w:left="0" w:right="0"/>
              <w:rPr>
                <w:rFonts w:hint="default" w:ascii="Arial" w:hAnsi="Arial" w:eastAsia="宋体" w:cs="Arial"/>
                <w:sz w:val="24"/>
                <w:szCs w:val="24"/>
              </w:rPr>
            </w:pPr>
          </w:p>
        </w:tc>
      </w:tr>
      <w:tr w14:paraId="622E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7" w:hRule="atLeast"/>
        </w:trPr>
        <w:tc>
          <w:tcPr>
            <w:tcW w:w="1882" w:type="dxa"/>
            <w:vAlign w:val="center"/>
          </w:tcPr>
          <w:p w14:paraId="0353C0AF">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规划情况</w:t>
            </w:r>
          </w:p>
        </w:tc>
        <w:tc>
          <w:tcPr>
            <w:tcW w:w="7206" w:type="dxa"/>
            <w:gridSpan w:val="3"/>
            <w:vAlign w:val="center"/>
          </w:tcPr>
          <w:p w14:paraId="764104DB">
            <w:pPr>
              <w:keepNext w:val="0"/>
              <w:keepLines w:val="0"/>
              <w:suppressLineNumbers w:val="0"/>
              <w:autoSpaceDE w:val="0"/>
              <w:autoSpaceDN w:val="0"/>
              <w:spacing w:before="0" w:beforeAutospacing="0" w:after="0" w:afterAutospacing="0"/>
              <w:ind w:left="0" w:right="0"/>
              <w:jc w:val="left"/>
              <w:rPr>
                <w:rFonts w:hint="default" w:ascii="Arial" w:hAnsi="Arial" w:eastAsia="宋体" w:cs="Arial"/>
                <w:sz w:val="24"/>
                <w:szCs w:val="24"/>
              </w:rPr>
            </w:pPr>
            <w:r>
              <w:rPr>
                <w:rFonts w:hint="default" w:ascii="Arial" w:hAnsi="Arial" w:eastAsia="宋体" w:cs="Arial"/>
                <w:sz w:val="24"/>
                <w:szCs w:val="24"/>
              </w:rPr>
              <w:t>规划名称：《平湖经济开发区（钟埭街道）总体规划》</w:t>
            </w:r>
          </w:p>
          <w:p w14:paraId="353854BB">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审批机关：平湖市城市规划委员会</w:t>
            </w:r>
          </w:p>
          <w:p w14:paraId="70F1EE1E">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审批文件名称及文号：平规委[2003]2号</w:t>
            </w:r>
          </w:p>
          <w:p w14:paraId="2231EB0C">
            <w:pPr>
              <w:keepNext w:val="0"/>
              <w:keepLines w:val="0"/>
              <w:suppressLineNumbers w:val="0"/>
              <w:autoSpaceDE w:val="0"/>
              <w:autoSpaceDN w:val="0"/>
              <w:adjustRightInd w:val="0"/>
              <w:snapToGrid w:val="0"/>
              <w:spacing w:before="0" w:beforeAutospacing="0" w:after="0" w:afterAutospacing="0"/>
              <w:ind w:left="0" w:right="0"/>
              <w:rPr>
                <w:rFonts w:hint="default" w:ascii="Arial" w:hAnsi="Arial" w:eastAsia="宋体" w:cs="Arial"/>
                <w:color w:val="000000"/>
                <w:kern w:val="0"/>
                <w:sz w:val="24"/>
                <w:szCs w:val="24"/>
              </w:rPr>
            </w:pPr>
            <w:r>
              <w:rPr>
                <w:rFonts w:hint="default" w:ascii="Arial" w:hAnsi="Arial" w:eastAsia="宋体" w:cs="Arial"/>
                <w:color w:val="000000"/>
                <w:kern w:val="0"/>
                <w:sz w:val="24"/>
                <w:szCs w:val="24"/>
              </w:rPr>
              <w:t>规划名称：《《平湖市中心城区国土空间总体规划(2021-2035年)》</w:t>
            </w:r>
          </w:p>
          <w:p w14:paraId="68AC28D6">
            <w:pPr>
              <w:keepNext w:val="0"/>
              <w:keepLines w:val="0"/>
              <w:suppressLineNumbers w:val="0"/>
              <w:autoSpaceDE w:val="0"/>
              <w:autoSpaceDN w:val="0"/>
              <w:adjustRightInd w:val="0"/>
              <w:snapToGrid w:val="0"/>
              <w:spacing w:before="0" w:beforeAutospacing="0" w:after="0" w:afterAutospacing="0"/>
              <w:ind w:left="0" w:right="0"/>
              <w:rPr>
                <w:rFonts w:hint="default" w:ascii="Arial" w:hAnsi="Arial" w:eastAsia="宋体" w:cs="Arial"/>
                <w:color w:val="000000"/>
                <w:kern w:val="0"/>
                <w:sz w:val="24"/>
                <w:szCs w:val="24"/>
                <w:lang w:val="en-US" w:eastAsia="zh-CN"/>
              </w:rPr>
            </w:pPr>
            <w:r>
              <w:rPr>
                <w:rFonts w:hint="default" w:ascii="Arial" w:hAnsi="Arial" w:eastAsia="宋体" w:cs="Arial"/>
                <w:color w:val="000000"/>
                <w:kern w:val="0"/>
                <w:sz w:val="24"/>
                <w:szCs w:val="24"/>
              </w:rPr>
              <w:t>审批机关：</w:t>
            </w:r>
            <w:r>
              <w:rPr>
                <w:rFonts w:hint="default" w:ascii="Arial" w:hAnsi="Arial" w:eastAsia="宋体" w:cs="Arial"/>
                <w:color w:val="000000"/>
                <w:kern w:val="0"/>
                <w:sz w:val="24"/>
                <w:szCs w:val="24"/>
                <w:lang w:val="en-US" w:eastAsia="zh-CN"/>
              </w:rPr>
              <w:t>嘉兴市人民政府</w:t>
            </w:r>
          </w:p>
          <w:p w14:paraId="302BF324">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color w:val="000000"/>
                <w:kern w:val="0"/>
                <w:sz w:val="24"/>
                <w:szCs w:val="24"/>
              </w:rPr>
              <w:t>审批文件名称及文号：嘉兴市人民政府关于平湖市中心城区和新埭镇等镇级国土空间总体规划的批复</w:t>
            </w:r>
            <w:r>
              <w:rPr>
                <w:rFonts w:hint="default" w:ascii="Arial" w:hAnsi="Arial" w:eastAsia="宋体" w:cs="Arial"/>
                <w:color w:val="000000"/>
                <w:kern w:val="0"/>
                <w:sz w:val="24"/>
                <w:szCs w:val="24"/>
                <w:lang w:val="en-US" w:eastAsia="zh-CN"/>
              </w:rPr>
              <w:t xml:space="preserve"> 嘉政发函〔2024〕34号（2024.12.31）</w:t>
            </w:r>
          </w:p>
        </w:tc>
      </w:tr>
      <w:tr w14:paraId="14C8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3936" w:hRule="atLeast"/>
        </w:trPr>
        <w:tc>
          <w:tcPr>
            <w:tcW w:w="1882" w:type="dxa"/>
            <w:vAlign w:val="center"/>
          </w:tcPr>
          <w:p w14:paraId="14DC5A2C">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规划环境影响</w:t>
            </w:r>
          </w:p>
          <w:p w14:paraId="7F949278">
            <w:pPr>
              <w:keepNext w:val="0"/>
              <w:keepLines w:val="0"/>
              <w:suppressLineNumbers w:val="0"/>
              <w:spacing w:before="0" w:beforeAutospacing="0" w:after="0" w:afterAutospacing="0"/>
              <w:ind w:left="0" w:right="0"/>
              <w:jc w:val="center"/>
              <w:rPr>
                <w:rFonts w:hint="default" w:ascii="Arial" w:hAnsi="Arial" w:eastAsia="宋体" w:cs="Arial"/>
                <w:sz w:val="24"/>
                <w:szCs w:val="24"/>
              </w:rPr>
            </w:pPr>
            <w:r>
              <w:rPr>
                <w:rFonts w:hint="default" w:ascii="Arial" w:hAnsi="Arial" w:eastAsia="宋体" w:cs="Arial"/>
                <w:sz w:val="24"/>
                <w:szCs w:val="24"/>
              </w:rPr>
              <w:t>评价情况</w:t>
            </w:r>
          </w:p>
        </w:tc>
        <w:tc>
          <w:tcPr>
            <w:tcW w:w="7206" w:type="dxa"/>
            <w:gridSpan w:val="3"/>
            <w:vAlign w:val="center"/>
          </w:tcPr>
          <w:p w14:paraId="77BF2A3C">
            <w:pPr>
              <w:keepNext w:val="0"/>
              <w:keepLines w:val="0"/>
              <w:suppressLineNumbers w:val="0"/>
              <w:spacing w:before="0" w:beforeAutospacing="0" w:after="0" w:afterAutospacing="0"/>
              <w:ind w:left="0" w:right="0"/>
              <w:jc w:val="left"/>
              <w:rPr>
                <w:rFonts w:hint="default" w:ascii="Arial" w:hAnsi="Arial" w:eastAsia="宋体" w:cs="Arial"/>
                <w:sz w:val="24"/>
                <w:szCs w:val="24"/>
              </w:rPr>
            </w:pPr>
            <w:r>
              <w:rPr>
                <w:rFonts w:hint="default" w:ascii="Arial" w:hAnsi="Arial" w:eastAsia="宋体" w:cs="Arial"/>
                <w:sz w:val="24"/>
                <w:szCs w:val="24"/>
              </w:rPr>
              <w:t>规划环境影响评价文件名称：《平湖经济开发区（钟埭街道）总体规划环境影响跟踪评价报告书》</w:t>
            </w:r>
          </w:p>
          <w:p w14:paraId="06E95923">
            <w:pPr>
              <w:keepNext w:val="0"/>
              <w:keepLines w:val="0"/>
              <w:suppressLineNumbers w:val="0"/>
              <w:spacing w:before="0" w:beforeAutospacing="0" w:after="0" w:afterAutospacing="0"/>
              <w:ind w:left="0" w:right="0"/>
              <w:jc w:val="left"/>
              <w:rPr>
                <w:rFonts w:hint="default" w:ascii="Arial" w:hAnsi="Arial" w:eastAsia="宋体" w:cs="Arial"/>
                <w:sz w:val="24"/>
                <w:szCs w:val="24"/>
                <w:lang w:val="en-US"/>
              </w:rPr>
            </w:pPr>
            <w:r>
              <w:rPr>
                <w:rFonts w:hint="default" w:ascii="Arial" w:hAnsi="Arial" w:eastAsia="宋体" w:cs="Arial"/>
                <w:sz w:val="24"/>
                <w:szCs w:val="24"/>
              </w:rPr>
              <w:t>召集审查机关：</w:t>
            </w:r>
            <w:r>
              <w:rPr>
                <w:rFonts w:hint="eastAsia" w:ascii="Arial" w:hAnsi="Arial" w:eastAsia="宋体" w:cs="Arial"/>
                <w:sz w:val="24"/>
                <w:szCs w:val="24"/>
                <w:lang w:val="en-US" w:eastAsia="zh-CN"/>
              </w:rPr>
              <w:t>原浙江省环境保护厅</w:t>
            </w:r>
          </w:p>
          <w:p w14:paraId="0E09C9D5">
            <w:pPr>
              <w:keepNext w:val="0"/>
              <w:keepLines w:val="0"/>
              <w:suppressLineNumbers w:val="0"/>
              <w:spacing w:before="0" w:beforeAutospacing="0" w:after="0" w:afterAutospacing="0"/>
              <w:ind w:left="0" w:right="0"/>
              <w:rPr>
                <w:rFonts w:hint="default" w:ascii="Arial" w:hAnsi="Arial" w:eastAsia="宋体" w:cs="Arial"/>
                <w:sz w:val="24"/>
                <w:szCs w:val="24"/>
              </w:rPr>
            </w:pPr>
            <w:r>
              <w:rPr>
                <w:rFonts w:hint="default" w:ascii="Arial" w:hAnsi="Arial" w:eastAsia="宋体" w:cs="Arial"/>
                <w:sz w:val="24"/>
                <w:szCs w:val="24"/>
              </w:rPr>
              <w:t>审查文件名称及文号：浙环函[2017]426号</w:t>
            </w:r>
          </w:p>
        </w:tc>
      </w:tr>
    </w:tbl>
    <w:p w14:paraId="62C76869">
      <w:pPr>
        <w:spacing w:line="360" w:lineRule="auto"/>
        <w:ind w:firstLine="482"/>
        <w:rPr>
          <w:rFonts w:hint="default" w:ascii="Arial" w:hAnsi="Arial" w:eastAsia="宋体" w:cs="Arial"/>
          <w:b/>
          <w:bCs/>
          <w:color w:val="FFFFFF" w:themeColor="background1"/>
          <w:sz w:val="10"/>
          <w:szCs w:val="10"/>
          <w14:textFill>
            <w14:solidFill>
              <w14:schemeClr w14:val="bg1"/>
            </w14:solidFill>
          </w14:textFill>
        </w:rPr>
        <w:sectPr>
          <w:headerReference r:id="rId6" w:type="default"/>
          <w:footerReference r:id="rId7" w:type="default"/>
          <w:pgSz w:w="11906" w:h="16838"/>
          <w:pgMar w:top="1440" w:right="1287" w:bottom="1440" w:left="1701" w:header="851" w:footer="992" w:gutter="0"/>
          <w:pgBorders>
            <w:top w:val="none" w:sz="0" w:space="0"/>
            <w:left w:val="none" w:sz="0" w:space="0"/>
            <w:bottom w:val="none" w:sz="0" w:space="0"/>
            <w:right w:val="none" w:sz="0" w:space="0"/>
          </w:pgBorders>
          <w:cols w:space="425" w:num="1"/>
          <w:docGrid w:type="lines" w:linePitch="340" w:charSpace="0"/>
        </w:sectPr>
      </w:pPr>
      <w:bookmarkStart w:id="0" w:name="_Toc104732978"/>
      <w:r>
        <w:rPr>
          <w:rFonts w:hint="default" w:ascii="Arial" w:hAnsi="Arial" w:eastAsia="宋体" w:cs="Arial"/>
          <w:b/>
          <w:bCs/>
          <w:color w:val="FFFFFF" w:themeColor="background1"/>
          <w:sz w:val="10"/>
          <w:szCs w:val="10"/>
          <w14:textFill>
            <w14:solidFill>
              <w14:schemeClr w14:val="bg1"/>
            </w14:solidFill>
          </w14:textFill>
        </w:rPr>
        <w:t>建设项目基</w:t>
      </w:r>
    </w:p>
    <w:p w14:paraId="318345BC">
      <w:pPr>
        <w:numPr>
          <w:ilvl w:val="0"/>
          <w:numId w:val="4"/>
        </w:numPr>
        <w:tabs>
          <w:tab w:val="left" w:pos="1985"/>
        </w:tabs>
        <w:spacing w:line="360" w:lineRule="auto"/>
        <w:ind w:left="105" w:leftChars="50" w:firstLine="482" w:firstLineChars="200"/>
        <w:outlineLvl w:val="1"/>
        <w:rPr>
          <w:rFonts w:hint="default" w:ascii="Arial" w:hAnsi="Arial" w:eastAsia="宋体" w:cs="Arial"/>
          <w:b/>
          <w:bCs/>
          <w:sz w:val="24"/>
          <w:szCs w:val="24"/>
          <w:lang w:val="en-US" w:eastAsia="zh-CN"/>
        </w:rPr>
      </w:pPr>
      <w:r>
        <w:rPr>
          <w:rFonts w:hint="default" w:ascii="Arial" w:hAnsi="Arial" w:eastAsia="宋体" w:cs="Arial"/>
          <w:b/>
          <w:bCs/>
          <w:sz w:val="24"/>
          <w:szCs w:val="24"/>
          <w:lang w:val="en-US" w:eastAsia="zh-CN"/>
        </w:rPr>
        <w:t>平湖市国土空间总体规划（2021-2035年）</w:t>
      </w:r>
    </w:p>
    <w:p w14:paraId="6D3BE025">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1、规划范围</w:t>
      </w:r>
    </w:p>
    <w:p w14:paraId="2F1CE677">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规划范围为平湖市行政区域范围内的陆域557平方千米和海域1070平方千米。</w:t>
      </w:r>
    </w:p>
    <w:p w14:paraId="3E5C4C77">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2、规划期限</w:t>
      </w:r>
    </w:p>
    <w:p w14:paraId="5F97835F">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规划期限2021年至2035年。</w:t>
      </w:r>
    </w:p>
    <w:p w14:paraId="09D8C0FE">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近期至2025年，远期至2035年，远景展望至2050年。</w:t>
      </w:r>
    </w:p>
    <w:p w14:paraId="686E225D">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3、中心城区空间结构</w:t>
      </w:r>
    </w:p>
    <w:p w14:paraId="00E18091">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通过“东进、南拓、西联、北融、中优”策略，形成“双核双轴四点”核心引擎，强化走廊集聚效应，链接区域发展核心。通过新华路、南市路等南北向城市发展轴脉的走廊集聚效应，将经开区创新中心、主城区的老城生活服务核心、南市新区行政办公中心、高铁商务中心等片区高效串联。</w:t>
      </w:r>
    </w:p>
    <w:p w14:paraId="63E04CF2">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4、中心城区土地利用规划</w:t>
      </w:r>
    </w:p>
    <w:p w14:paraId="624999DD">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以全域土地综合整治为手段，加大土地整治力度，严格保护耕地，提高农用地综合生产效能；严格控制增量，确保建设用地总规模不突破上级下达指标。中心城区规划城镇建设用地总量76.9平方公里。</w:t>
      </w:r>
    </w:p>
    <w:p w14:paraId="57DBABA1">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公共管理与公共服务用地布局：规划公共管理与公共服务用地462.5公顷。市级设施主要位于主城核心区域。行政办公用地以现有行政办公用地为主，在南市新区适当新增以产业服务、社会服务为主，兼顾文化休闲等公共服务的综合服务中心。</w:t>
      </w:r>
    </w:p>
    <w:p w14:paraId="6B03F4A0">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商业服务业用地布局：规划商业服务业用地397.5公顷，结合城市中心体系和居住区分布，构建城市商业中心区和商业街区。完善当湖街道老城综合商业服务中心，形成大型购物中心—大型卖场—市场设施—普通商业设施几个等级的商业体系。同时在南市新区结合高铁站的建设契机，形成包含商业休闲、商务办公、娱乐康体等功能于一体的城市新中心。</w:t>
      </w:r>
    </w:p>
    <w:p w14:paraId="7D7FECD7">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居住用地布局：规划居住用地2446.4公顷，分布于主城区和周边街道中心区连片布局。以改善现有居住环境，提升设施水平、调整人口结构为建设重点，增加经济适用房和廉租房供给。</w:t>
      </w:r>
    </w:p>
    <w:p w14:paraId="3D56EE8F">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工业用地布局：规划工业用地1794.2公顷，依托主要工业平台集中布局，包括平湖经济技术开发区主区、曹桥分区和林埭小微工业区三个主体工业片区。</w:t>
      </w:r>
    </w:p>
    <w:p w14:paraId="3AF5F568">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5、给水工程规划</w:t>
      </w:r>
    </w:p>
    <w:p w14:paraId="43F356D3">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（1）供水系统</w:t>
      </w:r>
    </w:p>
    <w:p w14:paraId="49E63DDF">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用水量预测：根据模型预测，2035年中心城区高日供水规模达18.59万m³/d。</w:t>
      </w:r>
    </w:p>
    <w:p w14:paraId="5BEC38CA">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供水设施规划：扩建古横桥优质水厂，以千岛湖优质水质水为定量来水，近期制水规模9.4万m³/d（其中供平湖8.3万m³/d，供嘉兴港区1.1万m³/d），远期11.5万m³/d（其中供平湖10.0万m³/d，供嘉兴港区1.5万m³/d）。</w:t>
      </w:r>
    </w:p>
    <w:p w14:paraId="1A3856B6">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6、污水工程规划</w:t>
      </w:r>
    </w:p>
    <w:p w14:paraId="66A65675">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污水量预测：根据模型预测结果，本次规划确定2035年平湖中心城区污水量规模为：17.3万m³/d。</w:t>
      </w:r>
    </w:p>
    <w:p w14:paraId="601FA065">
      <w:pPr>
        <w:keepNext w:val="0"/>
        <w:keepLines w:val="0"/>
        <w:pageBreakBefore w:val="0"/>
        <w:widowControl w:val="0"/>
        <w:numPr>
          <w:ilvl w:val="0"/>
          <w:numId w:val="0"/>
        </w:numPr>
        <w:tabs>
          <w:tab w:val="left" w:pos="1985"/>
        </w:tabs>
        <w:kinsoku/>
        <w:wordWrap/>
        <w:overflowPunct/>
        <w:topLinePunct w:val="0"/>
        <w:autoSpaceDE/>
        <w:autoSpaceDN/>
        <w:bidi w:val="0"/>
        <w:adjustRightInd/>
        <w:snapToGrid/>
        <w:spacing w:line="360" w:lineRule="auto"/>
        <w:ind w:left="105" w:leftChars="50" w:firstLine="480" w:firstLineChars="200"/>
        <w:textAlignment w:val="auto"/>
        <w:outlineLvl w:val="1"/>
        <w:rPr>
          <w:rFonts w:hint="default" w:ascii="Arial" w:hAnsi="Arial" w:eastAsia="宋体" w:cs="Arial"/>
          <w:b/>
          <w:bCs/>
          <w:color w:val="FFFFFF" w:themeColor="background1"/>
          <w:sz w:val="10"/>
          <w:szCs w:val="10"/>
          <w14:textFill>
            <w14:solidFill>
              <w14:schemeClr w14:val="bg1"/>
            </w14:solidFill>
          </w14:textFill>
        </w:rPr>
      </w:pPr>
      <w:r>
        <w:rPr>
          <w:rFonts w:hint="default" w:ascii="Arial" w:hAnsi="Arial" w:eastAsia="宋体" w:cs="Arial"/>
          <w:b w:val="0"/>
          <w:bCs w:val="0"/>
          <w:sz w:val="24"/>
          <w:szCs w:val="24"/>
          <w:lang w:val="en-US" w:eastAsia="zh-CN"/>
        </w:rPr>
        <w:t>污水设施规划：本次规划维持“分片处理、分片排放”的框架，中心城区不再新建集中污水处理厂，污水统一接入联合污水外排三期工程，最终进入嘉兴联合污水处理厂集中处理后排放杭州湾。</w:t>
      </w:r>
    </w:p>
    <w:bookmarkEnd w:id="0"/>
    <w:p w14:paraId="7F98A14B">
      <w:pPr>
        <w:keepNext w:val="0"/>
        <w:keepLines w:val="0"/>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b/>
          <w:bCs/>
          <w:sz w:val="24"/>
          <w:szCs w:val="24"/>
        </w:rPr>
      </w:pPr>
      <w:r>
        <w:rPr>
          <w:rFonts w:hint="default" w:ascii="Arial" w:hAnsi="Arial" w:eastAsia="宋体" w:cs="Arial"/>
          <w:b/>
          <w:bCs/>
          <w:sz w:val="24"/>
          <w:szCs w:val="24"/>
          <w:lang w:val="en-US" w:eastAsia="zh-CN"/>
        </w:rPr>
        <w:t>2</w:t>
      </w:r>
      <w:r>
        <w:rPr>
          <w:rFonts w:hint="default" w:ascii="Arial" w:hAnsi="Arial" w:eastAsia="宋体" w:cs="Arial"/>
          <w:b/>
          <w:bCs/>
          <w:sz w:val="24"/>
          <w:szCs w:val="24"/>
        </w:rPr>
        <w:t>、《平湖经济开发区（钟埭街道）总体规划》规划符合性分析</w:t>
      </w:r>
    </w:p>
    <w:p w14:paraId="262F3402">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1总体布局</w:t>
      </w:r>
    </w:p>
    <w:p w14:paraId="7310144D">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规划为“一心三轴六组团五区”的结构形式：</w:t>
      </w:r>
    </w:p>
    <w:p w14:paraId="089BAA6E">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①一心：即开发区行政中心。是规划区的核心，设于新华北路与独黎路交叉口西南地块，重点设置开发区（钟埭街道）行政管理设施，并设置科研、技术培训机构设施和公建服务设施。</w:t>
      </w:r>
    </w:p>
    <w:p w14:paraId="2BEE83B8">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②三轴：即沿平湖大道、新华北路、独黎路三条道路轴向发展轴。平湖大道、新华北路是两条南北向的发展轴，独黎路是东西向的发展轴。</w:t>
      </w:r>
    </w:p>
    <w:p w14:paraId="166F74B8">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③六组团：即综合工业组团、光机电产业组团、传统产业组团、三个产业发展组团共六个工业产业组团。</w:t>
      </w:r>
    </w:p>
    <w:p w14:paraId="45E2A597">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④五区：即城西、红建、花园、福臻、钟埭五个居住社区。</w:t>
      </w:r>
    </w:p>
    <w:p w14:paraId="3A2B1558">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2工业用地布局</w:t>
      </w:r>
    </w:p>
    <w:p w14:paraId="57424091">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1）综合工业组团：位于宏建路以南，是已建成的工业区，主要以光机电为主，包括服装、箱包、汽车配件、塑料、工艺制品等各类工业产业。规划进一步完善组团基础设施和服务设施，同时优化用地功能结构，整治对环境构成污染的企业。</w:t>
      </w:r>
    </w:p>
    <w:p w14:paraId="1B3DBB5F">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（2）光机电产业组团</w:t>
      </w:r>
    </w:p>
    <w:p w14:paraId="7577168C">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位于宏建路以北，平湖大道两侧地段。是以光机电为主的产业组团。组团除重点发展光机电产业外，同时发展纺织产业，积极扶持新兴产业的发展。</w:t>
      </w:r>
    </w:p>
    <w:p w14:paraId="423FEE1A">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另外结合新开挖的北市河，在平湖大道和北市河交叉处规划一处大型综合仓储区。</w:t>
      </w:r>
    </w:p>
    <w:p w14:paraId="263B16F7">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（3）传统产业组团</w:t>
      </w:r>
    </w:p>
    <w:p w14:paraId="4FBC7D3D">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位于兴工路两侧、钟埭集镇南部。现状为原钟埭工业区，具备一定的发展基础。组团在现有基础上机械发展，以服装箱包为重点产业，带动其他加工制造业的一类工业发展。</w:t>
      </w:r>
    </w:p>
    <w:p w14:paraId="3817461F">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（4）产业发展组团</w:t>
      </w:r>
    </w:p>
    <w:p w14:paraId="040102CB">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分为东、西、南三个组团，分别位于独黎路以北、新华北路东部，新华北路东侧、平兴公路以南，以及嘉善塘以西到平钟公路以南地段。现状以农业生产用地为主。组团作为开发区的弹性发展空间，结合开发区产业发展走向，根据发展需要，逐步建立新型的产业区。在上海塘和乍林公路之间作为远景预留用地，控制村庄建设规模。</w:t>
      </w:r>
    </w:p>
    <w:p w14:paraId="1AF73B53">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强化工业配套服务设施，在每个工业组团设置一至二个综合服务点，主要包括餐厅、小超市、加油站、停车场、公厕、垃圾站等。为工业组团职工生活提供方便服务。</w:t>
      </w:r>
    </w:p>
    <w:p w14:paraId="57346FB3">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另外，利用上海塘的水运优势，在独黎路北侧、上海塘沿线预留一仓储区。</w:t>
      </w:r>
    </w:p>
    <w:p w14:paraId="708E4EB1">
      <w:pPr>
        <w:pStyle w:val="93"/>
        <w:keepNext w:val="0"/>
        <w:keepLines w:val="0"/>
        <w:pageBreakBefore w:val="0"/>
        <w:widowControl w:val="0"/>
        <w:kinsoku/>
        <w:wordWrap/>
        <w:overflowPunct/>
        <w:topLinePunct w:val="0"/>
        <w:autoSpaceDE/>
        <w:autoSpaceDN/>
        <w:bidi w:val="0"/>
        <w:adjustRightInd w:val="0"/>
        <w:snapToGrid w:val="0"/>
        <w:spacing w:before="102" w:line="360" w:lineRule="auto"/>
        <w:ind w:left="105" w:leftChars="50" w:firstLine="480"/>
        <w:jc w:val="left"/>
        <w:textAlignment w:val="auto"/>
        <w:rPr>
          <w:rFonts w:hint="default" w:ascii="Arial" w:hAnsi="Arial" w:eastAsia="宋体" w:cs="Arial"/>
        </w:rPr>
      </w:pPr>
      <w:r>
        <w:rPr>
          <w:rFonts w:hint="default" w:ascii="Arial" w:hAnsi="Arial" w:eastAsia="宋体" w:cs="Arial"/>
        </w:rPr>
        <w:t>根据《平湖经济开发区（钟埭街道）总体规划）》</w:t>
      </w:r>
      <w:r>
        <w:rPr>
          <w:rFonts w:hint="eastAsia" w:ascii="Arial" w:hAnsi="Arial" w:cs="Arial"/>
          <w:lang w:eastAsia="zh-CN"/>
        </w:rPr>
        <w:t>《</w:t>
      </w:r>
      <w:r>
        <w:rPr>
          <w:rFonts w:hint="default" w:ascii="Arial" w:hAnsi="Arial" w:eastAsia="宋体" w:cs="Arial"/>
          <w:lang w:val="en-US" w:eastAsia="zh-CN"/>
        </w:rPr>
        <w:t>平湖市国土空间总体规划</w:t>
      </w:r>
      <w:r>
        <w:rPr>
          <w:rFonts w:hint="eastAsia" w:ascii="Arial" w:hAnsi="Arial" w:cs="Arial"/>
          <w:lang w:val="en-US" w:eastAsia="zh-CN"/>
        </w:rPr>
        <w:t>》</w:t>
      </w:r>
      <w:r>
        <w:rPr>
          <w:rFonts w:hint="default" w:ascii="Arial" w:hAnsi="Arial" w:eastAsia="宋体" w:cs="Arial"/>
        </w:rPr>
        <w:t>，本项目主要生产</w:t>
      </w:r>
      <w:r>
        <w:rPr>
          <w:rFonts w:hint="default" w:ascii="Arial" w:hAnsi="Arial" w:eastAsia="宋体" w:cs="Arial"/>
          <w:lang w:val="en-US" w:eastAsia="zh-CN"/>
        </w:rPr>
        <w:t>汽车零部件</w:t>
      </w:r>
      <w:r>
        <w:rPr>
          <w:rFonts w:hint="default" w:ascii="Arial" w:hAnsi="Arial" w:eastAsia="宋体" w:cs="Arial"/>
        </w:rPr>
        <w:t>，企业处于平湖经济技术开发区地块内，属于综合工业组团，项目用地为工业用地。本项目建设符合“三线一单”要求，各污染物经处理均能达标排放，对周边环境影响可控，是平湖市快速经济发展的需求。综上，项目建设符合平湖经济开发区总体规划等相关规划要求。</w:t>
      </w:r>
    </w:p>
    <w:p w14:paraId="0FCD6E00">
      <w:pPr>
        <w:keepNext w:val="0"/>
        <w:keepLines w:val="0"/>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b/>
          <w:bCs/>
          <w:sz w:val="24"/>
          <w:szCs w:val="24"/>
        </w:rPr>
      </w:pPr>
      <w:r>
        <w:rPr>
          <w:rFonts w:hint="default" w:ascii="Arial" w:hAnsi="Arial" w:eastAsia="宋体" w:cs="Arial"/>
          <w:b/>
          <w:bCs/>
          <w:sz w:val="24"/>
          <w:szCs w:val="24"/>
          <w:lang w:val="en-US" w:eastAsia="zh-CN"/>
        </w:rPr>
        <w:t>3</w:t>
      </w:r>
      <w:r>
        <w:rPr>
          <w:rFonts w:hint="default" w:ascii="Arial" w:hAnsi="Arial" w:eastAsia="宋体" w:cs="Arial"/>
          <w:b/>
          <w:bCs/>
          <w:sz w:val="24"/>
          <w:szCs w:val="24"/>
        </w:rPr>
        <w:t>、规划环境影响评价符合性分析</w:t>
      </w:r>
    </w:p>
    <w:p w14:paraId="2A3D3AD6">
      <w:pPr>
        <w:pStyle w:val="92"/>
        <w:keepNext w:val="0"/>
        <w:keepLines w:val="0"/>
        <w:pageBreakBefore w:val="0"/>
        <w:widowControl w:val="0"/>
        <w:kinsoku/>
        <w:wordWrap/>
        <w:overflowPunct/>
        <w:topLinePunct w:val="0"/>
        <w:autoSpaceDE/>
        <w:autoSpaceDN/>
        <w:bidi w:val="0"/>
        <w:spacing w:line="360" w:lineRule="auto"/>
        <w:ind w:left="105" w:leftChars="50" w:firstLine="480"/>
        <w:textAlignment w:val="auto"/>
        <w:rPr>
          <w:rFonts w:hint="default" w:ascii="Arial" w:hAnsi="Arial" w:eastAsia="宋体" w:cs="Arial"/>
        </w:rPr>
        <w:sectPr>
          <w:headerReference r:id="rId8"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r>
        <w:rPr>
          <w:rFonts w:hint="default" w:ascii="Arial" w:hAnsi="Arial" w:eastAsia="宋体" w:cs="Arial"/>
        </w:rPr>
        <w:t>《平湖经济开发区（钟埭街道）总体规划环境影响跟踪环境影响跟踪评价报告书》于2017年8月由浙江省工业环保设计研究院有限公司编制完成，并于2017年11月16日通过浙江省环保厅审查，审查文号为：浙环函[2017]426号。</w:t>
      </w:r>
    </w:p>
    <w:p w14:paraId="0C07B6A0">
      <w:pPr>
        <w:pStyle w:val="76"/>
        <w:numPr>
          <w:ilvl w:val="3"/>
          <w:numId w:val="5"/>
        </w:numPr>
        <w:ind w:left="777" w:leftChars="0" w:firstLine="482"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平湖经济开发区重点保护的生态空间清单（仅罗列涉及区块）</w:t>
      </w:r>
    </w:p>
    <w:tbl>
      <w:tblPr>
        <w:tblStyle w:val="5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1786"/>
        <w:gridCol w:w="729"/>
        <w:gridCol w:w="1456"/>
        <w:gridCol w:w="5103"/>
        <w:gridCol w:w="3130"/>
      </w:tblGrid>
      <w:tr w14:paraId="0CE8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5" w:type="pct"/>
            <w:vAlign w:val="center"/>
          </w:tcPr>
          <w:p w14:paraId="461D0769">
            <w:pPr>
              <w:keepNext w:val="0"/>
              <w:keepLines w:val="0"/>
              <w:suppressLineNumbers w:val="0"/>
              <w:spacing w:before="0" w:beforeAutospacing="0" w:after="0" w:afterAutospacing="0" w:line="220" w:lineRule="exact"/>
              <w:ind w:left="0" w:right="0"/>
              <w:jc w:val="center"/>
              <w:rPr>
                <w:rFonts w:hint="default" w:ascii="Arial" w:hAnsi="Arial" w:eastAsia="宋体" w:cs="Arial"/>
                <w:kern w:val="0"/>
                <w:sz w:val="18"/>
                <w:szCs w:val="18"/>
              </w:rPr>
            </w:pPr>
            <w:r>
              <w:rPr>
                <w:rFonts w:hint="default" w:ascii="Arial" w:hAnsi="Arial" w:eastAsia="宋体" w:cs="Arial"/>
                <w:kern w:val="0"/>
                <w:sz w:val="18"/>
                <w:szCs w:val="18"/>
              </w:rPr>
              <w:t>生态空间名称及编号</w:t>
            </w:r>
          </w:p>
        </w:tc>
        <w:tc>
          <w:tcPr>
            <w:tcW w:w="656" w:type="pct"/>
            <w:vAlign w:val="center"/>
          </w:tcPr>
          <w:p w14:paraId="40A4104D">
            <w:pPr>
              <w:keepNext w:val="0"/>
              <w:keepLines w:val="0"/>
              <w:suppressLineNumbers w:val="0"/>
              <w:spacing w:before="0" w:beforeAutospacing="0" w:after="0" w:afterAutospacing="0" w:line="220" w:lineRule="exact"/>
              <w:ind w:left="0" w:right="0"/>
              <w:jc w:val="center"/>
              <w:rPr>
                <w:rFonts w:hint="default" w:ascii="Arial" w:hAnsi="Arial" w:eastAsia="宋体" w:cs="Arial"/>
                <w:kern w:val="0"/>
                <w:sz w:val="18"/>
                <w:szCs w:val="18"/>
              </w:rPr>
            </w:pPr>
            <w:r>
              <w:rPr>
                <w:rFonts w:hint="default" w:ascii="Arial" w:hAnsi="Arial" w:eastAsia="宋体" w:cs="Arial"/>
                <w:kern w:val="0"/>
                <w:sz w:val="18"/>
                <w:szCs w:val="18"/>
              </w:rPr>
              <w:t>位置及面积</w:t>
            </w:r>
          </w:p>
        </w:tc>
        <w:tc>
          <w:tcPr>
            <w:tcW w:w="268" w:type="pct"/>
            <w:vAlign w:val="center"/>
          </w:tcPr>
          <w:p w14:paraId="0432668F">
            <w:pPr>
              <w:keepNext w:val="0"/>
              <w:keepLines w:val="0"/>
              <w:suppressLineNumbers w:val="0"/>
              <w:spacing w:before="0" w:beforeAutospacing="0" w:after="0" w:afterAutospacing="0" w:line="220" w:lineRule="exact"/>
              <w:ind w:left="0" w:right="0"/>
              <w:jc w:val="center"/>
              <w:rPr>
                <w:rFonts w:hint="default" w:ascii="Arial" w:hAnsi="Arial" w:eastAsia="宋体" w:cs="Arial"/>
                <w:kern w:val="0"/>
                <w:sz w:val="18"/>
                <w:szCs w:val="18"/>
              </w:rPr>
            </w:pPr>
            <w:r>
              <w:rPr>
                <w:rFonts w:hint="default" w:ascii="Arial" w:hAnsi="Arial" w:eastAsia="宋体" w:cs="Arial"/>
                <w:kern w:val="0"/>
                <w:sz w:val="18"/>
                <w:szCs w:val="18"/>
              </w:rPr>
              <w:t>现状</w:t>
            </w:r>
          </w:p>
        </w:tc>
        <w:tc>
          <w:tcPr>
            <w:tcW w:w="535" w:type="pct"/>
            <w:vAlign w:val="center"/>
          </w:tcPr>
          <w:p w14:paraId="1B90F138">
            <w:pPr>
              <w:keepNext w:val="0"/>
              <w:keepLines w:val="0"/>
              <w:suppressLineNumbers w:val="0"/>
              <w:spacing w:before="0" w:beforeAutospacing="0" w:after="0" w:afterAutospacing="0" w:line="220" w:lineRule="exact"/>
              <w:ind w:left="0" w:right="0"/>
              <w:jc w:val="center"/>
              <w:rPr>
                <w:rFonts w:hint="default" w:ascii="Arial" w:hAnsi="Arial" w:eastAsia="宋体" w:cs="Arial"/>
                <w:kern w:val="0"/>
                <w:sz w:val="18"/>
                <w:szCs w:val="18"/>
              </w:rPr>
            </w:pPr>
            <w:r>
              <w:rPr>
                <w:rFonts w:hint="default" w:ascii="Arial" w:hAnsi="Arial" w:eastAsia="宋体" w:cs="Arial"/>
                <w:kern w:val="0"/>
                <w:sz w:val="18"/>
                <w:szCs w:val="18"/>
              </w:rPr>
              <w:t>保护对象</w:t>
            </w:r>
          </w:p>
        </w:tc>
        <w:tc>
          <w:tcPr>
            <w:tcW w:w="1875" w:type="pct"/>
            <w:vAlign w:val="center"/>
          </w:tcPr>
          <w:p w14:paraId="766ED3E1">
            <w:pPr>
              <w:keepNext w:val="0"/>
              <w:keepLines w:val="0"/>
              <w:suppressLineNumbers w:val="0"/>
              <w:spacing w:before="0" w:beforeAutospacing="0" w:after="0" w:afterAutospacing="0" w:line="220" w:lineRule="exact"/>
              <w:ind w:left="0" w:right="0"/>
              <w:jc w:val="center"/>
              <w:rPr>
                <w:rFonts w:hint="default" w:ascii="Arial" w:hAnsi="Arial" w:eastAsia="宋体" w:cs="Arial"/>
                <w:kern w:val="0"/>
                <w:sz w:val="18"/>
                <w:szCs w:val="18"/>
              </w:rPr>
            </w:pPr>
            <w:r>
              <w:rPr>
                <w:rFonts w:hint="default" w:ascii="Arial" w:hAnsi="Arial" w:eastAsia="宋体" w:cs="Arial"/>
                <w:kern w:val="0"/>
                <w:sz w:val="18"/>
                <w:szCs w:val="18"/>
              </w:rPr>
              <w:t>生态空间范围示意图</w:t>
            </w:r>
          </w:p>
        </w:tc>
        <w:tc>
          <w:tcPr>
            <w:tcW w:w="1150" w:type="pct"/>
            <w:vAlign w:val="center"/>
          </w:tcPr>
          <w:p w14:paraId="5EB3D685">
            <w:pPr>
              <w:keepNext w:val="0"/>
              <w:keepLines w:val="0"/>
              <w:suppressLineNumbers w:val="0"/>
              <w:spacing w:before="0" w:beforeAutospacing="0" w:after="0" w:afterAutospacing="0" w:line="220" w:lineRule="exact"/>
              <w:ind w:left="0" w:right="0"/>
              <w:jc w:val="center"/>
              <w:rPr>
                <w:rFonts w:hint="default" w:ascii="Arial" w:hAnsi="Arial" w:eastAsia="宋体" w:cs="Arial"/>
                <w:kern w:val="0"/>
                <w:sz w:val="18"/>
                <w:szCs w:val="18"/>
              </w:rPr>
            </w:pPr>
            <w:r>
              <w:rPr>
                <w:rFonts w:hint="default" w:ascii="Arial" w:hAnsi="Arial" w:eastAsia="宋体" w:cs="Arial"/>
                <w:kern w:val="0"/>
                <w:sz w:val="18"/>
                <w:szCs w:val="18"/>
              </w:rPr>
              <w:t>准入要求和管控措施</w:t>
            </w:r>
          </w:p>
        </w:tc>
      </w:tr>
      <w:tr w14:paraId="60E5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5" w:type="pct"/>
            <w:vAlign w:val="center"/>
          </w:tcPr>
          <w:p w14:paraId="430E6CEA">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平湖经济技术开发区环境优化准入区4-1</w:t>
            </w:r>
          </w:p>
        </w:tc>
        <w:tc>
          <w:tcPr>
            <w:tcW w:w="656" w:type="pct"/>
            <w:vAlign w:val="center"/>
          </w:tcPr>
          <w:p w14:paraId="20AEB672">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面积为17.15平方公里；</w:t>
            </w:r>
          </w:p>
          <w:p w14:paraId="7A1C5339">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环境功能区划中优化准入区（不含以居住功能为主的2-4和2-5区块）；</w:t>
            </w:r>
          </w:p>
        </w:tc>
        <w:tc>
          <w:tcPr>
            <w:tcW w:w="268" w:type="pct"/>
            <w:vAlign w:val="center"/>
          </w:tcPr>
          <w:p w14:paraId="2C2A7BA7">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以工业企业用地为主</w:t>
            </w:r>
          </w:p>
        </w:tc>
        <w:tc>
          <w:tcPr>
            <w:tcW w:w="535" w:type="pct"/>
            <w:vAlign w:val="center"/>
          </w:tcPr>
          <w:p w14:paraId="4CB9883A">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地表水III类</w:t>
            </w:r>
          </w:p>
          <w:p w14:paraId="747B324B">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环境空气二级</w:t>
            </w:r>
          </w:p>
          <w:p w14:paraId="3C1A34E1">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声环境居住区2类、工业区3类</w:t>
            </w:r>
          </w:p>
        </w:tc>
        <w:tc>
          <w:tcPr>
            <w:tcW w:w="1875" w:type="pct"/>
            <w:vAlign w:val="center"/>
          </w:tcPr>
          <w:p w14:paraId="78603BAE">
            <w:pPr>
              <w:keepNext w:val="0"/>
              <w:keepLines w:val="0"/>
              <w:widowControl/>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rPr>
              <mc:AlternateContent>
                <mc:Choice Requires="wps">
                  <w:drawing>
                    <wp:anchor distT="0" distB="0" distL="114300" distR="114300" simplePos="0" relativeHeight="251665408" behindDoc="0" locked="0" layoutInCell="1" allowOverlap="1">
                      <wp:simplePos x="0" y="0"/>
                      <wp:positionH relativeFrom="column">
                        <wp:posOffset>1579880</wp:posOffset>
                      </wp:positionH>
                      <wp:positionV relativeFrom="paragraph">
                        <wp:posOffset>540385</wp:posOffset>
                      </wp:positionV>
                      <wp:extent cx="100965" cy="101600"/>
                      <wp:effectExtent l="13970" t="20320" r="37465" b="30480"/>
                      <wp:wrapNone/>
                      <wp:docPr id="19" name="五角星 19"/>
                      <wp:cNvGraphicFramePr/>
                      <a:graphic xmlns:a="http://schemas.openxmlformats.org/drawingml/2006/main">
                        <a:graphicData uri="http://schemas.microsoft.com/office/word/2010/wordprocessingShape">
                          <wps:wsp>
                            <wps:cNvSpPr/>
                            <wps:spPr>
                              <a:xfrm rot="660000">
                                <a:off x="6411595" y="2007235"/>
                                <a:ext cx="100965" cy="101600"/>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24.4pt;margin-top:42.55pt;height:8pt;width:7.95pt;rotation:720896f;z-index:251665408;v-text-anchor:middle;mso-width-relative:page;mso-height-relative:page;" fillcolor="#FF0000" filled="t" stroked="t" coordsize="100965,101600" o:gfxdata="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R99Rb2QAAAAoBAAAPAAAAAAAA&#10;AAEAIAAAACIAAABkcnMvZG93bnJldi54bWxQSwECFAAUAAAACACHTuJAXFVk2oMCAAASBQAADgAA&#10;AAAAAAABACAAAAAoAQAAZHJzL2Uyb0RvYy54bWxQSwUGAAAAAAYABgBZAQAAHQYAAAAA&#10;" path="m0,38807l38565,38807,50482,0,62399,38807,100964,38807,69764,62791,81682,101599,50482,77614,19282,101599,31200,62791xe">
                      <v:path o:connectlocs="50482,0;0,38807;19282,101599;81682,101599;100964,38807" o:connectangles="247,164,82,82,0"/>
                      <v:fill on="t" focussize="0,0"/>
                      <v:stroke weight="1pt" color="#FF0000 [2404]" miterlimit="8" joinstyle="miter"/>
                      <v:imagedata o:title=""/>
                      <o:lock v:ext="edit" aspectratio="f"/>
                    </v:shape>
                  </w:pict>
                </mc:Fallback>
              </mc:AlternateContent>
            </w:r>
            <w:r>
              <w:rPr>
                <w:rFonts w:hint="default" w:ascii="Arial" w:hAnsi="Arial" w:eastAsia="宋体" w:cs="Arial"/>
                <w:sz w:val="18"/>
                <w:szCs w:val="18"/>
              </w:rPr>
              <w:drawing>
                <wp:inline distT="0" distB="0" distL="0" distR="0">
                  <wp:extent cx="952500" cy="1497965"/>
                  <wp:effectExtent l="0" t="0" r="0" b="6985"/>
                  <wp:docPr id="66" name="图片 66" descr="C:\Users\HZ\Desktop\AppData\Local\Temp\ksohtml32\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Users\HZ\Desktop\AppData\Local\Temp\ksohtml32\wps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952500" cy="1497965"/>
                          </a:xfrm>
                          <a:prstGeom prst="rect">
                            <a:avLst/>
                          </a:prstGeom>
                          <a:noFill/>
                          <a:ln>
                            <a:noFill/>
                          </a:ln>
                        </pic:spPr>
                      </pic:pic>
                    </a:graphicData>
                  </a:graphic>
                </wp:inline>
              </w:drawing>
            </w:r>
          </w:p>
        </w:tc>
        <w:tc>
          <w:tcPr>
            <w:tcW w:w="1150" w:type="pct"/>
            <w:vAlign w:val="center"/>
          </w:tcPr>
          <w:p w14:paraId="43BA8905">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禁止发展三类工业项目及国家和地方产业政策中规定的禁止类项目。</w:t>
            </w:r>
          </w:p>
          <w:p w14:paraId="1CE59178">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bCs/>
                <w:snapToGrid w:val="0"/>
                <w:sz w:val="18"/>
                <w:szCs w:val="18"/>
              </w:rPr>
            </w:pPr>
            <w:r>
              <w:rPr>
                <w:rFonts w:hint="default" w:ascii="Arial" w:hAnsi="Arial" w:eastAsia="宋体" w:cs="Arial"/>
                <w:bCs/>
                <w:snapToGrid w:val="0"/>
                <w:sz w:val="18"/>
                <w:szCs w:val="18"/>
              </w:rPr>
              <w:t>禁止新建、扩建三类工业项目，鼓励对三类工业项目进行淘汰和提升改造。</w:t>
            </w:r>
          </w:p>
          <w:p w14:paraId="31A85E0A">
            <w:pPr>
              <w:pStyle w:val="120"/>
              <w:keepNext w:val="0"/>
              <w:keepLines w:val="0"/>
              <w:suppressLineNumbers w:val="0"/>
              <w:adjustRightInd w:val="0"/>
              <w:spacing w:beforeAutospacing="0" w:after="0" w:afterAutospacing="0" w:line="240" w:lineRule="auto"/>
              <w:ind w:left="0" w:right="0" w:firstLine="0" w:firstLineChars="0"/>
              <w:jc w:val="center"/>
              <w:rPr>
                <w:rFonts w:hint="default" w:ascii="Arial" w:hAnsi="Arial" w:eastAsia="宋体" w:cs="Arial"/>
                <w:kern w:val="0"/>
                <w:sz w:val="18"/>
                <w:szCs w:val="18"/>
              </w:rPr>
            </w:pPr>
            <w:r>
              <w:rPr>
                <w:rFonts w:hint="default" w:ascii="Arial" w:hAnsi="Arial" w:eastAsia="宋体" w:cs="Arial"/>
                <w:bCs/>
                <w:snapToGrid w:val="0"/>
                <w:sz w:val="18"/>
                <w:szCs w:val="18"/>
              </w:rPr>
              <w:t>新建二类工业项目污染物排放水平需达到同行业国内先进水平</w:t>
            </w:r>
          </w:p>
        </w:tc>
      </w:tr>
    </w:tbl>
    <w:p w14:paraId="3A99E972">
      <w:pPr>
        <w:pStyle w:val="76"/>
        <w:keepNext w:val="0"/>
        <w:keepLines w:val="0"/>
        <w:pageBreakBefore w:val="0"/>
        <w:widowControl w:val="0"/>
        <w:numPr>
          <w:ilvl w:val="3"/>
          <w:numId w:val="5"/>
        </w:numPr>
        <w:kinsoku/>
        <w:wordWrap/>
        <w:overflowPunct/>
        <w:topLinePunct w:val="0"/>
        <w:autoSpaceDE/>
        <w:autoSpaceDN/>
        <w:bidi w:val="0"/>
        <w:adjustRightInd/>
        <w:snapToGrid/>
        <w:spacing w:before="171" w:beforeLines="50"/>
        <w:ind w:left="777" w:leftChars="0" w:firstLine="482" w:firstLineChars="0"/>
        <w:jc w:val="center"/>
        <w:textAlignment w:val="auto"/>
        <w:outlineLvl w:val="3"/>
        <w:rPr>
          <w:rFonts w:hint="default" w:ascii="Arial" w:hAnsi="Arial" w:eastAsia="宋体" w:cs="Arial"/>
          <w:b/>
          <w:bCs/>
          <w:sz w:val="24"/>
          <w:szCs w:val="24"/>
        </w:rPr>
      </w:pPr>
      <w:r>
        <w:rPr>
          <w:rFonts w:hint="default" w:ascii="Arial" w:hAnsi="Arial" w:eastAsia="宋体" w:cs="Arial"/>
          <w:b/>
          <w:bCs/>
          <w:sz w:val="24"/>
          <w:szCs w:val="24"/>
        </w:rPr>
        <w:t xml:space="preserve">  平湖经济开发区环境准入负面清单（仅罗列涉及区块内容）</w:t>
      </w:r>
    </w:p>
    <w:tbl>
      <w:tblPr>
        <w:tblStyle w:val="5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1177"/>
        <w:gridCol w:w="9208"/>
        <w:gridCol w:w="2094"/>
      </w:tblGrid>
      <w:tr w14:paraId="4A84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Align w:val="center"/>
          </w:tcPr>
          <w:p w14:paraId="45C59227">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类别</w:t>
            </w:r>
          </w:p>
        </w:tc>
        <w:tc>
          <w:tcPr>
            <w:tcW w:w="1177" w:type="dxa"/>
            <w:vAlign w:val="center"/>
          </w:tcPr>
          <w:p w14:paraId="5A8FC7DB">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执行区域</w:t>
            </w:r>
          </w:p>
        </w:tc>
        <w:tc>
          <w:tcPr>
            <w:tcW w:w="9208" w:type="dxa"/>
            <w:vAlign w:val="center"/>
          </w:tcPr>
          <w:p w14:paraId="31179162">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环境准入负面清单</w:t>
            </w:r>
          </w:p>
        </w:tc>
        <w:tc>
          <w:tcPr>
            <w:tcW w:w="2094" w:type="dxa"/>
            <w:vAlign w:val="center"/>
          </w:tcPr>
          <w:p w14:paraId="46F23261">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制定依据</w:t>
            </w:r>
          </w:p>
        </w:tc>
      </w:tr>
      <w:tr w14:paraId="0C16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127" w:type="dxa"/>
            <w:vAlign w:val="center"/>
          </w:tcPr>
          <w:p w14:paraId="397B4EDA">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行业清单</w:t>
            </w:r>
          </w:p>
        </w:tc>
        <w:tc>
          <w:tcPr>
            <w:tcW w:w="1177" w:type="dxa"/>
            <w:vAlign w:val="center"/>
          </w:tcPr>
          <w:p w14:paraId="501E2F67">
            <w:pPr>
              <w:pStyle w:val="92"/>
              <w:keepNext w:val="0"/>
              <w:keepLines w:val="0"/>
              <w:suppressLineNumbers w:val="0"/>
              <w:spacing w:before="0" w:beforeAutospacing="0" w:after="0" w:afterAutospacing="0" w:line="240" w:lineRule="auto"/>
              <w:ind w:left="0" w:right="0" w:firstLine="0" w:firstLineChars="0"/>
              <w:jc w:val="center"/>
              <w:rPr>
                <w:rFonts w:hint="default" w:ascii="Arial" w:hAnsi="Arial" w:eastAsia="宋体" w:cs="Arial"/>
                <w:bCs/>
                <w:sz w:val="18"/>
                <w:szCs w:val="18"/>
              </w:rPr>
            </w:pPr>
            <w:r>
              <w:rPr>
                <w:rFonts w:hint="default" w:ascii="Arial" w:hAnsi="Arial" w:eastAsia="宋体" w:cs="Arial"/>
                <w:sz w:val="18"/>
                <w:szCs w:val="18"/>
              </w:rPr>
              <w:t>4-1</w:t>
            </w:r>
          </w:p>
        </w:tc>
        <w:tc>
          <w:tcPr>
            <w:tcW w:w="9208" w:type="dxa"/>
            <w:vAlign w:val="center"/>
          </w:tcPr>
          <w:p w14:paraId="04D7A690">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①禁止发展三类工业项目及国家和地方产业政策中规定的禁止类项目。</w:t>
            </w:r>
          </w:p>
          <w:p w14:paraId="2FF941E7">
            <w:pPr>
              <w:keepNext w:val="0"/>
              <w:keepLines w:val="0"/>
              <w:suppressLineNumbers w:val="0"/>
              <w:spacing w:before="0" w:beforeAutospacing="0" w:after="0" w:afterAutospacing="0" w:line="270" w:lineRule="exact"/>
              <w:ind w:left="0" w:right="0"/>
              <w:jc w:val="both"/>
              <w:rPr>
                <w:rFonts w:hint="default" w:ascii="Arial" w:hAnsi="Arial" w:eastAsia="宋体" w:cs="Arial"/>
                <w:b/>
                <w:snapToGrid w:val="0"/>
                <w:kern w:val="0"/>
                <w:sz w:val="18"/>
                <w:szCs w:val="18"/>
              </w:rPr>
            </w:pPr>
            <w:r>
              <w:rPr>
                <w:rFonts w:hint="default" w:ascii="Arial" w:hAnsi="Arial" w:eastAsia="宋体" w:cs="Arial"/>
                <w:sz w:val="18"/>
                <w:szCs w:val="18"/>
              </w:rPr>
              <w:t>②</w:t>
            </w:r>
            <w:r>
              <w:rPr>
                <w:rFonts w:hint="default" w:ascii="Arial" w:hAnsi="Arial" w:eastAsia="宋体" w:cs="Arial"/>
                <w:b/>
                <w:snapToGrid w:val="0"/>
                <w:kern w:val="0"/>
                <w:sz w:val="18"/>
                <w:szCs w:val="18"/>
              </w:rPr>
              <w:t>禁止新建、扩建三类工业项目，鼓励对三类工业项目进行淘汰和提升改造。</w:t>
            </w:r>
          </w:p>
          <w:p w14:paraId="562C7B2A">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kern w:val="0"/>
                <w:sz w:val="18"/>
                <w:szCs w:val="18"/>
              </w:rPr>
              <w:t>新建二类工业项目污染物排放水平需达到同行业国内先进水平</w:t>
            </w:r>
          </w:p>
        </w:tc>
        <w:tc>
          <w:tcPr>
            <w:tcW w:w="2094" w:type="dxa"/>
            <w:vAlign w:val="center"/>
          </w:tcPr>
          <w:p w14:paraId="558284D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平湖市环境功能区划及区域</w:t>
            </w:r>
            <w:r>
              <w:rPr>
                <w:rFonts w:hint="default" w:ascii="Arial" w:hAnsi="Arial" w:eastAsia="宋体" w:cs="Arial"/>
                <w:bCs/>
                <w:sz w:val="18"/>
                <w:szCs w:val="18"/>
              </w:rPr>
              <w:t>环境制约因素</w:t>
            </w:r>
          </w:p>
        </w:tc>
      </w:tr>
      <w:tr w14:paraId="7FDD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Align w:val="center"/>
          </w:tcPr>
          <w:p w14:paraId="523A7D1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行业清单否定性指标</w:t>
            </w:r>
          </w:p>
        </w:tc>
        <w:tc>
          <w:tcPr>
            <w:tcW w:w="1177" w:type="dxa"/>
            <w:vAlign w:val="center"/>
          </w:tcPr>
          <w:p w14:paraId="52049BFF">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平湖经济开发区全</w:t>
            </w:r>
            <w:r>
              <w:rPr>
                <w:rFonts w:hint="default" w:ascii="Arial" w:hAnsi="Arial" w:eastAsia="宋体" w:cs="Arial"/>
                <w:bCs/>
                <w:sz w:val="18"/>
                <w:szCs w:val="18"/>
              </w:rPr>
              <w:t>域</w:t>
            </w:r>
          </w:p>
        </w:tc>
        <w:tc>
          <w:tcPr>
            <w:tcW w:w="9208" w:type="dxa"/>
            <w:vAlign w:val="center"/>
          </w:tcPr>
          <w:p w14:paraId="3B1B81D3">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①项目万元工业增加值综合能耗低于本市“十三五”末控制指标，或低于嘉兴市行业平均水平10%以上；</w:t>
            </w:r>
          </w:p>
          <w:p w14:paraId="0AB9479E">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②COD亩均排放量低于全市平均水平，投资排污强度低于全市前两年平均水平；不能符合以上两个条件不能准入。</w:t>
            </w:r>
          </w:p>
        </w:tc>
        <w:tc>
          <w:tcPr>
            <w:tcW w:w="2094" w:type="dxa"/>
            <w:vAlign w:val="center"/>
          </w:tcPr>
          <w:p w14:paraId="3CE5E7D9">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平湖市工业投资项目准入评价实施办法（平政发2016〕160号）</w:t>
            </w:r>
          </w:p>
        </w:tc>
      </w:tr>
      <w:tr w14:paraId="6A24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Merge w:val="restart"/>
            <w:vAlign w:val="center"/>
          </w:tcPr>
          <w:p w14:paraId="1002C537">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工艺清单</w:t>
            </w:r>
          </w:p>
        </w:tc>
        <w:tc>
          <w:tcPr>
            <w:tcW w:w="1177" w:type="dxa"/>
            <w:vMerge w:val="restart"/>
            <w:vAlign w:val="center"/>
          </w:tcPr>
          <w:p w14:paraId="71B5A87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平湖经济开发区全</w:t>
            </w:r>
            <w:r>
              <w:rPr>
                <w:rFonts w:hint="default" w:ascii="Arial" w:hAnsi="Arial" w:eastAsia="宋体" w:cs="Arial"/>
                <w:bCs/>
                <w:sz w:val="18"/>
                <w:szCs w:val="18"/>
              </w:rPr>
              <w:t>域</w:t>
            </w:r>
          </w:p>
        </w:tc>
        <w:tc>
          <w:tcPr>
            <w:tcW w:w="9208" w:type="dxa"/>
            <w:vAlign w:val="center"/>
          </w:tcPr>
          <w:p w14:paraId="7AAA8810">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印染产业禁止工艺：</w:t>
            </w:r>
          </w:p>
          <w:p w14:paraId="7167FD4E">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间歇式染色设备：浴比高于1：8。</w:t>
            </w:r>
          </w:p>
        </w:tc>
        <w:tc>
          <w:tcPr>
            <w:tcW w:w="2094" w:type="dxa"/>
            <w:vAlign w:val="center"/>
          </w:tcPr>
          <w:p w14:paraId="20AF3A55">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浙江省印染产业环境准入指导意见（修订）</w:t>
            </w:r>
          </w:p>
        </w:tc>
      </w:tr>
      <w:tr w14:paraId="54E3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Merge w:val="continue"/>
            <w:vAlign w:val="center"/>
          </w:tcPr>
          <w:p w14:paraId="030C4278">
            <w:pPr>
              <w:keepNext w:val="0"/>
              <w:keepLines w:val="0"/>
              <w:suppressLineNumbers w:val="0"/>
              <w:spacing w:before="0" w:beforeAutospacing="0" w:after="0" w:afterAutospacing="0"/>
              <w:ind w:left="0" w:right="0"/>
              <w:jc w:val="center"/>
              <w:rPr>
                <w:rFonts w:hint="default" w:ascii="Arial" w:hAnsi="Arial" w:eastAsia="宋体" w:cs="Arial"/>
                <w:sz w:val="18"/>
                <w:szCs w:val="18"/>
              </w:rPr>
            </w:pPr>
          </w:p>
        </w:tc>
        <w:tc>
          <w:tcPr>
            <w:tcW w:w="1177" w:type="dxa"/>
            <w:vMerge w:val="continue"/>
            <w:vAlign w:val="center"/>
          </w:tcPr>
          <w:p w14:paraId="1FBC1CCD">
            <w:pPr>
              <w:pStyle w:val="92"/>
              <w:keepNext w:val="0"/>
              <w:keepLines w:val="0"/>
              <w:suppressLineNumbers w:val="0"/>
              <w:spacing w:before="0" w:beforeAutospacing="0" w:after="0" w:afterAutospacing="0" w:line="240" w:lineRule="auto"/>
              <w:ind w:left="0" w:right="0" w:firstLine="0" w:firstLineChars="0"/>
              <w:jc w:val="center"/>
              <w:rPr>
                <w:rFonts w:hint="default" w:ascii="Arial" w:hAnsi="Arial" w:eastAsia="宋体" w:cs="Arial"/>
                <w:bCs/>
                <w:sz w:val="18"/>
                <w:szCs w:val="18"/>
              </w:rPr>
            </w:pPr>
          </w:p>
        </w:tc>
        <w:tc>
          <w:tcPr>
            <w:tcW w:w="9208" w:type="dxa"/>
            <w:vAlign w:val="center"/>
          </w:tcPr>
          <w:p w14:paraId="6702B07C">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化纤产业禁止工艺：</w:t>
            </w:r>
          </w:p>
          <w:p w14:paraId="6AFF032A">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①间歇法聚合聚酯生产工艺。</w:t>
            </w:r>
          </w:p>
          <w:p w14:paraId="29D7CFA0">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②常规聚酯（PET）连续聚合生产装置单线产能不得小于20万吨/年。</w:t>
            </w:r>
          </w:p>
        </w:tc>
        <w:tc>
          <w:tcPr>
            <w:tcW w:w="2094" w:type="dxa"/>
            <w:vAlign w:val="center"/>
          </w:tcPr>
          <w:p w14:paraId="4958EEA6">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浙江省涤纶产业环境准入指导意见（修订）</w:t>
            </w:r>
          </w:p>
        </w:tc>
      </w:tr>
      <w:tr w14:paraId="7275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Merge w:val="continue"/>
            <w:vAlign w:val="center"/>
          </w:tcPr>
          <w:p w14:paraId="5590759B">
            <w:pPr>
              <w:keepNext w:val="0"/>
              <w:keepLines w:val="0"/>
              <w:suppressLineNumbers w:val="0"/>
              <w:spacing w:before="0" w:beforeAutospacing="0" w:after="0" w:afterAutospacing="0"/>
              <w:ind w:left="0" w:right="0"/>
              <w:jc w:val="center"/>
              <w:rPr>
                <w:rFonts w:hint="default" w:ascii="Arial" w:hAnsi="Arial" w:eastAsia="宋体" w:cs="Arial"/>
                <w:sz w:val="18"/>
                <w:szCs w:val="18"/>
              </w:rPr>
            </w:pPr>
          </w:p>
        </w:tc>
        <w:tc>
          <w:tcPr>
            <w:tcW w:w="1177" w:type="dxa"/>
            <w:vMerge w:val="continue"/>
            <w:vAlign w:val="center"/>
          </w:tcPr>
          <w:p w14:paraId="00736E51">
            <w:pPr>
              <w:pStyle w:val="92"/>
              <w:keepNext w:val="0"/>
              <w:keepLines w:val="0"/>
              <w:suppressLineNumbers w:val="0"/>
              <w:spacing w:before="0" w:beforeAutospacing="0" w:after="0" w:afterAutospacing="0" w:line="240" w:lineRule="auto"/>
              <w:ind w:left="0" w:right="0" w:firstLine="0" w:firstLineChars="0"/>
              <w:jc w:val="center"/>
              <w:rPr>
                <w:rFonts w:hint="default" w:ascii="Arial" w:hAnsi="Arial" w:eastAsia="宋体" w:cs="Arial"/>
                <w:bCs/>
                <w:sz w:val="18"/>
                <w:szCs w:val="18"/>
              </w:rPr>
            </w:pPr>
          </w:p>
        </w:tc>
        <w:tc>
          <w:tcPr>
            <w:tcW w:w="9208" w:type="dxa"/>
            <w:vAlign w:val="center"/>
          </w:tcPr>
          <w:p w14:paraId="4BFC3B6F">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电镀产业禁止工艺：</w:t>
            </w:r>
          </w:p>
          <w:p w14:paraId="6CEC652D">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禁止采用单级漂洗或直接冲洗工艺</w:t>
            </w:r>
          </w:p>
        </w:tc>
        <w:tc>
          <w:tcPr>
            <w:tcW w:w="2094" w:type="dxa"/>
            <w:vAlign w:val="center"/>
          </w:tcPr>
          <w:p w14:paraId="584BB6E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浙江省电镀产业环境准入指导意见（修订）</w:t>
            </w:r>
          </w:p>
        </w:tc>
      </w:tr>
      <w:tr w14:paraId="741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Merge w:val="continue"/>
            <w:vAlign w:val="center"/>
          </w:tcPr>
          <w:p w14:paraId="5B39447B">
            <w:pPr>
              <w:keepNext w:val="0"/>
              <w:keepLines w:val="0"/>
              <w:suppressLineNumbers w:val="0"/>
              <w:spacing w:before="0" w:beforeAutospacing="0" w:after="0" w:afterAutospacing="0"/>
              <w:ind w:left="0" w:right="0"/>
              <w:jc w:val="center"/>
              <w:rPr>
                <w:rFonts w:hint="default" w:ascii="Arial" w:hAnsi="Arial" w:eastAsia="宋体" w:cs="Arial"/>
                <w:sz w:val="18"/>
                <w:szCs w:val="18"/>
              </w:rPr>
            </w:pPr>
          </w:p>
        </w:tc>
        <w:tc>
          <w:tcPr>
            <w:tcW w:w="1177" w:type="dxa"/>
            <w:vMerge w:val="continue"/>
            <w:vAlign w:val="center"/>
          </w:tcPr>
          <w:p w14:paraId="7938E8DB">
            <w:pPr>
              <w:pStyle w:val="92"/>
              <w:keepNext w:val="0"/>
              <w:keepLines w:val="0"/>
              <w:suppressLineNumbers w:val="0"/>
              <w:spacing w:before="0" w:beforeAutospacing="0" w:after="0" w:afterAutospacing="0" w:line="240" w:lineRule="auto"/>
              <w:ind w:left="0" w:right="0" w:firstLine="0" w:firstLineChars="0"/>
              <w:jc w:val="center"/>
              <w:rPr>
                <w:rFonts w:hint="default" w:ascii="Arial" w:hAnsi="Arial" w:eastAsia="宋体" w:cs="Arial"/>
                <w:bCs/>
                <w:sz w:val="18"/>
                <w:szCs w:val="18"/>
              </w:rPr>
            </w:pPr>
          </w:p>
        </w:tc>
        <w:tc>
          <w:tcPr>
            <w:tcW w:w="9208" w:type="dxa"/>
            <w:vAlign w:val="center"/>
          </w:tcPr>
          <w:p w14:paraId="34DD9156">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产业结构调整指导目录(2011本)》(2013年修改)、《外商投资产业指导目录》、《部分工业行业淘汰落后生产工艺装备和产品指导目录（2010年本）》、《浙江省制造业产业发展导向目录》、《浙江省淘汰落后生产能力目录》</w:t>
            </w:r>
          </w:p>
          <w:p w14:paraId="5EEE89FE">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等文件限制和禁止的工艺。</w:t>
            </w:r>
          </w:p>
        </w:tc>
        <w:tc>
          <w:tcPr>
            <w:tcW w:w="2094" w:type="dxa"/>
            <w:vAlign w:val="center"/>
          </w:tcPr>
          <w:p w14:paraId="53ADAB7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w:t>
            </w:r>
          </w:p>
        </w:tc>
      </w:tr>
      <w:tr w14:paraId="1691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Merge w:val="restart"/>
            <w:vAlign w:val="center"/>
          </w:tcPr>
          <w:p w14:paraId="654BA496">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工艺装备及产品清单</w:t>
            </w:r>
          </w:p>
        </w:tc>
        <w:tc>
          <w:tcPr>
            <w:tcW w:w="1177" w:type="dxa"/>
            <w:vMerge w:val="restart"/>
            <w:vAlign w:val="center"/>
          </w:tcPr>
          <w:p w14:paraId="4ED8709D">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平湖经济开发区全</w:t>
            </w:r>
            <w:r>
              <w:rPr>
                <w:rFonts w:hint="default" w:ascii="Arial" w:hAnsi="Arial" w:eastAsia="宋体" w:cs="Arial"/>
                <w:bCs/>
                <w:sz w:val="18"/>
                <w:szCs w:val="18"/>
              </w:rPr>
              <w:t>域</w:t>
            </w:r>
          </w:p>
        </w:tc>
        <w:tc>
          <w:tcPr>
            <w:tcW w:w="9208" w:type="dxa"/>
            <w:vAlign w:val="center"/>
          </w:tcPr>
          <w:p w14:paraId="5291E8E7">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化纤产业禁止设备：</w:t>
            </w:r>
          </w:p>
          <w:p w14:paraId="3EB2A37B">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常规化纤长丝用锭使用轴长1200毫米及以下的半自动卷绕设备</w:t>
            </w:r>
          </w:p>
        </w:tc>
        <w:tc>
          <w:tcPr>
            <w:tcW w:w="2094" w:type="dxa"/>
            <w:vAlign w:val="center"/>
          </w:tcPr>
          <w:p w14:paraId="67425D6D">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浙江省涤纶产业环境准入指导意见（修订）</w:t>
            </w:r>
          </w:p>
        </w:tc>
      </w:tr>
      <w:tr w14:paraId="7221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7" w:type="dxa"/>
            <w:vMerge w:val="continue"/>
            <w:vAlign w:val="center"/>
          </w:tcPr>
          <w:p w14:paraId="3CEE7634">
            <w:pPr>
              <w:keepNext w:val="0"/>
              <w:keepLines w:val="0"/>
              <w:suppressLineNumbers w:val="0"/>
              <w:spacing w:before="0" w:beforeAutospacing="0" w:after="0" w:afterAutospacing="0"/>
              <w:ind w:left="0" w:right="0"/>
              <w:jc w:val="center"/>
              <w:rPr>
                <w:rFonts w:hint="default" w:ascii="Arial" w:hAnsi="Arial" w:eastAsia="宋体" w:cs="Arial"/>
                <w:sz w:val="18"/>
                <w:szCs w:val="18"/>
              </w:rPr>
            </w:pPr>
          </w:p>
        </w:tc>
        <w:tc>
          <w:tcPr>
            <w:tcW w:w="1177" w:type="dxa"/>
            <w:vMerge w:val="continue"/>
            <w:vAlign w:val="center"/>
          </w:tcPr>
          <w:p w14:paraId="665348CB">
            <w:pPr>
              <w:pStyle w:val="92"/>
              <w:keepNext w:val="0"/>
              <w:keepLines w:val="0"/>
              <w:suppressLineNumbers w:val="0"/>
              <w:spacing w:before="0" w:beforeAutospacing="0" w:after="0" w:afterAutospacing="0" w:line="240" w:lineRule="auto"/>
              <w:ind w:left="0" w:right="0" w:firstLine="0" w:firstLineChars="0"/>
              <w:jc w:val="center"/>
              <w:rPr>
                <w:rFonts w:hint="default" w:ascii="Arial" w:hAnsi="Arial" w:eastAsia="宋体" w:cs="Arial"/>
                <w:bCs/>
                <w:sz w:val="18"/>
                <w:szCs w:val="18"/>
              </w:rPr>
            </w:pPr>
          </w:p>
        </w:tc>
        <w:tc>
          <w:tcPr>
            <w:tcW w:w="9208" w:type="dxa"/>
            <w:vAlign w:val="center"/>
          </w:tcPr>
          <w:p w14:paraId="499D5EEB">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全行业：</w:t>
            </w:r>
          </w:p>
          <w:p w14:paraId="003F1228">
            <w:pPr>
              <w:keepNext w:val="0"/>
              <w:keepLines w:val="0"/>
              <w:suppressLineNumbers w:val="0"/>
              <w:spacing w:before="0" w:beforeAutospacing="0" w:after="0" w:afterAutospacing="0"/>
              <w:ind w:left="0" w:right="0"/>
              <w:jc w:val="both"/>
              <w:rPr>
                <w:rFonts w:hint="default" w:ascii="Arial" w:hAnsi="Arial" w:eastAsia="宋体" w:cs="Arial"/>
                <w:sz w:val="18"/>
                <w:szCs w:val="18"/>
              </w:rPr>
            </w:pPr>
            <w:r>
              <w:rPr>
                <w:rFonts w:hint="default" w:ascii="Arial" w:hAnsi="Arial" w:eastAsia="宋体" w:cs="Arial"/>
                <w:sz w:val="18"/>
                <w:szCs w:val="18"/>
              </w:rPr>
              <w:t>燃煤锅炉窑炉《产业结构调整指导目录(2011本)》(2013年修改)、《外商投资产业指导目录》、《部分工业行业淘汰落后生产工艺装备和产品指导目录（2010年本）》、《浙江省制造业产业发展导向目录》、《浙江省淘汰落后生产能力目录》等文件限制和禁止的产品。</w:t>
            </w:r>
          </w:p>
        </w:tc>
        <w:tc>
          <w:tcPr>
            <w:tcW w:w="2094" w:type="dxa"/>
            <w:vAlign w:val="center"/>
          </w:tcPr>
          <w:p w14:paraId="67D6498A">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平湖市工业投资项目准入评价实施办法</w:t>
            </w:r>
          </w:p>
        </w:tc>
      </w:tr>
    </w:tbl>
    <w:p w14:paraId="43E18C0B">
      <w:pPr>
        <w:pStyle w:val="92"/>
        <w:spacing w:line="360" w:lineRule="auto"/>
        <w:ind w:firstLine="480"/>
        <w:rPr>
          <w:rFonts w:hint="default" w:ascii="Arial" w:hAnsi="Arial" w:eastAsia="宋体" w:cs="Arial"/>
        </w:rPr>
        <w:sectPr>
          <w:headerReference r:id="rId9" w:type="default"/>
          <w:pgSz w:w="16838" w:h="11906" w:orient="landscape"/>
          <w:pgMar w:top="1287" w:right="1440" w:bottom="1287" w:left="1440" w:header="851" w:footer="992" w:gutter="0"/>
          <w:pgBorders>
            <w:top w:val="single" w:color="auto" w:sz="4" w:space="1"/>
            <w:left w:val="single" w:color="auto" w:sz="4" w:space="4"/>
            <w:bottom w:val="single" w:color="auto" w:sz="4" w:space="1"/>
            <w:right w:val="single" w:color="auto" w:sz="4" w:space="4"/>
          </w:pgBorders>
          <w:cols w:space="425" w:num="1"/>
          <w:docGrid w:type="lines" w:linePitch="340" w:charSpace="0"/>
        </w:sectPr>
      </w:pPr>
    </w:p>
    <w:p w14:paraId="1275A00E">
      <w:pPr>
        <w:pStyle w:val="92"/>
        <w:keepNext w:val="0"/>
        <w:keepLines w:val="0"/>
        <w:pageBreakBefore w:val="0"/>
        <w:widowControl w:val="0"/>
        <w:kinsoku/>
        <w:wordWrap/>
        <w:overflowPunct/>
        <w:topLinePunct w:val="0"/>
        <w:autoSpaceDE/>
        <w:autoSpaceDN/>
        <w:bidi w:val="0"/>
        <w:adjustRightInd/>
        <w:snapToGrid/>
        <w:spacing w:line="360" w:lineRule="auto"/>
        <w:ind w:left="105" w:leftChars="50" w:firstLine="480"/>
        <w:textAlignment w:val="auto"/>
        <w:rPr>
          <w:rFonts w:hint="default" w:ascii="Arial" w:hAnsi="Arial" w:eastAsia="宋体" w:cs="Arial"/>
        </w:rPr>
      </w:pPr>
      <w:r>
        <w:rPr>
          <w:rFonts w:hint="default" w:ascii="Arial" w:hAnsi="Arial" w:eastAsia="宋体" w:cs="Arial"/>
        </w:rPr>
        <w:t>建设项目拟建地位于本次规划环评中确定的平湖经济技术开发区4-1区域，本项目</w:t>
      </w:r>
      <w:r>
        <w:rPr>
          <w:rFonts w:hint="default" w:ascii="Arial" w:hAnsi="Arial" w:eastAsia="宋体" w:cs="Arial"/>
          <w:lang w:val="en-US" w:eastAsia="zh-CN"/>
        </w:rPr>
        <w:t>为汽车零部件制造</w:t>
      </w:r>
      <w:r>
        <w:rPr>
          <w:rFonts w:hint="default" w:ascii="Arial" w:hAnsi="Arial" w:eastAsia="宋体" w:cs="Arial"/>
        </w:rPr>
        <w:t>，不属于该区域的环境准入负面清单项目，属于《产业结构调整指导目录》（2024年本）中</w:t>
      </w:r>
      <w:r>
        <w:rPr>
          <w:rFonts w:hint="default" w:ascii="Arial" w:hAnsi="Arial" w:eastAsia="宋体" w:cs="Arial"/>
          <w:lang w:val="en-US" w:eastAsia="zh-CN"/>
        </w:rPr>
        <w:t>鼓励类“十六：汽车 1、汽车关键零部件”</w:t>
      </w:r>
      <w:r>
        <w:rPr>
          <w:rFonts w:hint="default" w:ascii="Arial" w:hAnsi="Arial" w:eastAsia="宋体" w:cs="Arial"/>
        </w:rPr>
        <w:t>。本项目建设能符合产业政策、产业发展等相关要求，满足入园准入条件，同时项目各类污染物经妥善治理后能够做到达标排放，能符合规划环评中的各项治理要求，因此项目实施能符合规划环评要求。</w:t>
      </w:r>
    </w:p>
    <w:p w14:paraId="6B90E76D">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0"/>
        <w:rPr>
          <w:rFonts w:hint="default" w:ascii="Arial" w:hAnsi="Arial" w:eastAsia="宋体" w:cs="Arial"/>
          <w:b/>
          <w:bCs/>
          <w:color w:val="FFFFFF" w:themeColor="background1"/>
          <w:sz w:val="10"/>
          <w:szCs w:val="10"/>
          <w14:textFill>
            <w14:solidFill>
              <w14:schemeClr w14:val="bg1"/>
            </w14:solidFill>
          </w14:textFill>
        </w:rPr>
        <w:sectPr>
          <w:headerReference r:id="rId10" w:type="default"/>
          <w:footerReference r:id="rId11"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150837EA">
      <w:pPr>
        <w:keepNext w:val="0"/>
        <w:keepLines w:val="0"/>
        <w:pageBreakBefore w:val="0"/>
        <w:widowControl w:val="0"/>
        <w:kinsoku/>
        <w:wordWrap/>
        <w:overflowPunct/>
        <w:topLinePunct w:val="0"/>
        <w:autoSpaceDE/>
        <w:autoSpaceDN/>
        <w:bidi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1、审批原则符合性分析</w:t>
      </w:r>
    </w:p>
    <w:p w14:paraId="30F27312">
      <w:pPr>
        <w:keepNext w:val="0"/>
        <w:keepLines w:val="0"/>
        <w:pageBreakBefore w:val="0"/>
        <w:widowControl w:val="0"/>
        <w:kinsoku/>
        <w:wordWrap/>
        <w:overflowPunct/>
        <w:topLinePunct w:val="0"/>
        <w:autoSpaceDE/>
        <w:autoSpaceDN/>
        <w:bidi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（1）生态环境分区管控方案符合性分析</w:t>
      </w:r>
    </w:p>
    <w:p w14:paraId="1D2D3360">
      <w:pPr>
        <w:pStyle w:val="93"/>
        <w:keepNext w:val="0"/>
        <w:keepLines w:val="0"/>
        <w:pageBreakBefore w:val="0"/>
        <w:widowControl w:val="0"/>
        <w:kinsoku/>
        <w:wordWrap/>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根据平湖市人民政府文件《平湖市人民政府关于印发&lt;平湖市“三线一单”生态环境分区管控</w:t>
      </w:r>
      <w:r>
        <w:rPr>
          <w:rFonts w:hint="default" w:ascii="Arial" w:hAnsi="Arial" w:eastAsia="宋体" w:cs="Arial"/>
          <w:lang w:val="en-US" w:eastAsia="zh-CN"/>
        </w:rPr>
        <w:t>动态更新</w:t>
      </w:r>
      <w:r>
        <w:rPr>
          <w:rFonts w:hint="default" w:ascii="Arial" w:hAnsi="Arial" w:eastAsia="宋体" w:cs="Arial"/>
        </w:rPr>
        <w:t>方案&gt;的通知》（平政发〔202</w:t>
      </w:r>
      <w:r>
        <w:rPr>
          <w:rFonts w:hint="default" w:ascii="Arial" w:hAnsi="Arial" w:eastAsia="宋体" w:cs="Arial"/>
          <w:lang w:val="en-US" w:eastAsia="zh-CN"/>
        </w:rPr>
        <w:t>4</w:t>
      </w:r>
      <w:r>
        <w:rPr>
          <w:rFonts w:hint="default" w:ascii="Arial" w:hAnsi="Arial" w:eastAsia="宋体" w:cs="Arial"/>
        </w:rPr>
        <w:t>〕</w:t>
      </w:r>
      <w:r>
        <w:rPr>
          <w:rFonts w:hint="default" w:ascii="Arial" w:hAnsi="Arial" w:eastAsia="宋体" w:cs="Arial"/>
          <w:lang w:val="en-US" w:eastAsia="zh-CN"/>
        </w:rPr>
        <w:t>23</w:t>
      </w:r>
      <w:r>
        <w:rPr>
          <w:rFonts w:hint="default" w:ascii="Arial" w:hAnsi="Arial" w:eastAsia="宋体" w:cs="Arial"/>
        </w:rPr>
        <w:t>号），平湖市（包含嘉兴港区）共划定环境管控单元22个，其中优先保护单元6个，重点管控单元15个（产业集聚类7个，城镇生活类8个），一般管控区1个。</w:t>
      </w:r>
    </w:p>
    <w:p w14:paraId="20FEA4B9">
      <w:pPr>
        <w:pStyle w:val="93"/>
        <w:keepNext w:val="0"/>
        <w:keepLines w:val="0"/>
        <w:pageBreakBefore w:val="0"/>
        <w:widowControl w:val="0"/>
        <w:kinsoku/>
        <w:wordWrap/>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根据项目地理位置，本项目属于平湖市钟埭街道产业集聚重点管控单元（ZH33048220006）。</w:t>
      </w:r>
    </w:p>
    <w:p w14:paraId="42609920">
      <w:pPr>
        <w:pStyle w:val="93"/>
        <w:keepNext w:val="0"/>
        <w:keepLines w:val="0"/>
        <w:pageBreakBefore w:val="0"/>
        <w:widowControl w:val="0"/>
        <w:kinsoku/>
        <w:wordWrap/>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本项目与管控措施的对照分析如表1-</w:t>
      </w:r>
      <w:r>
        <w:rPr>
          <w:rFonts w:hint="eastAsia" w:ascii="Arial" w:hAnsi="Arial" w:cs="Arial"/>
          <w:lang w:val="en-US" w:eastAsia="zh-CN"/>
        </w:rPr>
        <w:t>3</w:t>
      </w:r>
      <w:r>
        <w:rPr>
          <w:rFonts w:hint="default" w:ascii="Arial" w:hAnsi="Arial" w:eastAsia="宋体" w:cs="Arial"/>
        </w:rPr>
        <w:t>所示。</w:t>
      </w:r>
    </w:p>
    <w:p w14:paraId="084B1CF0">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本项目与管控措施的对照分析表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3973"/>
        <w:gridCol w:w="2657"/>
        <w:gridCol w:w="874"/>
      </w:tblGrid>
      <w:tr w14:paraId="7B6A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Align w:val="center"/>
          </w:tcPr>
          <w:p w14:paraId="63187804">
            <w:pPr>
              <w:keepNext w:val="0"/>
              <w:keepLines w:val="0"/>
              <w:suppressLineNumbers w:val="0"/>
              <w:spacing w:before="0" w:beforeAutospacing="0" w:after="0" w:afterAutospacing="0"/>
              <w:ind w:left="0" w:right="0"/>
              <w:rPr>
                <w:rFonts w:hint="default" w:ascii="Arial" w:hAnsi="Arial" w:eastAsia="宋体" w:cs="Arial"/>
              </w:rPr>
            </w:pPr>
            <w:r>
              <w:rPr>
                <w:rFonts w:hint="default" w:ascii="Arial" w:hAnsi="Arial" w:eastAsia="宋体" w:cs="Arial"/>
              </w:rPr>
              <w:t>内容</w:t>
            </w:r>
          </w:p>
        </w:tc>
        <w:tc>
          <w:tcPr>
            <w:tcW w:w="3907" w:type="dxa"/>
            <w:vAlign w:val="center"/>
          </w:tcPr>
          <w:p w14:paraId="1DF7D96F">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准入清单</w:t>
            </w:r>
          </w:p>
        </w:tc>
        <w:tc>
          <w:tcPr>
            <w:tcW w:w="2613" w:type="dxa"/>
            <w:vAlign w:val="center"/>
          </w:tcPr>
          <w:p w14:paraId="122F9AD5">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本项目情况</w:t>
            </w:r>
          </w:p>
        </w:tc>
        <w:tc>
          <w:tcPr>
            <w:tcW w:w="859" w:type="dxa"/>
            <w:vAlign w:val="center"/>
          </w:tcPr>
          <w:p w14:paraId="3612FC6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符合性</w:t>
            </w:r>
          </w:p>
        </w:tc>
      </w:tr>
      <w:tr w14:paraId="6FEC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restart"/>
            <w:vAlign w:val="center"/>
          </w:tcPr>
          <w:p w14:paraId="76C469EC">
            <w:pPr>
              <w:keepNext w:val="0"/>
              <w:keepLines w:val="0"/>
              <w:suppressLineNumbers w:val="0"/>
              <w:spacing w:before="0" w:beforeAutospacing="0" w:after="0" w:afterAutospacing="0"/>
              <w:ind w:left="0" w:right="0"/>
              <w:rPr>
                <w:rFonts w:hint="default" w:ascii="Arial" w:hAnsi="Arial" w:eastAsia="宋体" w:cs="Arial"/>
              </w:rPr>
            </w:pPr>
            <w:r>
              <w:rPr>
                <w:rFonts w:hint="default" w:ascii="Arial" w:hAnsi="Arial" w:eastAsia="宋体" w:cs="Arial"/>
              </w:rPr>
              <w:t>空间布局约束</w:t>
            </w:r>
          </w:p>
        </w:tc>
        <w:tc>
          <w:tcPr>
            <w:tcW w:w="3907" w:type="dxa"/>
            <w:vAlign w:val="center"/>
          </w:tcPr>
          <w:p w14:paraId="46A89E3E">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1、优化产业布局和结构，实施分区差别化的产业准入条件。</w:t>
            </w:r>
          </w:p>
        </w:tc>
        <w:tc>
          <w:tcPr>
            <w:tcW w:w="2613" w:type="dxa"/>
            <w:vAlign w:val="center"/>
          </w:tcPr>
          <w:p w14:paraId="7CCFB9B9">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本项目已通过平湖市</w:t>
            </w:r>
            <w:r>
              <w:rPr>
                <w:rFonts w:hint="default" w:ascii="Arial" w:hAnsi="Arial" w:eastAsia="宋体" w:cs="Arial"/>
                <w:color w:val="000000" w:themeColor="text1"/>
                <w:szCs w:val="21"/>
                <w:lang w:val="en-US" w:eastAsia="zh-CN"/>
                <w14:textFill>
                  <w14:solidFill>
                    <w14:schemeClr w14:val="tx1"/>
                  </w14:solidFill>
                </w14:textFill>
              </w:rPr>
              <w:t>发改</w:t>
            </w:r>
            <w:r>
              <w:rPr>
                <w:rFonts w:hint="default" w:ascii="Arial" w:hAnsi="Arial" w:eastAsia="宋体" w:cs="Arial"/>
                <w:color w:val="000000" w:themeColor="text1"/>
                <w:szCs w:val="21"/>
                <w14:textFill>
                  <w14:solidFill>
                    <w14:schemeClr w14:val="tx1"/>
                  </w14:solidFill>
                </w14:textFill>
              </w:rPr>
              <w:t>局备案，项目代码为</w:t>
            </w:r>
            <w:r>
              <w:rPr>
                <w:rFonts w:hint="default" w:ascii="Arial" w:hAnsi="Arial" w:eastAsia="宋体" w:cs="Arial"/>
                <w:color w:val="000000" w:themeColor="text1"/>
                <w:szCs w:val="21"/>
                <w:lang w:val="en-US" w:eastAsia="zh-CN"/>
                <w14:textFill>
                  <w14:solidFill>
                    <w14:schemeClr w14:val="tx1"/>
                  </w14:solidFill>
                </w14:textFill>
              </w:rPr>
              <w:t>2508-330482-04-01-124768</w:t>
            </w:r>
          </w:p>
        </w:tc>
        <w:tc>
          <w:tcPr>
            <w:tcW w:w="859" w:type="dxa"/>
            <w:vAlign w:val="center"/>
          </w:tcPr>
          <w:p w14:paraId="46152E1E">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0240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78B57E4B">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2606E1E2">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2、合理规划布局三类工业项目，控制三类工业项目布局范围和总体规模，对不符合钟平湖市重点支持产业导向的三类工业项目禁止准入，鼓励对现有三类工业项目进行淘汰和提升。</w:t>
            </w:r>
          </w:p>
        </w:tc>
        <w:tc>
          <w:tcPr>
            <w:tcW w:w="2613" w:type="dxa"/>
            <w:vAlign w:val="center"/>
          </w:tcPr>
          <w:p w14:paraId="222DA4B8">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本项目属于10</w:t>
            </w:r>
            <w:r>
              <w:rPr>
                <w:rFonts w:hint="default" w:ascii="Arial" w:hAnsi="Arial" w:eastAsia="宋体" w:cs="Arial"/>
                <w:color w:val="000000" w:themeColor="text1"/>
                <w:szCs w:val="21"/>
                <w:lang w:val="en-US" w:eastAsia="zh-CN"/>
                <w14:textFill>
                  <w14:solidFill>
                    <w14:schemeClr w14:val="tx1"/>
                  </w14:solidFill>
                </w14:textFill>
              </w:rPr>
              <w:t>5</w:t>
            </w:r>
            <w:r>
              <w:rPr>
                <w:rFonts w:hint="default" w:ascii="Arial" w:hAnsi="Arial" w:eastAsia="宋体" w:cs="Arial"/>
                <w:color w:val="000000" w:themeColor="text1"/>
                <w:szCs w:val="21"/>
                <w14:textFill>
                  <w14:solidFill>
                    <w14:schemeClr w14:val="tx1"/>
                  </w14:solidFill>
                </w14:textFill>
              </w:rPr>
              <w:t>、</w:t>
            </w:r>
            <w:r>
              <w:rPr>
                <w:rFonts w:hint="default" w:ascii="Arial" w:hAnsi="Arial" w:eastAsia="宋体" w:cs="Arial"/>
                <w:color w:val="000000" w:themeColor="text1"/>
                <w:szCs w:val="21"/>
                <w:lang w:val="en-US" w:eastAsia="zh-CN"/>
                <w14:textFill>
                  <w14:solidFill>
                    <w14:schemeClr w14:val="tx1"/>
                  </w14:solidFill>
                </w14:textFill>
              </w:rPr>
              <w:t>汽车</w:t>
            </w:r>
            <w:r>
              <w:rPr>
                <w:rFonts w:hint="default" w:ascii="Arial" w:hAnsi="Arial" w:eastAsia="宋体" w:cs="Arial"/>
                <w:color w:val="000000" w:themeColor="text1"/>
                <w:szCs w:val="21"/>
                <w14:textFill>
                  <w14:solidFill>
                    <w14:schemeClr w14:val="tx1"/>
                  </w14:solidFill>
                </w14:textFill>
              </w:rPr>
              <w:t>制造业3</w:t>
            </w:r>
            <w:r>
              <w:rPr>
                <w:rFonts w:hint="default" w:ascii="Arial" w:hAnsi="Arial" w:eastAsia="宋体" w:cs="Arial"/>
                <w:color w:val="000000" w:themeColor="text1"/>
                <w:szCs w:val="21"/>
                <w:lang w:val="en-US" w:eastAsia="zh-CN"/>
                <w14:textFill>
                  <w14:solidFill>
                    <w14:schemeClr w14:val="tx1"/>
                  </w14:solidFill>
                </w14:textFill>
              </w:rPr>
              <w:t>6</w:t>
            </w:r>
            <w:r>
              <w:rPr>
                <w:rFonts w:hint="default" w:ascii="Arial" w:hAnsi="Arial" w:eastAsia="宋体" w:cs="Arial"/>
                <w:color w:val="000000" w:themeColor="text1"/>
                <w:szCs w:val="21"/>
                <w14:textFill>
                  <w14:solidFill>
                    <w14:schemeClr w14:val="tx1"/>
                  </w14:solidFill>
                </w14:textFill>
              </w:rPr>
              <w:t>（除属于一类工业项目外的），属于二类工业项目。</w:t>
            </w:r>
          </w:p>
        </w:tc>
        <w:tc>
          <w:tcPr>
            <w:tcW w:w="859" w:type="dxa"/>
            <w:vAlign w:val="center"/>
          </w:tcPr>
          <w:p w14:paraId="47FEF4C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4EC3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15D9A1C1">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2E22438D">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3、提高电力、医药、化工、印染、造纸、化纤等重点行业环保准入门槛，控制新增污染物排放量。</w:t>
            </w:r>
          </w:p>
        </w:tc>
        <w:tc>
          <w:tcPr>
            <w:tcW w:w="2613" w:type="dxa"/>
            <w:vAlign w:val="center"/>
          </w:tcPr>
          <w:p w14:paraId="37E03A25">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本项目不属于上述重点行业</w:t>
            </w:r>
          </w:p>
        </w:tc>
        <w:tc>
          <w:tcPr>
            <w:tcW w:w="859" w:type="dxa"/>
            <w:vAlign w:val="center"/>
          </w:tcPr>
          <w:p w14:paraId="30891AAD">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646F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13650573">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1235D3BC">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4、严格限制新、扩建医药（生物制药和创新中药除外）、印染、化纤、合成革、工业涂装、包装印刷、塑料和橡胶等涉VOCs重污染项目（全部使用新料的塑料制品业、全部使用符合《重点行业挥发性有机物综合治理方案》（环大气〔2019〕53号）文件要求的水性涂料、油墨、胶粘剂等的除外），新建涉VOCs排放的工业企业全部进入工业功能区，严格执行相关污染物排放量削减替代管理要求。</w:t>
            </w:r>
          </w:p>
        </w:tc>
        <w:tc>
          <w:tcPr>
            <w:tcW w:w="2613" w:type="dxa"/>
            <w:vAlign w:val="center"/>
          </w:tcPr>
          <w:p w14:paraId="5AB0EC38">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本项目</w:t>
            </w:r>
            <w:r>
              <w:rPr>
                <w:rFonts w:hint="default" w:ascii="Arial" w:hAnsi="Arial" w:eastAsia="宋体" w:cs="Arial"/>
                <w:szCs w:val="21"/>
                <w:lang w:val="en-US" w:eastAsia="zh-CN"/>
              </w:rPr>
              <w:t>使</w:t>
            </w:r>
            <w:r>
              <w:rPr>
                <w:rFonts w:hint="default" w:ascii="Arial" w:hAnsi="Arial" w:eastAsia="宋体" w:cs="Arial"/>
                <w:szCs w:val="21"/>
              </w:rPr>
              <w:t>用清洗剂符合《清洗剂挥发性有机化合物含量限值》（GB38508-2020）要求。</w:t>
            </w:r>
          </w:p>
        </w:tc>
        <w:tc>
          <w:tcPr>
            <w:tcW w:w="859" w:type="dxa"/>
            <w:vAlign w:val="center"/>
          </w:tcPr>
          <w:p w14:paraId="404E2EF9">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369F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424" w:type="dxa"/>
            <w:vMerge w:val="continue"/>
            <w:vAlign w:val="center"/>
          </w:tcPr>
          <w:p w14:paraId="742B3127">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1993210A">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5、除热电行业外，禁止新建、改建、扩建使用高污染燃料的项目。</w:t>
            </w:r>
          </w:p>
        </w:tc>
        <w:tc>
          <w:tcPr>
            <w:tcW w:w="2613" w:type="dxa"/>
            <w:vAlign w:val="center"/>
          </w:tcPr>
          <w:p w14:paraId="49A5FAC4">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本项目采用电能，不涉及高污染燃料</w:t>
            </w:r>
          </w:p>
        </w:tc>
        <w:tc>
          <w:tcPr>
            <w:tcW w:w="859" w:type="dxa"/>
            <w:vAlign w:val="center"/>
          </w:tcPr>
          <w:p w14:paraId="46199AA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4C0D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1F3C991E">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065821A5">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6、合理规划居住区与工业功能区，在居住区和工业区、工业企业之间设置防护绿地、生态绿地等隔离带。</w:t>
            </w:r>
          </w:p>
        </w:tc>
        <w:tc>
          <w:tcPr>
            <w:tcW w:w="2613" w:type="dxa"/>
            <w:vAlign w:val="center"/>
          </w:tcPr>
          <w:p w14:paraId="4A17DD02">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本项目位于平湖市经济技术开发区内，最近敏感目标</w:t>
            </w:r>
            <w:r>
              <w:rPr>
                <w:rFonts w:hint="default" w:ascii="Arial" w:hAnsi="Arial" w:eastAsia="宋体" w:cs="Arial"/>
                <w:szCs w:val="21"/>
                <w:lang w:val="en-US" w:eastAsia="zh-CN"/>
              </w:rPr>
              <w:t>钟溪南</w:t>
            </w:r>
            <w:r>
              <w:rPr>
                <w:rFonts w:hint="default" w:ascii="Arial" w:hAnsi="Arial" w:eastAsia="宋体" w:cs="Arial"/>
                <w:szCs w:val="21"/>
              </w:rPr>
              <w:t>村距离本项目约</w:t>
            </w:r>
            <w:r>
              <w:rPr>
                <w:rFonts w:hint="default" w:ascii="Arial" w:hAnsi="Arial" w:eastAsia="宋体" w:cs="Arial"/>
                <w:szCs w:val="21"/>
                <w:lang w:val="en-US" w:eastAsia="zh-CN"/>
              </w:rPr>
              <w:t>850</w:t>
            </w:r>
            <w:r>
              <w:rPr>
                <w:rFonts w:hint="default" w:ascii="Arial" w:hAnsi="Arial" w:eastAsia="宋体" w:cs="Arial"/>
                <w:szCs w:val="21"/>
              </w:rPr>
              <w:t>m</w:t>
            </w:r>
          </w:p>
        </w:tc>
        <w:tc>
          <w:tcPr>
            <w:tcW w:w="859" w:type="dxa"/>
            <w:vAlign w:val="center"/>
          </w:tcPr>
          <w:p w14:paraId="65722B8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2734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restart"/>
            <w:vAlign w:val="center"/>
          </w:tcPr>
          <w:p w14:paraId="099080AE">
            <w:pPr>
              <w:keepNext w:val="0"/>
              <w:keepLines w:val="0"/>
              <w:suppressLineNumbers w:val="0"/>
              <w:spacing w:before="0" w:beforeAutospacing="0" w:after="0" w:afterAutospacing="0"/>
              <w:ind w:left="0" w:right="0"/>
              <w:rPr>
                <w:rFonts w:hint="default" w:ascii="Arial" w:hAnsi="Arial" w:eastAsia="宋体" w:cs="Arial"/>
              </w:rPr>
            </w:pPr>
            <w:r>
              <w:rPr>
                <w:rFonts w:hint="default" w:ascii="Arial" w:hAnsi="Arial" w:eastAsia="宋体" w:cs="Arial"/>
              </w:rPr>
              <w:t>污染物排放管控</w:t>
            </w:r>
          </w:p>
        </w:tc>
        <w:tc>
          <w:tcPr>
            <w:tcW w:w="3907" w:type="dxa"/>
            <w:vAlign w:val="center"/>
          </w:tcPr>
          <w:p w14:paraId="1445542C">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1、严格实施污染物总量控制制度，根据区域环境质量改善目标，削减污染物排放总量。</w:t>
            </w:r>
          </w:p>
        </w:tc>
        <w:tc>
          <w:tcPr>
            <w:tcW w:w="2613" w:type="dxa"/>
            <w:vAlign w:val="center"/>
          </w:tcPr>
          <w:p w14:paraId="0AF34BFE">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lang w:val="en-US"/>
              </w:rPr>
            </w:pPr>
            <w:r>
              <w:rPr>
                <w:rFonts w:hint="default" w:ascii="Arial" w:hAnsi="Arial" w:eastAsia="宋体" w:cs="Arial"/>
                <w:szCs w:val="21"/>
              </w:rPr>
              <w:t>本项目</w:t>
            </w:r>
            <w:r>
              <w:rPr>
                <w:rFonts w:hint="default" w:ascii="Arial" w:hAnsi="Arial" w:eastAsia="宋体" w:cs="Arial"/>
                <w:szCs w:val="21"/>
                <w:lang w:val="en-US" w:eastAsia="zh-CN"/>
              </w:rPr>
              <w:t>污染物排放可满足总量平衡要求</w:t>
            </w:r>
          </w:p>
        </w:tc>
        <w:tc>
          <w:tcPr>
            <w:tcW w:w="859" w:type="dxa"/>
            <w:vAlign w:val="center"/>
          </w:tcPr>
          <w:p w14:paraId="78CBE25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2941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0D008690">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00EC58D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2、新建二类、三类工业项目污染物排放水平要达到同行业国内先进水平。</w:t>
            </w:r>
          </w:p>
        </w:tc>
        <w:tc>
          <w:tcPr>
            <w:tcW w:w="2613" w:type="dxa"/>
            <w:vAlign w:val="center"/>
          </w:tcPr>
          <w:p w14:paraId="2715C592">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szCs w:val="21"/>
              </w:rPr>
            </w:pPr>
            <w:r>
              <w:rPr>
                <w:rFonts w:hint="default" w:ascii="Arial" w:hAnsi="Arial" w:eastAsia="宋体" w:cs="Arial"/>
                <w:szCs w:val="21"/>
              </w:rPr>
              <w:t>本项目污染物排放水平可达到同行业国内先进水平。</w:t>
            </w:r>
          </w:p>
        </w:tc>
        <w:tc>
          <w:tcPr>
            <w:tcW w:w="859" w:type="dxa"/>
            <w:vAlign w:val="center"/>
          </w:tcPr>
          <w:p w14:paraId="726FB28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780B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7EF73236">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009063D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3、推进工业园区（工业企业）“污水零直排区”建设，所有企业实现雨污分流。</w:t>
            </w:r>
          </w:p>
        </w:tc>
        <w:tc>
          <w:tcPr>
            <w:tcW w:w="2613" w:type="dxa"/>
            <w:vAlign w:val="center"/>
          </w:tcPr>
          <w:p w14:paraId="22D33EBD">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kern w:val="0"/>
                <w:szCs w:val="21"/>
              </w:rPr>
            </w:pPr>
            <w:r>
              <w:rPr>
                <w:rFonts w:hint="default" w:ascii="Arial" w:hAnsi="Arial" w:eastAsia="宋体" w:cs="Arial"/>
                <w:kern w:val="0"/>
                <w:szCs w:val="21"/>
              </w:rPr>
              <w:t>企业应按要求建设雨污管线，</w:t>
            </w:r>
            <w:r>
              <w:rPr>
                <w:rFonts w:hint="default" w:ascii="Arial" w:hAnsi="Arial" w:eastAsia="宋体" w:cs="Arial"/>
                <w:szCs w:val="21"/>
              </w:rPr>
              <w:t>实现雨污分流符合“污水零直排”建设要求</w:t>
            </w:r>
          </w:p>
        </w:tc>
        <w:tc>
          <w:tcPr>
            <w:tcW w:w="859" w:type="dxa"/>
            <w:vAlign w:val="center"/>
          </w:tcPr>
          <w:p w14:paraId="0C79F16E">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583D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3BB9437E">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1B6C6987">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4、加强土壤和地下水污染防治与修复。</w:t>
            </w:r>
          </w:p>
        </w:tc>
        <w:tc>
          <w:tcPr>
            <w:tcW w:w="2613" w:type="dxa"/>
            <w:vAlign w:val="center"/>
          </w:tcPr>
          <w:p w14:paraId="2A561FAC">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kern w:val="0"/>
                <w:szCs w:val="21"/>
              </w:rPr>
            </w:pPr>
            <w:r>
              <w:rPr>
                <w:rFonts w:hint="default" w:ascii="Arial" w:hAnsi="Arial" w:eastAsia="宋体" w:cs="Arial"/>
                <w:kern w:val="0"/>
                <w:szCs w:val="21"/>
              </w:rPr>
              <w:t>本项目应按环评及环保部门相关要求进行防腐、防渗工作，并定期进行检查和修复，减少对周边土壤和地下水造成影响的可能性</w:t>
            </w:r>
          </w:p>
        </w:tc>
        <w:tc>
          <w:tcPr>
            <w:tcW w:w="859" w:type="dxa"/>
            <w:vAlign w:val="center"/>
          </w:tcPr>
          <w:p w14:paraId="0CF768DD">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6420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restart"/>
            <w:vAlign w:val="center"/>
          </w:tcPr>
          <w:p w14:paraId="08B72EB4">
            <w:pPr>
              <w:keepNext w:val="0"/>
              <w:keepLines w:val="0"/>
              <w:suppressLineNumbers w:val="0"/>
              <w:spacing w:before="0" w:beforeAutospacing="0" w:after="0" w:afterAutospacing="0"/>
              <w:ind w:left="0" w:right="0"/>
              <w:rPr>
                <w:rFonts w:hint="default" w:ascii="Arial" w:hAnsi="Arial" w:eastAsia="宋体" w:cs="Arial"/>
              </w:rPr>
            </w:pPr>
            <w:r>
              <w:rPr>
                <w:rFonts w:hint="default" w:ascii="Arial" w:hAnsi="Arial" w:eastAsia="宋体" w:cs="Arial"/>
              </w:rPr>
              <w:t>环境风险防控</w:t>
            </w:r>
          </w:p>
        </w:tc>
        <w:tc>
          <w:tcPr>
            <w:tcW w:w="3907" w:type="dxa"/>
            <w:vAlign w:val="center"/>
          </w:tcPr>
          <w:p w14:paraId="64DE4A9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1、定期评估沿江河湖库工业企业、工业集聚区环境和健康风险。</w:t>
            </w:r>
          </w:p>
        </w:tc>
        <w:tc>
          <w:tcPr>
            <w:tcW w:w="2613" w:type="dxa"/>
            <w:vMerge w:val="restart"/>
            <w:vAlign w:val="center"/>
          </w:tcPr>
          <w:p w14:paraId="029B0F12">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kern w:val="0"/>
                <w:szCs w:val="21"/>
              </w:rPr>
            </w:pPr>
            <w:r>
              <w:rPr>
                <w:rFonts w:hint="default" w:ascii="Arial" w:hAnsi="Arial" w:eastAsia="宋体" w:cs="Arial"/>
                <w:kern w:val="0"/>
                <w:szCs w:val="21"/>
              </w:rPr>
              <w:t>企业应做好日常管理，建立完善的职业卫生体系、风险管控体系和自查监管机制，按职能部门要求编制应急预案并上报备案，定期进行隐患排查和应急演练。</w:t>
            </w:r>
          </w:p>
        </w:tc>
        <w:tc>
          <w:tcPr>
            <w:tcW w:w="859" w:type="dxa"/>
            <w:vMerge w:val="restart"/>
            <w:vAlign w:val="center"/>
          </w:tcPr>
          <w:p w14:paraId="6BCCE822">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r w14:paraId="3E2A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Merge w:val="continue"/>
            <w:vAlign w:val="center"/>
          </w:tcPr>
          <w:p w14:paraId="653C8B75">
            <w:pPr>
              <w:keepNext w:val="0"/>
              <w:keepLines w:val="0"/>
              <w:suppressLineNumbers w:val="0"/>
              <w:spacing w:before="0" w:beforeAutospacing="0" w:after="0" w:afterAutospacing="0"/>
              <w:ind w:left="0" w:right="0"/>
              <w:rPr>
                <w:rFonts w:hint="default" w:ascii="Arial" w:hAnsi="Arial" w:eastAsia="宋体" w:cs="Arial"/>
              </w:rPr>
            </w:pPr>
          </w:p>
        </w:tc>
        <w:tc>
          <w:tcPr>
            <w:tcW w:w="3907" w:type="dxa"/>
            <w:vAlign w:val="center"/>
          </w:tcPr>
          <w:p w14:paraId="33CF43B8">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2、强化工业集聚区企业环境风险防范设施设备建设和正常运行监管，加强重点环境风险管控企业应急预案制定，建立常态化的企业隐患排查整治监管机制，加强风险防控体系建设。</w:t>
            </w:r>
          </w:p>
        </w:tc>
        <w:tc>
          <w:tcPr>
            <w:tcW w:w="2613" w:type="dxa"/>
            <w:vMerge w:val="continue"/>
            <w:vAlign w:val="center"/>
          </w:tcPr>
          <w:p w14:paraId="03B2A477">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kern w:val="0"/>
                <w:szCs w:val="21"/>
              </w:rPr>
            </w:pPr>
          </w:p>
        </w:tc>
        <w:tc>
          <w:tcPr>
            <w:tcW w:w="859" w:type="dxa"/>
            <w:vMerge w:val="continue"/>
            <w:vAlign w:val="center"/>
          </w:tcPr>
          <w:p w14:paraId="69130C52">
            <w:pPr>
              <w:keepNext w:val="0"/>
              <w:keepLines w:val="0"/>
              <w:suppressLineNumbers w:val="0"/>
              <w:spacing w:before="0" w:beforeAutospacing="0" w:after="0" w:afterAutospacing="0"/>
              <w:ind w:left="0" w:right="0"/>
              <w:jc w:val="center"/>
              <w:rPr>
                <w:rFonts w:hint="default" w:ascii="Arial" w:hAnsi="Arial" w:eastAsia="宋体" w:cs="Arial"/>
                <w:szCs w:val="21"/>
              </w:rPr>
            </w:pPr>
          </w:p>
        </w:tc>
      </w:tr>
      <w:tr w14:paraId="7968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dxa"/>
            <w:vAlign w:val="center"/>
          </w:tcPr>
          <w:p w14:paraId="4452A572">
            <w:pPr>
              <w:keepNext w:val="0"/>
              <w:keepLines w:val="0"/>
              <w:suppressLineNumbers w:val="0"/>
              <w:spacing w:before="0" w:beforeAutospacing="0" w:after="0" w:afterAutospacing="0"/>
              <w:ind w:left="0" w:right="0"/>
              <w:rPr>
                <w:rFonts w:hint="default" w:ascii="Arial" w:hAnsi="Arial" w:eastAsia="宋体" w:cs="Arial"/>
              </w:rPr>
            </w:pPr>
            <w:r>
              <w:rPr>
                <w:rFonts w:hint="default" w:ascii="Arial" w:hAnsi="Arial" w:eastAsia="宋体" w:cs="Arial"/>
              </w:rPr>
              <w:t>资源开发效率要求</w:t>
            </w:r>
          </w:p>
        </w:tc>
        <w:tc>
          <w:tcPr>
            <w:tcW w:w="3907" w:type="dxa"/>
            <w:vAlign w:val="center"/>
          </w:tcPr>
          <w:p w14:paraId="01E0D8FD">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1、推进工业集聚区生态化改造，强化企业清洁生产改造，推进节水型企业、节水型工业园区建设，落实煤炭消费减量替代要求，提高资源能源利用效率</w:t>
            </w:r>
          </w:p>
        </w:tc>
        <w:tc>
          <w:tcPr>
            <w:tcW w:w="2613" w:type="dxa"/>
            <w:vAlign w:val="center"/>
          </w:tcPr>
          <w:p w14:paraId="001D8128">
            <w:pPr>
              <w:keepNext w:val="0"/>
              <w:keepLines w:val="0"/>
              <w:suppressLineNumbers w:val="0"/>
              <w:adjustRightInd w:val="0"/>
              <w:snapToGrid w:val="0"/>
              <w:spacing w:before="0" w:beforeAutospacing="0" w:after="0" w:afterAutospacing="0"/>
              <w:ind w:left="0" w:right="-108"/>
              <w:jc w:val="center"/>
              <w:rPr>
                <w:rFonts w:hint="default" w:ascii="Arial" w:hAnsi="Arial" w:eastAsia="宋体" w:cs="Arial"/>
                <w:kern w:val="0"/>
                <w:szCs w:val="21"/>
              </w:rPr>
            </w:pPr>
            <w:r>
              <w:rPr>
                <w:rFonts w:hint="default" w:ascii="Arial" w:hAnsi="Arial" w:eastAsia="宋体" w:cs="Arial"/>
                <w:kern w:val="0"/>
                <w:szCs w:val="21"/>
              </w:rPr>
              <w:t>企业优先选择能效比高的生产设备。项目实施，企业将积极配合各项建设、改造，进一步提高水资源和能源利用率</w:t>
            </w:r>
          </w:p>
        </w:tc>
        <w:tc>
          <w:tcPr>
            <w:tcW w:w="859" w:type="dxa"/>
            <w:vAlign w:val="center"/>
          </w:tcPr>
          <w:p w14:paraId="6FCC1F5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符合</w:t>
            </w:r>
          </w:p>
        </w:tc>
      </w:tr>
    </w:tbl>
    <w:p w14:paraId="5F589F2B">
      <w:pPr>
        <w:pStyle w:val="83"/>
        <w:keepLines w:val="0"/>
        <w:pageBreakBefore w:val="0"/>
        <w:widowControl w:val="0"/>
        <w:kinsoku/>
        <w:overflowPunct/>
        <w:topLinePunct w:val="0"/>
        <w:autoSpaceDE/>
        <w:autoSpaceDN/>
        <w:bidi w:val="0"/>
        <w:ind w:left="105" w:leftChars="50"/>
        <w:textAlignment w:val="auto"/>
        <w:rPr>
          <w:rFonts w:hint="default" w:ascii="Arial" w:hAnsi="Arial" w:eastAsia="宋体" w:cs="Arial"/>
        </w:rPr>
      </w:pPr>
      <w:r>
        <w:rPr>
          <w:rFonts w:hint="default" w:ascii="Arial" w:hAnsi="Arial" w:eastAsia="宋体" w:cs="Arial"/>
        </w:rPr>
        <w:t>本项目</w:t>
      </w:r>
      <w:r>
        <w:rPr>
          <w:rFonts w:hint="default" w:ascii="Arial" w:hAnsi="Arial" w:eastAsia="宋体" w:cs="Arial"/>
          <w:lang w:val="en-US" w:eastAsia="zh-CN"/>
        </w:rPr>
        <w:t>为汽车零部件制造</w:t>
      </w:r>
      <w:r>
        <w:rPr>
          <w:rFonts w:hint="default" w:ascii="Arial" w:hAnsi="Arial" w:eastAsia="宋体" w:cs="Arial"/>
        </w:rPr>
        <w:t>，</w:t>
      </w:r>
      <w:r>
        <w:rPr>
          <w:rFonts w:hint="default" w:ascii="Arial" w:hAnsi="Arial" w:eastAsia="宋体" w:cs="Arial"/>
          <w:lang w:val="en-US" w:eastAsia="zh-CN"/>
        </w:rPr>
        <w:t>属于</w:t>
      </w:r>
      <w:r>
        <w:rPr>
          <w:rFonts w:hint="default" w:ascii="Arial" w:hAnsi="Arial" w:eastAsia="宋体" w:cs="Arial"/>
        </w:rPr>
        <w:t>二类工业项目；</w:t>
      </w:r>
      <w:r>
        <w:rPr>
          <w:rFonts w:hint="default" w:ascii="Arial" w:hAnsi="Arial" w:eastAsia="宋体" w:cs="Arial"/>
          <w:szCs w:val="21"/>
        </w:rPr>
        <w:t>根据项目所在地规划及我单位现场</w:t>
      </w:r>
      <w:r>
        <w:rPr>
          <w:rFonts w:hint="eastAsia" w:ascii="Arial" w:hAnsi="Arial" w:cs="Arial"/>
          <w:szCs w:val="21"/>
          <w:lang w:val="en-US" w:eastAsia="zh-CN"/>
        </w:rPr>
        <w:t>踏勘</w:t>
      </w:r>
      <w:r>
        <w:rPr>
          <w:rFonts w:hint="default" w:ascii="Arial" w:hAnsi="Arial" w:eastAsia="宋体" w:cs="Arial"/>
          <w:szCs w:val="21"/>
        </w:rPr>
        <w:t>，本项目周边均为</w:t>
      </w:r>
      <w:r>
        <w:rPr>
          <w:rFonts w:hint="eastAsia" w:ascii="Arial" w:hAnsi="Arial" w:cs="Arial"/>
          <w:szCs w:val="21"/>
          <w:lang w:val="en-US" w:eastAsia="zh-CN"/>
        </w:rPr>
        <w:t>工业用地</w:t>
      </w:r>
      <w:r>
        <w:rPr>
          <w:rFonts w:hint="default" w:ascii="Arial" w:hAnsi="Arial" w:eastAsia="宋体" w:cs="Arial"/>
          <w:szCs w:val="21"/>
        </w:rPr>
        <w:t>和闲置土地，为平湖市经济技术开发区内，规划为工业用地，居住区与工业区规划较合理。经对照，</w:t>
      </w:r>
      <w:r>
        <w:rPr>
          <w:rFonts w:hint="default" w:ascii="Arial" w:hAnsi="Arial" w:eastAsia="宋体" w:cs="Arial"/>
        </w:rPr>
        <w:t>本项目符合空间布局约束、污染物排放管控、环境风险管控、资源开发效率要求。因此，项目建设符合平湖市钟埭街道产业集聚重点管控单元（ZH33048220006）相关要求。</w:t>
      </w:r>
    </w:p>
    <w:p w14:paraId="49880101">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（2）污染物达标性分析</w:t>
      </w:r>
    </w:p>
    <w:p w14:paraId="683AC1D1">
      <w:pPr>
        <w:keepLines w:val="0"/>
        <w:pageBreakBefore w:val="0"/>
        <w:widowControl w:val="0"/>
        <w:kinsoku/>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napToGrid w:val="0"/>
          <w:kern w:val="0"/>
          <w:sz w:val="24"/>
          <w:szCs w:val="24"/>
        </w:rPr>
      </w:pPr>
      <w:r>
        <w:rPr>
          <w:rFonts w:hint="default" w:ascii="Arial" w:hAnsi="Arial" w:eastAsia="宋体" w:cs="Arial"/>
          <w:sz w:val="24"/>
          <w:szCs w:val="24"/>
        </w:rPr>
        <w:t>根据工程分析和影响预测分析，在落实本报告提出的各项污染防治措施的基础上，在正常生产状态下，项目污染物能做到达标排放，因此，只要建设单位加强管理，确实落实污染防治措施，可确保企业废气、废水的达标排放，噪声不会对环境造成不良影响，固体废物得到合理安全处置</w:t>
      </w:r>
      <w:r>
        <w:rPr>
          <w:rFonts w:hint="default" w:ascii="Arial" w:hAnsi="Arial" w:eastAsia="宋体" w:cs="Arial"/>
          <w:snapToGrid w:val="0"/>
          <w:kern w:val="0"/>
          <w:sz w:val="24"/>
        </w:rPr>
        <w:t>。</w:t>
      </w:r>
    </w:p>
    <w:p w14:paraId="6CBFA236">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（3）总量控制符合性分析</w:t>
      </w:r>
    </w:p>
    <w:p w14:paraId="7FE3781D">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b w:val="0"/>
          <w:bCs w:val="0"/>
          <w:sz w:val="24"/>
          <w:szCs w:val="24"/>
          <w:lang w:val="en-US" w:eastAsia="zh-CN"/>
        </w:rPr>
      </w:pPr>
      <w:r>
        <w:rPr>
          <w:rFonts w:hint="default" w:ascii="Arial" w:hAnsi="Arial" w:eastAsia="宋体" w:cs="Arial"/>
          <w:sz w:val="24"/>
          <w:lang w:val="en-US" w:eastAsia="zh-CN"/>
        </w:rPr>
        <w:t>本项目新增总量通平衡后符合总量控制要求</w:t>
      </w:r>
      <w:r>
        <w:rPr>
          <w:rFonts w:hint="default" w:ascii="Arial" w:hAnsi="Arial" w:eastAsia="宋体" w:cs="Arial"/>
          <w:b w:val="0"/>
          <w:bCs w:val="0"/>
          <w:sz w:val="24"/>
          <w:szCs w:val="24"/>
          <w:lang w:val="en-US" w:eastAsia="zh-CN"/>
        </w:rPr>
        <w:t>。</w:t>
      </w:r>
    </w:p>
    <w:p w14:paraId="00F4171C">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（4）环境功能符合性分析</w:t>
      </w:r>
    </w:p>
    <w:p w14:paraId="1775D0DC">
      <w:pPr>
        <w:keepLines w:val="0"/>
        <w:pageBreakBefore w:val="0"/>
        <w:widowControl w:val="0"/>
        <w:kinsoku/>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根据空气、水和声环境质量影响分析，本项目建成后，项目周边空气环境质量、水环境和声环境质量基本可维持环境质量等级现状。</w:t>
      </w:r>
    </w:p>
    <w:p w14:paraId="55490CE2">
      <w:pPr>
        <w:keepLines w:val="0"/>
        <w:pageBreakBefore w:val="0"/>
        <w:widowControl w:val="0"/>
        <w:kinsoku/>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根据以上分析，本项目的建设从环保角度而言是可行的。</w:t>
      </w:r>
    </w:p>
    <w:p w14:paraId="49F0B02E">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2、其他符合性分析</w:t>
      </w:r>
    </w:p>
    <w:p w14:paraId="7EC9FDEA">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（1）“三线一单”符合性分析</w:t>
      </w:r>
    </w:p>
    <w:p w14:paraId="088C3BC1">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①生态保护红线：</w:t>
      </w:r>
    </w:p>
    <w:p w14:paraId="59B6D011">
      <w:pPr>
        <w:keepLines w:val="0"/>
        <w:pageBreakBefore w:val="0"/>
        <w:widowControl w:val="0"/>
        <w:kinsoku/>
        <w:wordWrap w:val="0"/>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根据《浙江省生态保护红线分布图》划定，平湖区域内共划定2个自然生态红线区，分别为广陈塘饮用水水源保护区和九龙山国家森林公园。该类功能区主要分布于广陈镇和乍浦镇。本项目位于</w:t>
      </w:r>
      <w:r>
        <w:rPr>
          <w:rFonts w:hint="default" w:ascii="Arial" w:hAnsi="Arial" w:eastAsia="宋体" w:cs="Arial"/>
          <w:sz w:val="24"/>
          <w:szCs w:val="24"/>
          <w:lang w:val="en-US" w:eastAsia="zh-CN"/>
        </w:rPr>
        <w:t>平湖经济技术开发区平善大道4885号内三号楼一层</w:t>
      </w:r>
      <w:r>
        <w:rPr>
          <w:rFonts w:hint="default" w:ascii="Arial" w:hAnsi="Arial" w:eastAsia="宋体" w:cs="Arial"/>
          <w:sz w:val="24"/>
          <w:szCs w:val="24"/>
        </w:rPr>
        <w:t>，处于平湖市钟埭街道产业集聚重点管控单元（ZH33048220006），不在生态保护红线范围内。</w:t>
      </w:r>
    </w:p>
    <w:p w14:paraId="35DD3E12">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②环境质量底线：</w:t>
      </w:r>
    </w:p>
    <w:p w14:paraId="232051D1">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bCs/>
          <w:color w:val="FF0000"/>
          <w:sz w:val="24"/>
          <w:szCs w:val="24"/>
        </w:rPr>
      </w:pPr>
      <w:r>
        <w:rPr>
          <w:rFonts w:hint="default" w:ascii="Arial" w:hAnsi="Arial" w:eastAsia="宋体" w:cs="Arial"/>
          <w:color w:val="000000"/>
          <w:kern w:val="0"/>
          <w:sz w:val="24"/>
          <w:szCs w:val="24"/>
          <w:lang w:val="en-US" w:eastAsia="zh-CN" w:bidi="ar"/>
        </w:rPr>
        <w:t>项目所在区域的环境质量底线为：环境空气质量目标为《环境空气质量标准》（GB3095-2012）二级标准，水环境质量目标为《地表水环境质量标准》（GB3838-2002）Ⅲ类标准，声环境质量目标为《声环境质量标准》（GB3096-2008）3类标准。项目对产生的废水、废气、噪声经治理之后能做到达标排放，固废可做到无害化处置。采取本环评提出的相关防治措施后，本项目排放的污染物不会对区域环境质量底线造成冲击。</w:t>
      </w:r>
    </w:p>
    <w:p w14:paraId="55CF9DC0">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综上，根据环境影响分析，采取相应的措施后，建设项目污染物排放对周围环境影响不大，基本不改变环境功能区要求，能维持环境功能区现状，不会明显改变区域环境质量现状。因此，项目建设不会突破环境质量底线。</w:t>
      </w:r>
    </w:p>
    <w:p w14:paraId="22BC310A">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③资源利用上线：</w:t>
      </w:r>
    </w:p>
    <w:p w14:paraId="25288D4A">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建设项目用水、用电量均在区域水、电资源量范围内，不会超出资源利用上线。</w:t>
      </w:r>
    </w:p>
    <w:p w14:paraId="37E2E6C4">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④环境准入负面清单：</w:t>
      </w:r>
    </w:p>
    <w:p w14:paraId="187A6709">
      <w:pPr>
        <w:keepLines w:val="0"/>
        <w:pageBreakBefore w:val="0"/>
        <w:widowControl w:val="0"/>
        <w:kinsoku/>
        <w:wordWrap w:val="0"/>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经对照，本项目建设符合平湖市钟埭街道产业集聚重点管控单元（ZH33048220006）中空间布局约束、污染物排放管控、环境风险管控、资源开发效率四项要求。同时根据《平湖经济开发区（钟埭街道）总体规划环境影响跟踪评价报告书》，项目能符合规划环评中的环境准入及各项环保治理要求，符合规划环评要求。</w:t>
      </w:r>
    </w:p>
    <w:p w14:paraId="74CA5114">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综上，项目符合“三线一单”相关要求。</w:t>
      </w:r>
    </w:p>
    <w:p w14:paraId="11E21DAC">
      <w:pPr>
        <w:keepLines w:val="0"/>
        <w:pageBreakBefore w:val="0"/>
        <w:widowControl w:val="0"/>
        <w:kinsoku/>
        <w:overflowPunct/>
        <w:topLinePunct w:val="0"/>
        <w:autoSpaceDE/>
        <w:autoSpaceDN/>
        <w:bidi w:val="0"/>
        <w:adjustRightInd w:val="0"/>
        <w:snapToGrid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（2）产业政策符合性分析</w:t>
      </w:r>
    </w:p>
    <w:p w14:paraId="643DCF53">
      <w:pPr>
        <w:pStyle w:val="93"/>
        <w:keepLines w:val="0"/>
        <w:pageBreakBefore w:val="0"/>
        <w:widowControl w:val="0"/>
        <w:kinsoku/>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rPr>
      </w:pPr>
      <w:r>
        <w:rPr>
          <w:rFonts w:hint="default" w:ascii="Arial" w:hAnsi="Arial" w:eastAsia="宋体" w:cs="Arial"/>
        </w:rPr>
        <w:t>本项目主要</w:t>
      </w:r>
      <w:r>
        <w:rPr>
          <w:rFonts w:hint="default" w:ascii="Arial" w:hAnsi="Arial" w:eastAsia="宋体" w:cs="Arial"/>
          <w:lang w:val="en-US" w:eastAsia="zh-CN"/>
        </w:rPr>
        <w:t>进行汽车零部件制造</w:t>
      </w:r>
      <w:r>
        <w:rPr>
          <w:rFonts w:hint="default" w:ascii="Arial" w:hAnsi="Arial" w:eastAsia="宋体" w:cs="Arial"/>
        </w:rPr>
        <w:t>，根据《产业结构调整指导目录（2024年本）》的相关规定，本项目属于《产业结构调整指导目录》（2024年本）中</w:t>
      </w:r>
      <w:r>
        <w:rPr>
          <w:rFonts w:hint="default" w:ascii="Arial" w:hAnsi="Arial" w:eastAsia="宋体" w:cs="Arial"/>
          <w:lang w:val="en-US" w:eastAsia="zh-CN"/>
        </w:rPr>
        <w:t>鼓励</w:t>
      </w:r>
      <w:r>
        <w:rPr>
          <w:rFonts w:hint="default" w:ascii="Arial" w:hAnsi="Arial" w:eastAsia="宋体" w:cs="Arial"/>
        </w:rPr>
        <w:t>类产业。</w:t>
      </w:r>
    </w:p>
    <w:p w14:paraId="757ECD71">
      <w:pPr>
        <w:keepLines w:val="0"/>
        <w:pageBreakBefore w:val="0"/>
        <w:widowControl w:val="0"/>
        <w:kinsoku/>
        <w:overflowPunct/>
        <w:topLinePunct w:val="0"/>
        <w:autoSpaceDE/>
        <w:autoSpaceDN/>
        <w:bidi w:val="0"/>
        <w:spacing w:line="360" w:lineRule="auto"/>
        <w:ind w:left="105" w:leftChars="50"/>
        <w:textAlignment w:val="auto"/>
        <w:rPr>
          <w:rFonts w:hint="default" w:ascii="Arial" w:hAnsi="Arial" w:eastAsia="宋体" w:cs="Arial"/>
          <w:b/>
          <w:sz w:val="24"/>
          <w:szCs w:val="24"/>
        </w:rPr>
      </w:pPr>
      <w:r>
        <w:rPr>
          <w:rFonts w:hint="default" w:ascii="Arial" w:hAnsi="Arial" w:eastAsia="宋体" w:cs="Arial"/>
          <w:b/>
          <w:sz w:val="24"/>
          <w:szCs w:val="24"/>
        </w:rPr>
        <w:t>（</w:t>
      </w:r>
      <w:r>
        <w:rPr>
          <w:rFonts w:hint="default" w:ascii="Arial" w:hAnsi="Arial" w:eastAsia="宋体" w:cs="Arial"/>
          <w:b/>
          <w:sz w:val="24"/>
          <w:szCs w:val="24"/>
          <w:lang w:val="en-US" w:eastAsia="zh-CN"/>
        </w:rPr>
        <w:t>3</w:t>
      </w:r>
      <w:r>
        <w:rPr>
          <w:rFonts w:hint="default" w:ascii="Arial" w:hAnsi="Arial" w:eastAsia="宋体" w:cs="Arial"/>
          <w:b/>
          <w:sz w:val="24"/>
          <w:szCs w:val="24"/>
        </w:rPr>
        <w:t>）与长江经济带负面清单指南（试行，2022年版）》浙江省实施细则符合性分析</w:t>
      </w:r>
    </w:p>
    <w:p w14:paraId="63229AF1">
      <w:pPr>
        <w:pStyle w:val="76"/>
        <w:numPr>
          <w:ilvl w:val="3"/>
          <w:numId w:val="5"/>
        </w:numPr>
        <w:ind w:left="636" w:leftChars="0" w:firstLineChars="0"/>
        <w:jc w:val="center"/>
        <w:rPr>
          <w:rFonts w:hint="default" w:ascii="Arial" w:hAnsi="Arial" w:eastAsia="宋体" w:cs="Arial"/>
          <w:b/>
          <w:bCs/>
          <w:sz w:val="24"/>
          <w:szCs w:val="24"/>
        </w:rPr>
      </w:pPr>
      <w:r>
        <w:rPr>
          <w:rFonts w:hint="default" w:ascii="Arial" w:hAnsi="Arial" w:eastAsia="宋体" w:cs="Arial"/>
          <w:b/>
          <w:bCs/>
          <w:sz w:val="24"/>
          <w:szCs w:val="24"/>
        </w:rPr>
        <w:t xml:space="preserve">  项目与长江经济带负面清单指南（试行，2022年版）》浙江省实施细则符合性分析</w:t>
      </w:r>
    </w:p>
    <w:tbl>
      <w:tblPr>
        <w:tblStyle w:val="5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4034"/>
        <w:gridCol w:w="2239"/>
        <w:gridCol w:w="799"/>
      </w:tblGrid>
      <w:tr w14:paraId="7C4D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25E82158">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序号</w:t>
            </w:r>
          </w:p>
        </w:tc>
        <w:tc>
          <w:tcPr>
            <w:tcW w:w="2540" w:type="pct"/>
            <w:vAlign w:val="center"/>
          </w:tcPr>
          <w:p w14:paraId="7CF27A81">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环境管控单元</w:t>
            </w:r>
          </w:p>
        </w:tc>
        <w:tc>
          <w:tcPr>
            <w:tcW w:w="1410" w:type="pct"/>
            <w:vAlign w:val="center"/>
          </w:tcPr>
          <w:p w14:paraId="20D871AF">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本项目情况</w:t>
            </w:r>
          </w:p>
        </w:tc>
        <w:tc>
          <w:tcPr>
            <w:tcW w:w="503" w:type="pct"/>
            <w:vAlign w:val="center"/>
          </w:tcPr>
          <w:p w14:paraId="16A53772">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是否符合要求</w:t>
            </w:r>
          </w:p>
        </w:tc>
      </w:tr>
      <w:tr w14:paraId="68A6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1ECD5EA1">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w:t>
            </w:r>
          </w:p>
        </w:tc>
        <w:tc>
          <w:tcPr>
            <w:tcW w:w="2540" w:type="pct"/>
            <w:vAlign w:val="center"/>
          </w:tcPr>
          <w:p w14:paraId="23D7F6F4">
            <w:pPr>
              <w:keepNext w:val="0"/>
              <w:keepLines w:val="0"/>
              <w:suppressLineNumbers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港口码头项目建设必须严格遵守《中华人民共和国港口法》、交通运输部《港口规划管理规定》、《港口工程建设管理规定》以及《浙江省港口管理条例》的规定。</w:t>
            </w:r>
          </w:p>
        </w:tc>
        <w:tc>
          <w:tcPr>
            <w:tcW w:w="1410" w:type="pct"/>
            <w:vAlign w:val="center"/>
          </w:tcPr>
          <w:p w14:paraId="3C81C918">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不涉及。</w:t>
            </w:r>
          </w:p>
        </w:tc>
        <w:tc>
          <w:tcPr>
            <w:tcW w:w="503" w:type="pct"/>
            <w:vAlign w:val="center"/>
          </w:tcPr>
          <w:p w14:paraId="64F2A6CA">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741A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5BA2CC9C">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2</w:t>
            </w:r>
          </w:p>
        </w:tc>
        <w:tc>
          <w:tcPr>
            <w:tcW w:w="2540" w:type="pct"/>
            <w:vAlign w:val="center"/>
          </w:tcPr>
          <w:p w14:paraId="3D74D115">
            <w:pPr>
              <w:keepNext w:val="0"/>
              <w:keepLines w:val="0"/>
              <w:suppressLineNumbers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禁止建设不符合《全国沿海港口布局规划》、《全国内河航道与港口布局规划》、《浙江省沿海港口布局规划》、《浙江省内河航运发展规划》以及项目所在地港口总体规划、国土空间规划的港口码头项目。</w:t>
            </w:r>
          </w:p>
          <w:p w14:paraId="35E93AF8">
            <w:pPr>
              <w:keepNext w:val="0"/>
              <w:keepLines w:val="0"/>
              <w:suppressLineNumbers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经国务院或国家发展改革委审批、核准的港口码头项目，军事和渔业港口码头项目，按照国家有关规定执行。城市休闲旅游配套码头、陆岛交通码头等涉及民生的港口码头项目，结合国土空间规划和督导交通专项规划等另行研究执行。</w:t>
            </w:r>
          </w:p>
        </w:tc>
        <w:tc>
          <w:tcPr>
            <w:tcW w:w="1410" w:type="pct"/>
            <w:vAlign w:val="center"/>
          </w:tcPr>
          <w:p w14:paraId="3B59114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不涉及。</w:t>
            </w:r>
          </w:p>
        </w:tc>
        <w:tc>
          <w:tcPr>
            <w:tcW w:w="503" w:type="pct"/>
            <w:vAlign w:val="center"/>
          </w:tcPr>
          <w:p w14:paraId="0FD7C82D">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16D7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64F9CD8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3</w:t>
            </w:r>
          </w:p>
        </w:tc>
        <w:tc>
          <w:tcPr>
            <w:tcW w:w="2540" w:type="pct"/>
            <w:vAlign w:val="center"/>
          </w:tcPr>
          <w:p w14:paraId="7F579CFD">
            <w:pPr>
              <w:keepNext w:val="0"/>
              <w:keepLines w:val="0"/>
              <w:suppressLineNumbers w:val="0"/>
              <w:autoSpaceDE w:val="0"/>
              <w:autoSpaceDN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禁止在自然保护地的岸线和河段范围内投资建设不符合《浙江省自然保护地建设项目准入负面清单(试行)》的项目。</w:t>
            </w:r>
          </w:p>
          <w:p w14:paraId="3C30E0F8">
            <w:pPr>
              <w:keepNext w:val="0"/>
              <w:keepLines w:val="0"/>
              <w:suppressLineNumbers w:val="0"/>
              <w:autoSpaceDE w:val="0"/>
              <w:autoSpaceDN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禁止在自然保护地的岸线和河段范围内采石、采砂、采土、砍伐及其他严重改变地形地貌、破坏自然生态、影响自然景观的开发利用行为。</w:t>
            </w:r>
          </w:p>
          <w:p w14:paraId="240F262A">
            <w:pPr>
              <w:keepNext w:val="0"/>
              <w:keepLines w:val="0"/>
              <w:suppressLineNumbers w:val="0"/>
              <w:autoSpaceDE w:val="0"/>
              <w:autoSpaceDN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禁止在Ⅰ级林地、一级国家级公益林内建设项目。</w:t>
            </w:r>
          </w:p>
          <w:p w14:paraId="79FDC765">
            <w:pPr>
              <w:keepNext w:val="0"/>
              <w:keepLines w:val="0"/>
              <w:suppressLineNumbers w:val="0"/>
              <w:autoSpaceDE w:val="0"/>
              <w:autoSpaceDN w:val="0"/>
              <w:spacing w:before="0" w:beforeAutospacing="0" w:after="0" w:afterAutospacing="0"/>
              <w:ind w:left="0" w:right="0" w:firstLine="420"/>
              <w:rPr>
                <w:rFonts w:hint="default" w:ascii="Arial" w:hAnsi="Arial" w:eastAsia="宋体" w:cs="Arial"/>
                <w:sz w:val="18"/>
                <w:szCs w:val="18"/>
              </w:rPr>
            </w:pPr>
            <w:r>
              <w:rPr>
                <w:rFonts w:hint="default" w:ascii="Arial" w:hAnsi="Arial" w:eastAsia="宋体" w:cs="Arial"/>
                <w:sz w:val="18"/>
                <w:szCs w:val="18"/>
              </w:rPr>
              <w:t>自然保护地由省林业局会同相关管理机构界定。</w:t>
            </w:r>
          </w:p>
        </w:tc>
        <w:tc>
          <w:tcPr>
            <w:tcW w:w="1410" w:type="pct"/>
            <w:vAlign w:val="center"/>
          </w:tcPr>
          <w:p w14:paraId="7FA282D7">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非自然保护区、森林公园、地质公园、Ⅰ级林地、一级国家级公益林。</w:t>
            </w:r>
          </w:p>
        </w:tc>
        <w:tc>
          <w:tcPr>
            <w:tcW w:w="503" w:type="pct"/>
            <w:vAlign w:val="center"/>
          </w:tcPr>
          <w:p w14:paraId="665F55CD">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25FB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7979A0AB">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4</w:t>
            </w:r>
          </w:p>
        </w:tc>
        <w:tc>
          <w:tcPr>
            <w:tcW w:w="2540" w:type="pct"/>
            <w:vAlign w:val="center"/>
          </w:tcPr>
          <w:p w14:paraId="3015E8B1">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禁止在饮用水水源一级保护区、二级保护区、准保护区的岸线和河段范围内投资建设不符合《浙江省饮用水源保护条例》的项目。</w:t>
            </w:r>
          </w:p>
          <w:p w14:paraId="25A02008">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饮用水水源一级保护区、二级保护区、准保护区由省生态环境厅会同相关管理机构界定。</w:t>
            </w:r>
          </w:p>
        </w:tc>
        <w:tc>
          <w:tcPr>
            <w:tcW w:w="1410" w:type="pct"/>
            <w:vAlign w:val="center"/>
          </w:tcPr>
          <w:p w14:paraId="4DD96458">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不在饮用水水源一级保护区、二级保护区、准保护区的岸线和河段范围内。</w:t>
            </w:r>
          </w:p>
        </w:tc>
        <w:tc>
          <w:tcPr>
            <w:tcW w:w="503" w:type="pct"/>
            <w:vAlign w:val="center"/>
          </w:tcPr>
          <w:p w14:paraId="2A57C010">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627B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182F0A4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5</w:t>
            </w:r>
          </w:p>
        </w:tc>
        <w:tc>
          <w:tcPr>
            <w:tcW w:w="2540" w:type="pct"/>
            <w:vAlign w:val="center"/>
          </w:tcPr>
          <w:p w14:paraId="7C4849E6">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禁止在水产种质资源保护区的岸线和河段范围内新建围湖造田、围海造地或围填海等投资建设项目。</w:t>
            </w:r>
          </w:p>
          <w:p w14:paraId="5EBC271B">
            <w:pPr>
              <w:keepNext w:val="0"/>
              <w:keepLines w:val="0"/>
              <w:suppressLineNumbers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水产种质资源保护区由省农业农村厅会同相关管理机构界定。</w:t>
            </w:r>
          </w:p>
        </w:tc>
        <w:tc>
          <w:tcPr>
            <w:tcW w:w="1410" w:type="pct"/>
            <w:vAlign w:val="center"/>
          </w:tcPr>
          <w:p w14:paraId="36B97FA2">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不在水产种质资源保护区的岸线和河段范围内。</w:t>
            </w:r>
          </w:p>
        </w:tc>
        <w:tc>
          <w:tcPr>
            <w:tcW w:w="503" w:type="pct"/>
            <w:vAlign w:val="center"/>
          </w:tcPr>
          <w:p w14:paraId="374483E1">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2E49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3" w:hRule="atLeast"/>
          <w:jc w:val="center"/>
        </w:trPr>
        <w:tc>
          <w:tcPr>
            <w:tcW w:w="545" w:type="pct"/>
            <w:vAlign w:val="center"/>
          </w:tcPr>
          <w:p w14:paraId="1421C626">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6</w:t>
            </w:r>
          </w:p>
        </w:tc>
        <w:tc>
          <w:tcPr>
            <w:tcW w:w="2540" w:type="pct"/>
            <w:vAlign w:val="center"/>
          </w:tcPr>
          <w:p w14:paraId="3F5C5B75">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在国家湿地公园的岸线和河段范围内：</w:t>
            </w:r>
          </w:p>
          <w:p w14:paraId="553F0988">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(一）禁止挖沙、采矿；</w:t>
            </w:r>
          </w:p>
          <w:p w14:paraId="44CC784A">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(二）禁止任何不符合主体功能定位的投资建设项目；</w:t>
            </w:r>
          </w:p>
          <w:p w14:paraId="4F6E22B5">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(三）禁止开（围）垦、填埋或者排干湿地；</w:t>
            </w:r>
          </w:p>
          <w:p w14:paraId="13DEA5CA">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(四）禁止截断湿地水源；</w:t>
            </w:r>
          </w:p>
          <w:p w14:paraId="32E78A81">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(五）禁止倾倒有毒有害物质、废弃物、垃圾；</w:t>
            </w:r>
          </w:p>
          <w:p w14:paraId="498FD26E">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(六)禁止破坏野生动物栖息地和迁徙通道、鱼类徊游通道，禁止滥采滥捕野生动植物；</w:t>
            </w:r>
          </w:p>
          <w:p w14:paraId="763238A3">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(七）禁止引入外来物种；</w:t>
            </w:r>
          </w:p>
          <w:p w14:paraId="29938F1E">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(八）禁止擅自放牧、捕捞、取土、取水、排污、放生；</w:t>
            </w:r>
          </w:p>
          <w:p w14:paraId="20968720">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（九）禁止其他破坏湿地及其生态功能的活动。</w:t>
            </w:r>
          </w:p>
          <w:p w14:paraId="693B0ED9">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国家湿地公园由省林业局会同相关管理机构界定。</w:t>
            </w:r>
          </w:p>
        </w:tc>
        <w:tc>
          <w:tcPr>
            <w:tcW w:w="1410" w:type="pct"/>
            <w:vAlign w:val="center"/>
          </w:tcPr>
          <w:p w14:paraId="7E1B0D75">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不在国家湿地公园的岸线和河段范围内。</w:t>
            </w:r>
          </w:p>
        </w:tc>
        <w:tc>
          <w:tcPr>
            <w:tcW w:w="503" w:type="pct"/>
            <w:vAlign w:val="center"/>
          </w:tcPr>
          <w:p w14:paraId="2E592A6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4251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428E0BE6">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7</w:t>
            </w:r>
          </w:p>
        </w:tc>
        <w:tc>
          <w:tcPr>
            <w:tcW w:w="2540" w:type="pct"/>
            <w:vAlign w:val="center"/>
          </w:tcPr>
          <w:p w14:paraId="6C771A0E">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禁止违法利用、占用长江流域河湖岸线。</w:t>
            </w:r>
          </w:p>
        </w:tc>
        <w:tc>
          <w:tcPr>
            <w:tcW w:w="1410" w:type="pct"/>
            <w:vAlign w:val="center"/>
          </w:tcPr>
          <w:p w14:paraId="4D1A38B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不涉及长江流域河湖岸线。</w:t>
            </w:r>
          </w:p>
        </w:tc>
        <w:tc>
          <w:tcPr>
            <w:tcW w:w="503" w:type="pct"/>
            <w:vAlign w:val="center"/>
          </w:tcPr>
          <w:p w14:paraId="49CCFBCC">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7B60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45" w:type="pct"/>
            <w:vAlign w:val="center"/>
          </w:tcPr>
          <w:p w14:paraId="6EC97C72">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8</w:t>
            </w:r>
          </w:p>
        </w:tc>
        <w:tc>
          <w:tcPr>
            <w:tcW w:w="2540" w:type="pct"/>
            <w:vAlign w:val="center"/>
          </w:tcPr>
          <w:p w14:paraId="54B918A8">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禁止在《长江岸线保护和开发利用总体规划》划定的岸线保护区和保留区内投资建设除事关公共安全及公众利益的防洪护岸、河道治理、供水、生态环境保护、国家重要基础设施以外的项目。</w:t>
            </w:r>
          </w:p>
        </w:tc>
        <w:tc>
          <w:tcPr>
            <w:tcW w:w="1410" w:type="pct"/>
            <w:vAlign w:val="center"/>
          </w:tcPr>
          <w:p w14:paraId="2C7A0F4D">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不在《长江岸线保护和开发利用总体规划》划定的岸线保护区和保留区。</w:t>
            </w:r>
          </w:p>
        </w:tc>
        <w:tc>
          <w:tcPr>
            <w:tcW w:w="503" w:type="pct"/>
            <w:vAlign w:val="center"/>
          </w:tcPr>
          <w:p w14:paraId="1B6205C6">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1B73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505040C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9</w:t>
            </w:r>
          </w:p>
        </w:tc>
        <w:tc>
          <w:tcPr>
            <w:tcW w:w="2540" w:type="pct"/>
            <w:vAlign w:val="center"/>
          </w:tcPr>
          <w:p w14:paraId="1C82F757">
            <w:pPr>
              <w:keepNext w:val="0"/>
              <w:keepLines w:val="0"/>
              <w:suppressLineNumbers w:val="0"/>
              <w:spacing w:before="0" w:beforeAutospacing="0" w:after="0" w:afterAutospacing="0"/>
              <w:ind w:left="0" w:right="0"/>
              <w:jc w:val="left"/>
              <w:rPr>
                <w:rFonts w:hint="default" w:ascii="Arial" w:hAnsi="Arial" w:eastAsia="宋体" w:cs="Arial"/>
                <w:sz w:val="18"/>
                <w:szCs w:val="18"/>
              </w:rPr>
            </w:pPr>
            <w:r>
              <w:rPr>
                <w:rFonts w:hint="default" w:ascii="Arial" w:hAnsi="Arial" w:eastAsia="宋体" w:cs="Arial"/>
                <w:sz w:val="18"/>
                <w:szCs w:val="18"/>
              </w:rPr>
              <w:t>禁止在《全国重要江河湖泊水功能区划》划定的河段及湖泊保护区、保留区内投资建设不利于水资源及自然生态保护的项目。</w:t>
            </w:r>
          </w:p>
        </w:tc>
        <w:tc>
          <w:tcPr>
            <w:tcW w:w="1410" w:type="pct"/>
            <w:vAlign w:val="center"/>
          </w:tcPr>
          <w:p w14:paraId="407E49EF">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不在《全国重要江河湖泊水功能区划》划定的河段及湖泊保护区、保留区范围内。</w:t>
            </w:r>
          </w:p>
        </w:tc>
        <w:tc>
          <w:tcPr>
            <w:tcW w:w="503" w:type="pct"/>
            <w:vAlign w:val="center"/>
          </w:tcPr>
          <w:p w14:paraId="2B4DB2D0">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3965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52D74B49">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10</w:t>
            </w:r>
          </w:p>
        </w:tc>
        <w:tc>
          <w:tcPr>
            <w:tcW w:w="2540" w:type="pct"/>
            <w:vAlign w:val="center"/>
          </w:tcPr>
          <w:p w14:paraId="600341F3">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禁止未经许可在长江支流及湖泊新设、改设或扩大排污口。</w:t>
            </w:r>
          </w:p>
        </w:tc>
        <w:tc>
          <w:tcPr>
            <w:tcW w:w="1410" w:type="pct"/>
            <w:vAlign w:val="center"/>
          </w:tcPr>
          <w:p w14:paraId="1484952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不涉及。</w:t>
            </w:r>
          </w:p>
        </w:tc>
        <w:tc>
          <w:tcPr>
            <w:tcW w:w="503" w:type="pct"/>
            <w:vAlign w:val="center"/>
          </w:tcPr>
          <w:p w14:paraId="11DD920D">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65CA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3BA87F40">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11</w:t>
            </w:r>
          </w:p>
        </w:tc>
        <w:tc>
          <w:tcPr>
            <w:tcW w:w="2540" w:type="pct"/>
            <w:vAlign w:val="center"/>
          </w:tcPr>
          <w:p w14:paraId="72E4E503">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禁止在长江支流、太湖等重要岸线一公里范围内新建、扩建化工园区和化工项目。</w:t>
            </w:r>
          </w:p>
        </w:tc>
        <w:tc>
          <w:tcPr>
            <w:tcW w:w="1410" w:type="pct"/>
            <w:vMerge w:val="restart"/>
            <w:vAlign w:val="center"/>
          </w:tcPr>
          <w:p w14:paraId="0291A0F7">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不在长江重要支流岸线一公里范围内，也不涉及尾矿库、冶炼渣库和磷石膏库。</w:t>
            </w:r>
          </w:p>
        </w:tc>
        <w:tc>
          <w:tcPr>
            <w:tcW w:w="503" w:type="pct"/>
            <w:vMerge w:val="restart"/>
            <w:vAlign w:val="center"/>
          </w:tcPr>
          <w:p w14:paraId="4023536A">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2D18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35B077BD">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12</w:t>
            </w:r>
          </w:p>
        </w:tc>
        <w:tc>
          <w:tcPr>
            <w:tcW w:w="2540" w:type="pct"/>
            <w:vAlign w:val="center"/>
          </w:tcPr>
          <w:p w14:paraId="7F3D465C">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禁止在长江重要支流岸线一公里范围内新建、改建、扩建尾矿库、冶炼渣库和磷石膏库，以提升安全、生态环境保护水平为目的的改扩建除外。</w:t>
            </w:r>
          </w:p>
        </w:tc>
        <w:tc>
          <w:tcPr>
            <w:tcW w:w="1410" w:type="pct"/>
            <w:vMerge w:val="continue"/>
            <w:vAlign w:val="center"/>
          </w:tcPr>
          <w:p w14:paraId="3FB83AAE">
            <w:pPr>
              <w:keepNext w:val="0"/>
              <w:keepLines w:val="0"/>
              <w:suppressLineNumbers w:val="0"/>
              <w:spacing w:before="0" w:beforeAutospacing="0" w:after="0" w:afterAutospacing="0"/>
              <w:ind w:left="0" w:right="0"/>
              <w:jc w:val="center"/>
              <w:rPr>
                <w:rFonts w:hint="default" w:ascii="Arial" w:hAnsi="Arial" w:eastAsia="宋体" w:cs="Arial"/>
                <w:sz w:val="18"/>
                <w:szCs w:val="18"/>
              </w:rPr>
            </w:pPr>
          </w:p>
        </w:tc>
        <w:tc>
          <w:tcPr>
            <w:tcW w:w="503" w:type="pct"/>
            <w:vMerge w:val="continue"/>
            <w:vAlign w:val="center"/>
          </w:tcPr>
          <w:p w14:paraId="4A16F876">
            <w:pPr>
              <w:keepNext w:val="0"/>
              <w:keepLines w:val="0"/>
              <w:suppressLineNumbers w:val="0"/>
              <w:spacing w:before="0" w:beforeAutospacing="0" w:after="0" w:afterAutospacing="0"/>
              <w:ind w:left="0" w:right="0"/>
              <w:jc w:val="center"/>
              <w:rPr>
                <w:rFonts w:hint="default" w:ascii="Arial" w:hAnsi="Arial" w:eastAsia="宋体" w:cs="Arial"/>
                <w:sz w:val="18"/>
                <w:szCs w:val="18"/>
              </w:rPr>
            </w:pPr>
          </w:p>
        </w:tc>
      </w:tr>
      <w:tr w14:paraId="233F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69F6AE6E">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13</w:t>
            </w:r>
          </w:p>
        </w:tc>
        <w:tc>
          <w:tcPr>
            <w:tcW w:w="2540" w:type="pct"/>
            <w:vAlign w:val="center"/>
          </w:tcPr>
          <w:p w14:paraId="09533D2B">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禁止在合规园区外新建、扩建钢铁、石化、化工、焦化、建材、有色、制浆造纸等高污染项目。高污染项目清单参照生态环境部《环境保护综合目录》中的高污染产品目录执行。</w:t>
            </w:r>
          </w:p>
        </w:tc>
        <w:tc>
          <w:tcPr>
            <w:tcW w:w="1410" w:type="pct"/>
            <w:vAlign w:val="center"/>
          </w:tcPr>
          <w:p w14:paraId="23E31785">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不属于钢铁、石化、化工、焦化、建材、有色、制浆造纸等高污染项目。</w:t>
            </w:r>
          </w:p>
        </w:tc>
        <w:tc>
          <w:tcPr>
            <w:tcW w:w="503" w:type="pct"/>
            <w:vAlign w:val="center"/>
          </w:tcPr>
          <w:p w14:paraId="1A9978CC">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1675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615FAC6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14</w:t>
            </w:r>
          </w:p>
        </w:tc>
        <w:tc>
          <w:tcPr>
            <w:tcW w:w="2540" w:type="pct"/>
            <w:vAlign w:val="center"/>
          </w:tcPr>
          <w:p w14:paraId="189639C9">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禁止新建、扩建不符合国家石化、现代煤化工等产业布局规划的项目。</w:t>
            </w:r>
          </w:p>
        </w:tc>
        <w:tc>
          <w:tcPr>
            <w:tcW w:w="1410" w:type="pct"/>
            <w:vAlign w:val="center"/>
          </w:tcPr>
          <w:p w14:paraId="018362BE">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不涉及。</w:t>
            </w:r>
          </w:p>
        </w:tc>
        <w:tc>
          <w:tcPr>
            <w:tcW w:w="503" w:type="pct"/>
            <w:vAlign w:val="center"/>
          </w:tcPr>
          <w:p w14:paraId="3D540074">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366D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5751B43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15</w:t>
            </w:r>
          </w:p>
        </w:tc>
        <w:tc>
          <w:tcPr>
            <w:tcW w:w="2540" w:type="pct"/>
            <w:vAlign w:val="center"/>
          </w:tcPr>
          <w:p w14:paraId="4F977A44">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新建、扩建法律法规和相关政策明令禁止的落后产能项目，对列入《产业结构调整指导目录》淘汰类中的落后生产工艺装备、落后产品投资项目，列入《外商投资准入特别管理措施(负面清单)》的外商投资项目，一律不得核准、备案。禁止向落后产能项目和严重过剩产能行业项目供应土地。</w:t>
            </w:r>
          </w:p>
        </w:tc>
        <w:tc>
          <w:tcPr>
            <w:tcW w:w="1410" w:type="pct"/>
            <w:vAlign w:val="center"/>
          </w:tcPr>
          <w:p w14:paraId="0BF29B38">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不属于《产业结构调整指导目录》淘汰类中的落后生产工艺装备、落后产品投资项目以及《外商投资准入特别管理措施(负面清单)》的项目，也不属于落后产能项目和严重过剩产能行业项目。</w:t>
            </w:r>
          </w:p>
        </w:tc>
        <w:tc>
          <w:tcPr>
            <w:tcW w:w="503" w:type="pct"/>
            <w:vAlign w:val="center"/>
          </w:tcPr>
          <w:p w14:paraId="6D55D051">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3AE1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6CE9876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16</w:t>
            </w:r>
          </w:p>
        </w:tc>
        <w:tc>
          <w:tcPr>
            <w:tcW w:w="2540" w:type="pct"/>
            <w:vAlign w:val="center"/>
          </w:tcPr>
          <w:p w14:paraId="15EEB66A">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禁止新建、扩建不符合国家产能置换要求的严重过剩产能行业的项目。部门、机构禁止办理相关的土地(海域)供应、能评、环评审批和新增授信支持等业务。</w:t>
            </w:r>
          </w:p>
        </w:tc>
        <w:tc>
          <w:tcPr>
            <w:tcW w:w="1410" w:type="pct"/>
            <w:vAlign w:val="center"/>
          </w:tcPr>
          <w:p w14:paraId="42B7E833">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不属于国家产能置换要求的严重过剩产能行业的项目。</w:t>
            </w:r>
          </w:p>
        </w:tc>
        <w:tc>
          <w:tcPr>
            <w:tcW w:w="503" w:type="pct"/>
            <w:vAlign w:val="center"/>
          </w:tcPr>
          <w:p w14:paraId="2DE9E637">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0017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vAlign w:val="center"/>
          </w:tcPr>
          <w:p w14:paraId="0803685B">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17</w:t>
            </w:r>
          </w:p>
        </w:tc>
        <w:tc>
          <w:tcPr>
            <w:tcW w:w="2540" w:type="pct"/>
            <w:vAlign w:val="center"/>
          </w:tcPr>
          <w:p w14:paraId="6FA0D398">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禁止新建、扩建不符合要求的高耗能高排放项目。</w:t>
            </w:r>
          </w:p>
        </w:tc>
        <w:tc>
          <w:tcPr>
            <w:tcW w:w="1410" w:type="pct"/>
            <w:vAlign w:val="center"/>
          </w:tcPr>
          <w:p w14:paraId="7AB36088">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不属于高耗能高排放项目。</w:t>
            </w:r>
          </w:p>
        </w:tc>
        <w:tc>
          <w:tcPr>
            <w:tcW w:w="503" w:type="pct"/>
            <w:vAlign w:val="center"/>
          </w:tcPr>
          <w:p w14:paraId="5B55885E">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r w14:paraId="55B5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545" w:type="pct"/>
            <w:vAlign w:val="center"/>
          </w:tcPr>
          <w:p w14:paraId="65984B6B">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18</w:t>
            </w:r>
          </w:p>
        </w:tc>
        <w:tc>
          <w:tcPr>
            <w:tcW w:w="2540" w:type="pct"/>
            <w:vAlign w:val="center"/>
          </w:tcPr>
          <w:p w14:paraId="025BC1F9">
            <w:pPr>
              <w:keepNext w:val="0"/>
              <w:keepLines w:val="0"/>
              <w:suppressLineNumbers w:val="0"/>
              <w:autoSpaceDE w:val="0"/>
              <w:autoSpaceDN w:val="0"/>
              <w:spacing w:before="0" w:beforeAutospacing="0" w:after="0" w:afterAutospacing="0"/>
              <w:ind w:left="0" w:right="0"/>
              <w:rPr>
                <w:rFonts w:hint="default" w:ascii="Arial" w:hAnsi="Arial" w:eastAsia="宋体" w:cs="Arial"/>
                <w:sz w:val="18"/>
                <w:szCs w:val="18"/>
              </w:rPr>
            </w:pPr>
            <w:r>
              <w:rPr>
                <w:rFonts w:hint="default" w:ascii="Arial" w:hAnsi="Arial" w:eastAsia="宋体" w:cs="Arial"/>
                <w:sz w:val="18"/>
                <w:szCs w:val="18"/>
              </w:rPr>
              <w:t>禁止在水库和河湖等水利工程管理范围内堆放物料，倾倒土、石、矿渣、垃圾等物质。</w:t>
            </w:r>
          </w:p>
        </w:tc>
        <w:tc>
          <w:tcPr>
            <w:tcW w:w="1410" w:type="pct"/>
            <w:vAlign w:val="center"/>
          </w:tcPr>
          <w:p w14:paraId="56192C87">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不涉及。</w:t>
            </w:r>
          </w:p>
        </w:tc>
        <w:tc>
          <w:tcPr>
            <w:tcW w:w="503" w:type="pct"/>
            <w:vAlign w:val="center"/>
          </w:tcPr>
          <w:p w14:paraId="45A4F91E">
            <w:pPr>
              <w:keepNext w:val="0"/>
              <w:keepLines w:val="0"/>
              <w:suppressLineNumbers w:val="0"/>
              <w:spacing w:before="0" w:beforeAutospacing="0" w:after="0" w:afterAutospacing="0"/>
              <w:ind w:left="0" w:right="0"/>
              <w:jc w:val="center"/>
              <w:rPr>
                <w:rFonts w:hint="default" w:ascii="Arial" w:hAnsi="Arial" w:eastAsia="宋体" w:cs="Arial"/>
                <w:sz w:val="18"/>
                <w:szCs w:val="18"/>
              </w:rPr>
            </w:pPr>
            <w:r>
              <w:rPr>
                <w:rFonts w:hint="default" w:ascii="Arial" w:hAnsi="Arial" w:eastAsia="宋体" w:cs="Arial"/>
                <w:sz w:val="18"/>
                <w:szCs w:val="18"/>
              </w:rPr>
              <w:t>符合</w:t>
            </w:r>
          </w:p>
        </w:tc>
      </w:tr>
    </w:tbl>
    <w:p w14:paraId="050D396F">
      <w:pPr>
        <w:spacing w:line="360" w:lineRule="auto"/>
        <w:ind w:left="105" w:leftChars="50" w:firstLine="522" w:firstLineChars="200"/>
        <w:outlineLvl w:val="2"/>
        <w:rPr>
          <w:rFonts w:hint="default" w:ascii="Arial" w:hAnsi="Arial" w:eastAsia="宋体" w:cs="Arial"/>
          <w:b/>
          <w:bCs/>
          <w:spacing w:val="10"/>
          <w:sz w:val="24"/>
          <w:szCs w:val="20"/>
        </w:rPr>
      </w:pPr>
      <w:r>
        <w:rPr>
          <w:rFonts w:hint="default" w:ascii="Arial" w:hAnsi="Arial" w:eastAsia="宋体" w:cs="Arial"/>
          <w:b/>
          <w:bCs/>
          <w:spacing w:val="10"/>
          <w:sz w:val="24"/>
          <w:szCs w:val="20"/>
        </w:rPr>
        <w:t>（</w:t>
      </w:r>
      <w:r>
        <w:rPr>
          <w:rFonts w:hint="eastAsia" w:ascii="Arial" w:hAnsi="Arial" w:eastAsia="宋体" w:cs="Arial"/>
          <w:b/>
          <w:bCs/>
          <w:spacing w:val="10"/>
          <w:sz w:val="24"/>
          <w:szCs w:val="20"/>
          <w:lang w:val="en-US" w:eastAsia="zh-CN"/>
        </w:rPr>
        <w:t>4</w:t>
      </w:r>
      <w:r>
        <w:rPr>
          <w:rFonts w:hint="default" w:ascii="Arial" w:hAnsi="Arial" w:eastAsia="宋体" w:cs="Arial"/>
          <w:b/>
          <w:bCs/>
          <w:spacing w:val="10"/>
          <w:sz w:val="24"/>
          <w:szCs w:val="20"/>
        </w:rPr>
        <w:t>）“污水零直排区”建设实施方案符合性分析</w:t>
      </w:r>
    </w:p>
    <w:p w14:paraId="3600CE10">
      <w:pPr>
        <w:spacing w:line="360" w:lineRule="auto"/>
        <w:ind w:left="105" w:leftChars="50" w:firstLine="520" w:firstLineChars="200"/>
        <w:rPr>
          <w:rFonts w:hint="default" w:ascii="Arial" w:hAnsi="Arial" w:eastAsia="宋体" w:cs="Arial"/>
          <w:spacing w:val="10"/>
          <w:sz w:val="24"/>
          <w:szCs w:val="20"/>
        </w:rPr>
      </w:pPr>
      <w:r>
        <w:rPr>
          <w:rFonts w:hint="default" w:ascii="Arial" w:hAnsi="Arial" w:eastAsia="宋体" w:cs="Arial"/>
          <w:spacing w:val="10"/>
          <w:sz w:val="24"/>
          <w:szCs w:val="20"/>
        </w:rPr>
        <w:t>根据《浙江省生态环境厅浙江省经济和信息化厅省美丽浙江建设领导小组“五水共治”（河长制）办公室关于印发〈浙江省全面推进工业园区（工业集聚区）“污水零直排区”建设实施方案（2020~2022）〉及配套技术要点的通知》中《园区工业企业“污水零直排区”建设技术要点（试行）》中工业企业一般性要点》进行符合性分析，具体见下表。</w:t>
      </w:r>
    </w:p>
    <w:p w14:paraId="58C9758E">
      <w:pPr>
        <w:numPr>
          <w:ilvl w:val="3"/>
          <w:numId w:val="5"/>
        </w:numPr>
        <w:spacing w:line="360" w:lineRule="auto"/>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《浙江省全面推进工业园区（工业集聚区）“污水零直排区”</w:t>
      </w:r>
      <w:r>
        <w:rPr>
          <w:rFonts w:hint="default" w:ascii="Arial" w:hAnsi="Arial" w:eastAsia="宋体" w:cs="Arial"/>
          <w:b/>
          <w:bCs/>
          <w:sz w:val="24"/>
          <w:szCs w:val="24"/>
        </w:rPr>
        <w:br w:type="textWrapping"/>
      </w:r>
      <w:r>
        <w:rPr>
          <w:rFonts w:hint="default" w:ascii="Arial" w:hAnsi="Arial" w:eastAsia="宋体" w:cs="Arial"/>
          <w:b/>
          <w:bCs/>
          <w:sz w:val="24"/>
          <w:szCs w:val="24"/>
        </w:rPr>
        <w:t>建设实施方案（2020-2022年）》符合性分析</w:t>
      </w:r>
    </w:p>
    <w:tbl>
      <w:tblPr>
        <w:tblStyle w:val="5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28"/>
        <w:gridCol w:w="823"/>
        <w:gridCol w:w="3287"/>
        <w:gridCol w:w="2352"/>
        <w:gridCol w:w="748"/>
      </w:tblGrid>
      <w:tr w14:paraId="6267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blHeader/>
          <w:jc w:val="center"/>
        </w:trPr>
        <w:tc>
          <w:tcPr>
            <w:tcW w:w="1551" w:type="dxa"/>
            <w:gridSpan w:val="2"/>
            <w:tcBorders>
              <w:tl2br w:val="nil"/>
            </w:tcBorders>
            <w:shd w:val="clear" w:color="auto" w:fill="FFFFFF"/>
            <w:noWrap w:val="0"/>
            <w:vAlign w:val="center"/>
          </w:tcPr>
          <w:p w14:paraId="79D899CA">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内容</w:t>
            </w:r>
          </w:p>
        </w:tc>
        <w:tc>
          <w:tcPr>
            <w:tcW w:w="3287" w:type="dxa"/>
            <w:shd w:val="clear" w:color="auto" w:fill="FFFFFF"/>
            <w:noWrap w:val="0"/>
            <w:vAlign w:val="center"/>
          </w:tcPr>
          <w:p w14:paraId="67B37F2F">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要点</w:t>
            </w:r>
          </w:p>
        </w:tc>
        <w:tc>
          <w:tcPr>
            <w:tcW w:w="2352" w:type="dxa"/>
            <w:shd w:val="clear" w:color="auto" w:fill="FFFFFF"/>
            <w:noWrap w:val="0"/>
            <w:vAlign w:val="center"/>
          </w:tcPr>
          <w:p w14:paraId="0DAF6F88">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企业情况</w:t>
            </w:r>
          </w:p>
        </w:tc>
        <w:tc>
          <w:tcPr>
            <w:tcW w:w="748" w:type="dxa"/>
            <w:shd w:val="clear" w:color="auto" w:fill="FFFFFF"/>
            <w:noWrap w:val="0"/>
            <w:vAlign w:val="center"/>
          </w:tcPr>
          <w:p w14:paraId="4AFC8EFE">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是否符合</w:t>
            </w:r>
          </w:p>
        </w:tc>
      </w:tr>
      <w:tr w14:paraId="6140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restart"/>
            <w:shd w:val="clear" w:color="auto" w:fill="FFFFFF"/>
            <w:noWrap w:val="0"/>
            <w:vAlign w:val="center"/>
          </w:tcPr>
          <w:p w14:paraId="7B89DE12">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一、排查要点</w:t>
            </w:r>
          </w:p>
        </w:tc>
        <w:tc>
          <w:tcPr>
            <w:tcW w:w="3287" w:type="dxa"/>
            <w:shd w:val="clear" w:color="auto" w:fill="FFFFFF"/>
            <w:noWrap w:val="0"/>
            <w:vAlign w:val="center"/>
          </w:tcPr>
          <w:p w14:paraId="7ACAA173">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color w:val="000000"/>
                <w:sz w:val="18"/>
                <w:szCs w:val="18"/>
              </w:rPr>
              <w:t>1、各工序、环节产生的生活污水、</w:t>
            </w:r>
            <w:r>
              <w:rPr>
                <w:rFonts w:hint="default" w:ascii="Arial" w:hAnsi="Arial" w:eastAsia="宋体" w:cs="Arial"/>
                <w:b w:val="0"/>
                <w:bCs/>
                <w:color w:val="000000"/>
                <w:kern w:val="28"/>
                <w:sz w:val="18"/>
                <w:szCs w:val="18"/>
              </w:rPr>
              <w:t>生产废水、雨水、清净下水去向和管网基本情况，包括管网材质、铺设方式、排水能力、标识等。</w:t>
            </w:r>
          </w:p>
        </w:tc>
        <w:tc>
          <w:tcPr>
            <w:tcW w:w="2352" w:type="dxa"/>
            <w:vMerge w:val="restart"/>
            <w:shd w:val="clear" w:color="auto" w:fill="FFFFFF"/>
            <w:noWrap w:val="0"/>
            <w:vAlign w:val="center"/>
          </w:tcPr>
          <w:p w14:paraId="48670ADD">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企业应配合排查工作，建立管网系统排查档案，便于后期监察工作开展。</w:t>
            </w:r>
          </w:p>
          <w:p w14:paraId="522A2116">
            <w:pPr>
              <w:keepNext w:val="0"/>
              <w:keepLines w:val="0"/>
              <w:suppressLineNumbers w:val="0"/>
              <w:spacing w:before="0" w:beforeAutospacing="0" w:after="0" w:afterAutospacing="0"/>
              <w:ind w:left="0" w:right="0"/>
              <w:rPr>
                <w:rFonts w:hint="default" w:ascii="Arial" w:hAnsi="Arial" w:eastAsia="宋体" w:cs="Arial"/>
                <w:b w:val="0"/>
                <w:color w:val="000000"/>
                <w:sz w:val="18"/>
                <w:szCs w:val="18"/>
                <w:lang w:eastAsia="zh-CN"/>
              </w:rPr>
            </w:pPr>
            <w:r>
              <w:rPr>
                <w:rFonts w:hint="default" w:ascii="Arial" w:hAnsi="Arial" w:eastAsia="宋体" w:cs="Arial"/>
                <w:b w:val="0"/>
                <w:bCs/>
                <w:color w:val="000000"/>
                <w:kern w:val="28"/>
                <w:sz w:val="18"/>
                <w:szCs w:val="18"/>
              </w:rPr>
              <w:t>日常生产严格执行雨污分流，</w:t>
            </w:r>
            <w:r>
              <w:rPr>
                <w:rFonts w:hint="default" w:ascii="Arial" w:hAnsi="Arial" w:eastAsia="宋体" w:cs="Arial"/>
                <w:b w:val="0"/>
                <w:bCs/>
                <w:color w:val="000000"/>
                <w:kern w:val="28"/>
                <w:sz w:val="18"/>
                <w:szCs w:val="18"/>
                <w:lang w:val="en-US" w:eastAsia="zh-CN"/>
              </w:rPr>
              <w:t>按规范设置排放口</w:t>
            </w:r>
            <w:r>
              <w:rPr>
                <w:rFonts w:hint="default" w:ascii="Arial" w:hAnsi="Arial" w:eastAsia="宋体" w:cs="Arial"/>
                <w:b w:val="0"/>
                <w:bCs/>
                <w:color w:val="000000"/>
                <w:kern w:val="28"/>
                <w:sz w:val="18"/>
                <w:szCs w:val="18"/>
                <w:lang w:eastAsia="zh-CN"/>
              </w:rPr>
              <w:t>。</w:t>
            </w:r>
          </w:p>
        </w:tc>
        <w:tc>
          <w:tcPr>
            <w:tcW w:w="748" w:type="dxa"/>
            <w:vMerge w:val="restart"/>
            <w:shd w:val="clear" w:color="auto" w:fill="FFFFFF"/>
            <w:noWrap w:val="0"/>
            <w:vAlign w:val="center"/>
          </w:tcPr>
          <w:p w14:paraId="78D52839">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符合</w:t>
            </w:r>
          </w:p>
        </w:tc>
      </w:tr>
      <w:tr w14:paraId="60D3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continue"/>
            <w:shd w:val="clear" w:color="auto" w:fill="FFFFFF"/>
            <w:noWrap w:val="0"/>
            <w:vAlign w:val="center"/>
          </w:tcPr>
          <w:p w14:paraId="442B587D">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2F7EBF7B">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color w:val="000000"/>
                <w:sz w:val="18"/>
                <w:szCs w:val="18"/>
              </w:rPr>
              <w:t>2、</w:t>
            </w:r>
            <w:r>
              <w:rPr>
                <w:rFonts w:hint="default" w:ascii="Arial" w:hAnsi="Arial" w:eastAsia="宋体" w:cs="Arial"/>
                <w:b w:val="0"/>
                <w:bCs/>
                <w:color w:val="000000"/>
                <w:kern w:val="28"/>
                <w:sz w:val="18"/>
                <w:szCs w:val="18"/>
              </w:rPr>
              <w:t>管网及辅助设施缺陷，参照《城镇排水管道检测与评估技术规程》(CJJI81)执行，可委托专业机构排查；需形成管网系统排查成果，包括管网系统建设平面图（带问题节点）、检测与评估报告（含缺陷清单）</w:t>
            </w:r>
          </w:p>
        </w:tc>
        <w:tc>
          <w:tcPr>
            <w:tcW w:w="2352" w:type="dxa"/>
            <w:vMerge w:val="continue"/>
            <w:shd w:val="clear" w:color="auto" w:fill="FFFFFF"/>
            <w:noWrap w:val="0"/>
            <w:vAlign w:val="center"/>
          </w:tcPr>
          <w:p w14:paraId="20878B8E">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p>
        </w:tc>
        <w:tc>
          <w:tcPr>
            <w:tcW w:w="748" w:type="dxa"/>
            <w:vMerge w:val="continue"/>
            <w:shd w:val="clear" w:color="auto" w:fill="FFFFFF"/>
            <w:noWrap w:val="0"/>
            <w:vAlign w:val="center"/>
          </w:tcPr>
          <w:p w14:paraId="550407B6">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r>
      <w:tr w14:paraId="14BF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continue"/>
            <w:shd w:val="clear" w:color="auto" w:fill="FFFFFF"/>
            <w:noWrap w:val="0"/>
            <w:vAlign w:val="center"/>
          </w:tcPr>
          <w:p w14:paraId="1D62359F">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2AD8AAF5">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3、涉水排放口（包括涉及一类污染物的车间或车间处理设施排放口、企业总排口、雨水排放口、清净下水排放口、溢排水排放口等）设置情况，包括排口类型、规范化建设、标识等情况</w:t>
            </w:r>
          </w:p>
        </w:tc>
        <w:tc>
          <w:tcPr>
            <w:tcW w:w="2352" w:type="dxa"/>
            <w:vMerge w:val="continue"/>
            <w:shd w:val="clear" w:color="auto" w:fill="FFFFFF"/>
            <w:noWrap w:val="0"/>
            <w:vAlign w:val="center"/>
          </w:tcPr>
          <w:p w14:paraId="093877E3">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p>
        </w:tc>
        <w:tc>
          <w:tcPr>
            <w:tcW w:w="748" w:type="dxa"/>
            <w:vMerge w:val="continue"/>
            <w:shd w:val="clear" w:color="auto" w:fill="FFFFFF"/>
            <w:noWrap w:val="0"/>
            <w:vAlign w:val="center"/>
          </w:tcPr>
          <w:p w14:paraId="6F36725C">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r>
      <w:tr w14:paraId="2042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continue"/>
            <w:shd w:val="clear" w:color="auto" w:fill="FFFFFF"/>
            <w:noWrap w:val="0"/>
            <w:vAlign w:val="center"/>
          </w:tcPr>
          <w:p w14:paraId="6857F915">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03DCFF5E">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4、雨水收集处理情况，包括初期雨水收集区域、收集池容量及雨水切换控制（切换方式、控制要求）等情况。</w:t>
            </w:r>
          </w:p>
        </w:tc>
        <w:tc>
          <w:tcPr>
            <w:tcW w:w="2352" w:type="dxa"/>
            <w:shd w:val="clear" w:color="auto" w:fill="FFFFFF"/>
            <w:noWrap w:val="0"/>
            <w:vAlign w:val="center"/>
          </w:tcPr>
          <w:p w14:paraId="5952986F">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color w:val="000000"/>
                <w:sz w:val="18"/>
                <w:szCs w:val="18"/>
              </w:rPr>
              <w:t>企业</w:t>
            </w:r>
            <w:r>
              <w:rPr>
                <w:rFonts w:hint="eastAsia" w:ascii="Arial" w:hAnsi="Arial" w:eastAsia="宋体" w:cs="Arial"/>
                <w:b w:val="0"/>
                <w:color w:val="000000"/>
                <w:sz w:val="18"/>
                <w:szCs w:val="18"/>
                <w:lang w:val="en-US" w:eastAsia="zh-CN"/>
              </w:rPr>
              <w:t>不涉及危险化学品存储、原辅材料均存放在室内，无需</w:t>
            </w:r>
            <w:r>
              <w:rPr>
                <w:rFonts w:hint="default" w:ascii="Arial" w:hAnsi="Arial" w:eastAsia="宋体" w:cs="Arial"/>
                <w:b w:val="0"/>
                <w:color w:val="000000"/>
                <w:sz w:val="18"/>
                <w:szCs w:val="18"/>
              </w:rPr>
              <w:t>收集初期雨水，雨水经收集后接入市政雨水管网</w:t>
            </w:r>
          </w:p>
        </w:tc>
        <w:tc>
          <w:tcPr>
            <w:tcW w:w="748" w:type="dxa"/>
            <w:shd w:val="clear" w:color="auto" w:fill="FFFFFF"/>
            <w:noWrap w:val="0"/>
            <w:vAlign w:val="center"/>
          </w:tcPr>
          <w:p w14:paraId="57634262">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符合</w:t>
            </w:r>
          </w:p>
        </w:tc>
      </w:tr>
      <w:tr w14:paraId="16EC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restart"/>
            <w:shd w:val="clear" w:color="auto" w:fill="FFFFFF"/>
            <w:noWrap w:val="0"/>
            <w:vAlign w:val="center"/>
          </w:tcPr>
          <w:p w14:paraId="63497B57">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二、重点问题整改要点</w:t>
            </w:r>
          </w:p>
        </w:tc>
        <w:tc>
          <w:tcPr>
            <w:tcW w:w="823" w:type="dxa"/>
            <w:shd w:val="clear" w:color="auto" w:fill="FFFFFF"/>
            <w:noWrap w:val="0"/>
            <w:vAlign w:val="center"/>
          </w:tcPr>
          <w:p w14:paraId="7370C088">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（一）“一长一策”治理</w:t>
            </w:r>
          </w:p>
        </w:tc>
        <w:tc>
          <w:tcPr>
            <w:tcW w:w="3287" w:type="dxa"/>
            <w:shd w:val="clear" w:color="auto" w:fill="FFFFFF"/>
            <w:noWrap w:val="0"/>
            <w:vAlign w:val="center"/>
          </w:tcPr>
          <w:p w14:paraId="390AD4DA">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1、应制定“一厂一策 “治理方案， 按照“四张清单＂（问题清单、任务清单、项目清单、责任清单）实施整改，清单和整改进展需及时报送园区”污水零直排区”建设管理部门。</w:t>
            </w:r>
          </w:p>
        </w:tc>
        <w:tc>
          <w:tcPr>
            <w:tcW w:w="2352" w:type="dxa"/>
            <w:shd w:val="clear" w:color="auto" w:fill="FFFFFF"/>
            <w:noWrap w:val="0"/>
            <w:vAlign w:val="center"/>
          </w:tcPr>
          <w:p w14:paraId="59893F3A">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企业应配合排查整改工作，制定”一厂一策”治理方案，按照“四张清单”实施整改，清单和整改进展需及时报送园区”污水零直排区”建设管理部门</w:t>
            </w:r>
          </w:p>
        </w:tc>
        <w:tc>
          <w:tcPr>
            <w:tcW w:w="748" w:type="dxa"/>
            <w:shd w:val="clear" w:color="auto" w:fill="FFFFFF"/>
            <w:noWrap w:val="0"/>
            <w:vAlign w:val="center"/>
          </w:tcPr>
          <w:p w14:paraId="4928809F">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符合</w:t>
            </w:r>
          </w:p>
        </w:tc>
      </w:tr>
      <w:tr w14:paraId="3817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7D6576C2">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shd w:val="clear" w:color="auto" w:fill="FFFFFF"/>
            <w:noWrap w:val="0"/>
            <w:vAlign w:val="center"/>
          </w:tcPr>
          <w:p w14:paraId="0DBBE7CF">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（二）管网系统</w:t>
            </w:r>
          </w:p>
        </w:tc>
        <w:tc>
          <w:tcPr>
            <w:tcW w:w="3287" w:type="dxa"/>
            <w:shd w:val="clear" w:color="auto" w:fill="FFFFFF"/>
            <w:noWrap w:val="0"/>
            <w:vAlign w:val="center"/>
          </w:tcPr>
          <w:p w14:paraId="1CFC0319">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2、企业按规范建设独立的清污分流、雨污分流系统，管网及辅助设施应有明确的标识。</w:t>
            </w:r>
          </w:p>
        </w:tc>
        <w:tc>
          <w:tcPr>
            <w:tcW w:w="2352" w:type="dxa"/>
            <w:shd w:val="clear" w:color="auto" w:fill="FFFFFF"/>
            <w:noWrap w:val="0"/>
            <w:vAlign w:val="center"/>
          </w:tcPr>
          <w:p w14:paraId="57F2DF9D">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本项目利用企业现有生产车间实施，目前企业清污分流、雨污分流系统已建成，管网系统走向明确，并设置了标志标识</w:t>
            </w:r>
          </w:p>
        </w:tc>
        <w:tc>
          <w:tcPr>
            <w:tcW w:w="748" w:type="dxa"/>
            <w:shd w:val="clear" w:color="auto" w:fill="FFFFFF"/>
            <w:noWrap w:val="0"/>
            <w:vAlign w:val="center"/>
          </w:tcPr>
          <w:p w14:paraId="61DFE640">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符合</w:t>
            </w:r>
          </w:p>
        </w:tc>
      </w:tr>
      <w:tr w14:paraId="2E4A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restart"/>
            <w:shd w:val="clear" w:color="auto" w:fill="FFFFFF"/>
            <w:noWrap w:val="0"/>
            <w:vAlign w:val="center"/>
          </w:tcPr>
          <w:p w14:paraId="1AB06BCD">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二、重点问题整改要点</w:t>
            </w:r>
          </w:p>
        </w:tc>
        <w:tc>
          <w:tcPr>
            <w:tcW w:w="823" w:type="dxa"/>
            <w:vMerge w:val="restart"/>
            <w:shd w:val="clear" w:color="auto" w:fill="FFFFFF"/>
            <w:noWrap w:val="0"/>
            <w:vAlign w:val="center"/>
          </w:tcPr>
          <w:p w14:paraId="3D0206A9">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（二）管网系统</w:t>
            </w:r>
          </w:p>
        </w:tc>
        <w:tc>
          <w:tcPr>
            <w:tcW w:w="3287" w:type="dxa"/>
            <w:shd w:val="clear" w:color="auto" w:fill="FFFFFF"/>
            <w:noWrap w:val="0"/>
            <w:vAlign w:val="center"/>
          </w:tcPr>
          <w:p w14:paraId="3B9DEECD">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3、针对排查发现的管网及其辅助设施缺陷进行整改修复，可参照《给水排水管道工程施工及验收规范》(GB 50268)《城镇排水管道非开挖修复更新工程技术规程》 (CJJT 210)实施。</w:t>
            </w:r>
          </w:p>
        </w:tc>
        <w:tc>
          <w:tcPr>
            <w:tcW w:w="2352" w:type="dxa"/>
            <w:shd w:val="clear" w:color="auto" w:fill="FFFFFF"/>
            <w:noWrap w:val="0"/>
            <w:vAlign w:val="center"/>
          </w:tcPr>
          <w:p w14:paraId="3DAA3A2F">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企业对排查过程发现的管网缺陷等问题进行整改修复</w:t>
            </w:r>
          </w:p>
        </w:tc>
        <w:tc>
          <w:tcPr>
            <w:tcW w:w="748" w:type="dxa"/>
            <w:shd w:val="clear" w:color="auto" w:fill="FFFFFF"/>
            <w:noWrap w:val="0"/>
            <w:vAlign w:val="center"/>
          </w:tcPr>
          <w:p w14:paraId="171535B3">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符合</w:t>
            </w:r>
          </w:p>
        </w:tc>
      </w:tr>
      <w:tr w14:paraId="3BC4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118E2D3E">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1F3292E2">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3975A9C0">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4、生活污水和工业废水宜采用明管化方式输送，确需采用地下管网输送的，应合理设置观察井，方便日常巡检。重污染行业废水推荐采用管廊架空方式输送。</w:t>
            </w:r>
          </w:p>
        </w:tc>
        <w:tc>
          <w:tcPr>
            <w:tcW w:w="2352" w:type="dxa"/>
            <w:shd w:val="clear" w:color="auto" w:fill="FFFFFF"/>
            <w:noWrap w:val="0"/>
            <w:vAlign w:val="center"/>
          </w:tcPr>
          <w:p w14:paraId="666AA756">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项目废水采用明管化方式输送，并设置防腐防渗</w:t>
            </w:r>
          </w:p>
        </w:tc>
        <w:tc>
          <w:tcPr>
            <w:tcW w:w="748" w:type="dxa"/>
            <w:shd w:val="clear" w:color="auto" w:fill="FFFFFF"/>
            <w:noWrap w:val="0"/>
            <w:vAlign w:val="center"/>
          </w:tcPr>
          <w:p w14:paraId="10987E20">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符合</w:t>
            </w:r>
          </w:p>
        </w:tc>
      </w:tr>
      <w:tr w14:paraId="647A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1B8F02A8">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4086143D">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1FBAA8D8">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5、废水管网应根据废水性质选择适用、耐用的优质管材，应符合相关标准手册规范和设计要求，可采用玻璃钢夹砂管、金属防腐管（不锈钢、铸铁管和钢管）、塑料管(HDPE管、U-PVC)等。</w:t>
            </w:r>
          </w:p>
        </w:tc>
        <w:tc>
          <w:tcPr>
            <w:tcW w:w="2352" w:type="dxa"/>
            <w:shd w:val="clear" w:color="auto" w:fill="FFFFFF"/>
            <w:noWrap w:val="0"/>
            <w:vAlign w:val="center"/>
          </w:tcPr>
          <w:p w14:paraId="76281612">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企业废水管网按照废水性质选择适用、耐用的优质管材，符合相关标准手册规范和设计要求</w:t>
            </w:r>
          </w:p>
        </w:tc>
        <w:tc>
          <w:tcPr>
            <w:tcW w:w="748" w:type="dxa"/>
            <w:shd w:val="clear" w:color="auto" w:fill="FFFFFF"/>
            <w:noWrap w:val="0"/>
            <w:vAlign w:val="center"/>
          </w:tcPr>
          <w:p w14:paraId="1717D8F2">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符合</w:t>
            </w:r>
          </w:p>
        </w:tc>
      </w:tr>
      <w:tr w14:paraId="19CC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5BFFA926">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5E603839">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301F0A63">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6、推荐使用地面明沟方式收集雨水，采用可视盖板；无降雨情况下，雨水沟一般应保持干燥。确需采用管网输送雨水的，可采用HOPE管（DN600mm以下）。</w:t>
            </w:r>
          </w:p>
        </w:tc>
        <w:tc>
          <w:tcPr>
            <w:tcW w:w="2352" w:type="dxa"/>
            <w:shd w:val="clear" w:color="auto" w:fill="FFFFFF"/>
            <w:noWrap w:val="0"/>
            <w:vAlign w:val="center"/>
          </w:tcPr>
          <w:p w14:paraId="5561192C">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使用地面明沟方式收集雨水，采用可视盖板</w:t>
            </w:r>
          </w:p>
        </w:tc>
        <w:tc>
          <w:tcPr>
            <w:tcW w:w="748" w:type="dxa"/>
            <w:shd w:val="clear" w:color="auto" w:fill="FFFFFF"/>
            <w:noWrap w:val="0"/>
            <w:vAlign w:val="center"/>
          </w:tcPr>
          <w:p w14:paraId="493D7255">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符合</w:t>
            </w:r>
          </w:p>
        </w:tc>
      </w:tr>
      <w:tr w14:paraId="41CC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1DB32C5C">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4B4F546C">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12107A37">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7、雨水收集沟内不得敷设与雨水收集无关的管网，雨水收集沟与生产车间保持一定距离，严禁污水混入雨水沟渠。</w:t>
            </w:r>
          </w:p>
        </w:tc>
        <w:tc>
          <w:tcPr>
            <w:tcW w:w="2352" w:type="dxa"/>
            <w:shd w:val="clear" w:color="auto" w:fill="FFFFFF"/>
            <w:noWrap w:val="0"/>
            <w:vAlign w:val="center"/>
          </w:tcPr>
          <w:p w14:paraId="55850FF7">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雨污分流，雨水收集沟与生产车间保持一定距离</w:t>
            </w:r>
          </w:p>
        </w:tc>
        <w:tc>
          <w:tcPr>
            <w:tcW w:w="748" w:type="dxa"/>
            <w:shd w:val="clear" w:color="auto" w:fill="FFFFFF"/>
            <w:noWrap w:val="0"/>
            <w:vAlign w:val="center"/>
          </w:tcPr>
          <w:p w14:paraId="779CDDD6">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0895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7FCF39BE">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6522D5D7">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735452B0">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8、隔油池根据食堂就餐人数确定容积，残渣和废油须定期清理；化粪池满足三格式化粪池设计、建设要求，粪皮和粪渣定期清理。参照《建筑给水排水设计标准》(GB50015)、《饮食业环境保护技术规范》(HJ554)等技术规范。</w:t>
            </w:r>
          </w:p>
        </w:tc>
        <w:tc>
          <w:tcPr>
            <w:tcW w:w="2352" w:type="dxa"/>
            <w:shd w:val="clear" w:color="auto" w:fill="FFFFFF"/>
            <w:noWrap w:val="0"/>
            <w:vAlign w:val="center"/>
          </w:tcPr>
          <w:p w14:paraId="3FB59EE3">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企业不设厨房。企业化粪池设置三格式化粪池，粪皮和粪渣定期清理</w:t>
            </w:r>
          </w:p>
        </w:tc>
        <w:tc>
          <w:tcPr>
            <w:tcW w:w="748" w:type="dxa"/>
            <w:shd w:val="clear" w:color="auto" w:fill="FFFFFF"/>
            <w:noWrap w:val="0"/>
            <w:vAlign w:val="center"/>
          </w:tcPr>
          <w:p w14:paraId="1D354346">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1A13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restart"/>
            <w:shd w:val="clear" w:color="auto" w:fill="FFFFFF"/>
            <w:noWrap w:val="0"/>
            <w:vAlign w:val="center"/>
          </w:tcPr>
          <w:p w14:paraId="5AAECA7E">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二、重点问题整改要点</w:t>
            </w:r>
          </w:p>
        </w:tc>
        <w:tc>
          <w:tcPr>
            <w:tcW w:w="823" w:type="dxa"/>
            <w:shd w:val="clear" w:color="auto" w:fill="FFFFFF"/>
            <w:noWrap w:val="0"/>
            <w:vAlign w:val="center"/>
          </w:tcPr>
          <w:p w14:paraId="39837EB1">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（二）管网系统</w:t>
            </w:r>
          </w:p>
        </w:tc>
        <w:tc>
          <w:tcPr>
            <w:tcW w:w="3287" w:type="dxa"/>
            <w:shd w:val="clear" w:color="auto" w:fill="FFFFFF"/>
            <w:noWrap w:val="0"/>
            <w:vAlign w:val="center"/>
          </w:tcPr>
          <w:p w14:paraId="62A07489">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9、厂区内拖把清洗池、员工洗手槽等散装龙头区域的废水应纳入相应的污水管网。</w:t>
            </w:r>
          </w:p>
        </w:tc>
        <w:tc>
          <w:tcPr>
            <w:tcW w:w="2352" w:type="dxa"/>
            <w:shd w:val="clear" w:color="auto" w:fill="FFFFFF"/>
            <w:noWrap w:val="0"/>
            <w:vAlign w:val="center"/>
          </w:tcPr>
          <w:p w14:paraId="0CC57175">
            <w:pPr>
              <w:keepNext w:val="0"/>
              <w:keepLines w:val="0"/>
              <w:suppressLineNumbers w:val="0"/>
              <w:spacing w:before="0" w:beforeAutospacing="0" w:after="0" w:afterAutospacing="0"/>
              <w:ind w:left="0" w:right="0"/>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企业厂区内员工洗手槽等散装龙头区域的废水均纳入相应污水管网。</w:t>
            </w:r>
          </w:p>
        </w:tc>
        <w:tc>
          <w:tcPr>
            <w:tcW w:w="748" w:type="dxa"/>
            <w:shd w:val="clear" w:color="auto" w:fill="FFFFFF"/>
            <w:noWrap w:val="0"/>
            <w:vAlign w:val="center"/>
          </w:tcPr>
          <w:p w14:paraId="09517DAB">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符合</w:t>
            </w:r>
          </w:p>
        </w:tc>
      </w:tr>
      <w:tr w14:paraId="5523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17CF4945">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restart"/>
            <w:shd w:val="clear" w:color="auto" w:fill="FFFFFF"/>
            <w:noWrap w:val="0"/>
            <w:vAlign w:val="center"/>
          </w:tcPr>
          <w:p w14:paraId="2E273DA4">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（三）初期雨水</w:t>
            </w:r>
          </w:p>
        </w:tc>
        <w:tc>
          <w:tcPr>
            <w:tcW w:w="3287" w:type="dxa"/>
            <w:shd w:val="clear" w:color="auto" w:fill="FFFFFF"/>
            <w:noWrap w:val="0"/>
            <w:vAlign w:val="center"/>
          </w:tcPr>
          <w:p w14:paraId="30E0391D">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10、企业物料储罐区、风险物质装卸区等可能受污染区块应建立初期雨水收集系统，初期雨水应排入污水处理设施进行处理。</w:t>
            </w:r>
          </w:p>
        </w:tc>
        <w:tc>
          <w:tcPr>
            <w:tcW w:w="2352" w:type="dxa"/>
            <w:shd w:val="clear" w:color="auto" w:fill="FFFFFF"/>
            <w:noWrap w:val="0"/>
            <w:vAlign w:val="center"/>
          </w:tcPr>
          <w:p w14:paraId="1F8E6AB8">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本项目不涉及储罐区和风险物质装卸区，无需设置初期雨水收集系统</w:t>
            </w:r>
          </w:p>
        </w:tc>
        <w:tc>
          <w:tcPr>
            <w:tcW w:w="748" w:type="dxa"/>
            <w:shd w:val="clear" w:color="auto" w:fill="FFFFFF"/>
            <w:noWrap w:val="0"/>
            <w:vAlign w:val="center"/>
          </w:tcPr>
          <w:p w14:paraId="0DF1B3C8">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3829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784A46B0">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762EFC58">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7DDB4EC6">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11、初期雨水收集池容量应满足收集要求，重污染行业按降雨深度10—30mm收集，一般行业按10mm收集，推荐安装阀门自动切换系统。具体可参照《石油化工污水处理设计规范》(GB50747)《化学工业污水处理与回用设计规范》(GB50684)等。</w:t>
            </w:r>
          </w:p>
        </w:tc>
        <w:tc>
          <w:tcPr>
            <w:tcW w:w="2352" w:type="dxa"/>
            <w:shd w:val="clear" w:color="auto" w:fill="FFFFFF"/>
            <w:noWrap w:val="0"/>
            <w:vAlign w:val="center"/>
          </w:tcPr>
          <w:p w14:paraId="27BD15B0">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不涉及</w:t>
            </w:r>
          </w:p>
        </w:tc>
        <w:tc>
          <w:tcPr>
            <w:tcW w:w="748" w:type="dxa"/>
            <w:shd w:val="clear" w:color="auto" w:fill="FFFFFF"/>
            <w:noWrap w:val="0"/>
            <w:vAlign w:val="center"/>
          </w:tcPr>
          <w:p w14:paraId="3CA092F1">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54A7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787E0BC7">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5B9379D0">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1323997B">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12、统计初期雨水等水量变化情况，报送园区管理机构。</w:t>
            </w:r>
          </w:p>
        </w:tc>
        <w:tc>
          <w:tcPr>
            <w:tcW w:w="2352" w:type="dxa"/>
            <w:shd w:val="clear" w:color="auto" w:fill="FFFFFF"/>
            <w:noWrap w:val="0"/>
            <w:vAlign w:val="center"/>
          </w:tcPr>
          <w:p w14:paraId="5B589A78">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不涉及</w:t>
            </w:r>
          </w:p>
        </w:tc>
        <w:tc>
          <w:tcPr>
            <w:tcW w:w="748" w:type="dxa"/>
            <w:shd w:val="clear" w:color="auto" w:fill="FFFFFF"/>
            <w:noWrap w:val="0"/>
            <w:vAlign w:val="center"/>
          </w:tcPr>
          <w:p w14:paraId="260987C8">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74E0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084344AE">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restart"/>
            <w:shd w:val="clear" w:color="auto" w:fill="FFFFFF"/>
            <w:noWrap w:val="0"/>
            <w:vAlign w:val="center"/>
          </w:tcPr>
          <w:p w14:paraId="75CCD073">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（四）排污（水）口</w:t>
            </w:r>
          </w:p>
        </w:tc>
        <w:tc>
          <w:tcPr>
            <w:tcW w:w="3287" w:type="dxa"/>
            <w:shd w:val="clear" w:color="auto" w:fill="FFFFFF"/>
            <w:noWrap w:val="0"/>
            <w:vAlign w:val="center"/>
          </w:tcPr>
          <w:p w14:paraId="41FB0C08">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13、每个企业一般只允许设置1个排污口，废水纳入园区污水收集管网，按要求安装废水在线监测设施并联网。</w:t>
            </w:r>
          </w:p>
        </w:tc>
        <w:tc>
          <w:tcPr>
            <w:tcW w:w="2352" w:type="dxa"/>
            <w:shd w:val="clear" w:color="auto" w:fill="FFFFFF"/>
            <w:noWrap w:val="0"/>
            <w:vAlign w:val="center"/>
          </w:tcPr>
          <w:p w14:paraId="07B51A75">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lang w:val="en-US" w:eastAsia="zh-CN"/>
              </w:rPr>
            </w:pPr>
            <w:r>
              <w:rPr>
                <w:rFonts w:hint="default" w:ascii="Arial" w:hAnsi="Arial" w:eastAsia="宋体" w:cs="Arial"/>
                <w:b w:val="0"/>
                <w:bCs/>
                <w:color w:val="000000"/>
                <w:kern w:val="28"/>
                <w:sz w:val="18"/>
                <w:szCs w:val="18"/>
                <w:lang w:val="en-US" w:eastAsia="zh-CN"/>
              </w:rPr>
              <w:t>企业按照园区规定设置。</w:t>
            </w:r>
          </w:p>
        </w:tc>
        <w:tc>
          <w:tcPr>
            <w:tcW w:w="748" w:type="dxa"/>
            <w:shd w:val="clear" w:color="auto" w:fill="FFFFFF"/>
            <w:noWrap w:val="0"/>
            <w:vAlign w:val="center"/>
          </w:tcPr>
          <w:p w14:paraId="6058279E">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19B1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1D097508">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7E17C3D4">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4B2E1C70">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14、原则上只设置1个雨水排放口，根据排水条件确需设置多个的，需向园区管理机构备案。</w:t>
            </w:r>
          </w:p>
        </w:tc>
        <w:tc>
          <w:tcPr>
            <w:tcW w:w="2352" w:type="dxa"/>
            <w:shd w:val="clear" w:color="auto" w:fill="FFFFFF"/>
            <w:noWrap w:val="0"/>
            <w:vAlign w:val="center"/>
          </w:tcPr>
          <w:p w14:paraId="047B36A9">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企业雨水排放口</w:t>
            </w:r>
            <w:r>
              <w:rPr>
                <w:rFonts w:hint="default" w:ascii="Arial" w:hAnsi="Arial" w:eastAsia="宋体" w:cs="Arial"/>
                <w:b w:val="0"/>
                <w:bCs/>
                <w:color w:val="000000"/>
                <w:kern w:val="28"/>
                <w:sz w:val="18"/>
                <w:szCs w:val="18"/>
                <w:lang w:val="en-US" w:eastAsia="zh-CN"/>
              </w:rPr>
              <w:t>按规范设置</w:t>
            </w:r>
            <w:r>
              <w:rPr>
                <w:rFonts w:hint="default" w:ascii="Arial" w:hAnsi="Arial" w:eastAsia="宋体" w:cs="Arial"/>
                <w:b w:val="0"/>
                <w:bCs/>
                <w:color w:val="000000"/>
                <w:kern w:val="28"/>
                <w:sz w:val="18"/>
                <w:szCs w:val="18"/>
              </w:rPr>
              <w:t>。</w:t>
            </w:r>
          </w:p>
        </w:tc>
        <w:tc>
          <w:tcPr>
            <w:tcW w:w="748" w:type="dxa"/>
            <w:shd w:val="clear" w:color="auto" w:fill="FFFFFF"/>
            <w:noWrap w:val="0"/>
            <w:vAlign w:val="center"/>
          </w:tcPr>
          <w:p w14:paraId="4AF60A82">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2199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728" w:type="dxa"/>
            <w:vMerge w:val="continue"/>
            <w:shd w:val="clear" w:color="auto" w:fill="FFFFFF"/>
            <w:noWrap w:val="0"/>
            <w:vAlign w:val="center"/>
          </w:tcPr>
          <w:p w14:paraId="3BEB2346">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823" w:type="dxa"/>
            <w:vMerge w:val="continue"/>
            <w:shd w:val="clear" w:color="auto" w:fill="FFFFFF"/>
            <w:noWrap w:val="0"/>
            <w:vAlign w:val="center"/>
          </w:tcPr>
          <w:p w14:paraId="5C25A002">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7463767B">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15、不得设置清净下水排放口。</w:t>
            </w:r>
          </w:p>
        </w:tc>
        <w:tc>
          <w:tcPr>
            <w:tcW w:w="2352" w:type="dxa"/>
            <w:shd w:val="clear" w:color="auto" w:fill="FFFFFF"/>
            <w:noWrap w:val="0"/>
            <w:vAlign w:val="center"/>
          </w:tcPr>
          <w:p w14:paraId="433B55CC">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企业无清净下水排放口。</w:t>
            </w:r>
          </w:p>
        </w:tc>
        <w:tc>
          <w:tcPr>
            <w:tcW w:w="748" w:type="dxa"/>
            <w:shd w:val="clear" w:color="auto" w:fill="FFFFFF"/>
            <w:noWrap w:val="0"/>
            <w:vAlign w:val="center"/>
          </w:tcPr>
          <w:p w14:paraId="6B14BD57">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4E18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restart"/>
            <w:shd w:val="clear" w:color="auto" w:fill="FFFFFF"/>
            <w:noWrap w:val="0"/>
            <w:vAlign w:val="center"/>
          </w:tcPr>
          <w:p w14:paraId="1C485A1D">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r>
              <w:rPr>
                <w:rFonts w:hint="default" w:ascii="Arial" w:hAnsi="Arial" w:eastAsia="宋体" w:cs="Arial"/>
                <w:b w:val="0"/>
                <w:bCs/>
                <w:color w:val="000000"/>
                <w:kern w:val="28"/>
                <w:sz w:val="18"/>
                <w:szCs w:val="18"/>
              </w:rPr>
              <w:t>三、长效管理要点</w:t>
            </w:r>
          </w:p>
        </w:tc>
        <w:tc>
          <w:tcPr>
            <w:tcW w:w="3287" w:type="dxa"/>
            <w:shd w:val="clear" w:color="auto" w:fill="FFFFFF"/>
            <w:noWrap w:val="0"/>
            <w:vAlign w:val="center"/>
          </w:tcPr>
          <w:p w14:paraId="0CF4D988">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1、建立企业内部管网系统、初期雨水收集系统、污水处理设施及排污（水）口等定期检查制度，落实专人管理。</w:t>
            </w:r>
          </w:p>
        </w:tc>
        <w:tc>
          <w:tcPr>
            <w:tcW w:w="2352" w:type="dxa"/>
            <w:shd w:val="clear" w:color="auto" w:fill="FFFFFF"/>
            <w:noWrap w:val="0"/>
            <w:vAlign w:val="center"/>
          </w:tcPr>
          <w:p w14:paraId="58EF969B">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企业应建立内部管网系统、污水处理设施及排污（水）口等定期检查制度，落实专人管理。</w:t>
            </w:r>
          </w:p>
        </w:tc>
        <w:tc>
          <w:tcPr>
            <w:tcW w:w="748" w:type="dxa"/>
            <w:shd w:val="clear" w:color="auto" w:fill="FFFFFF"/>
            <w:noWrap w:val="0"/>
            <w:vAlign w:val="center"/>
          </w:tcPr>
          <w:p w14:paraId="24FDD07D">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55F3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continue"/>
            <w:shd w:val="clear" w:color="auto" w:fill="FFFFFF"/>
            <w:noWrap w:val="0"/>
            <w:vAlign w:val="center"/>
          </w:tcPr>
          <w:p w14:paraId="48443F55">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46F06AB0">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2、有条件的企业配备相关的管网排查设施，提升管网运行维护能力。</w:t>
            </w:r>
          </w:p>
        </w:tc>
        <w:tc>
          <w:tcPr>
            <w:tcW w:w="2352" w:type="dxa"/>
            <w:shd w:val="clear" w:color="auto" w:fill="FFFFFF"/>
            <w:noWrap w:val="0"/>
            <w:vAlign w:val="center"/>
          </w:tcPr>
          <w:p w14:paraId="600D1E8D">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企业根据自身情况配备。</w:t>
            </w:r>
          </w:p>
        </w:tc>
        <w:tc>
          <w:tcPr>
            <w:tcW w:w="748" w:type="dxa"/>
            <w:shd w:val="clear" w:color="auto" w:fill="FFFFFF"/>
            <w:noWrap w:val="0"/>
            <w:vAlign w:val="center"/>
          </w:tcPr>
          <w:p w14:paraId="45464EBF">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197D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continue"/>
            <w:shd w:val="clear" w:color="auto" w:fill="FFFFFF"/>
            <w:noWrap w:val="0"/>
            <w:vAlign w:val="center"/>
          </w:tcPr>
          <w:p w14:paraId="22D82BE6">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2E78ABF9">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3、自觉执行排水许可制度、排污许可制度</w:t>
            </w:r>
          </w:p>
        </w:tc>
        <w:tc>
          <w:tcPr>
            <w:tcW w:w="2352" w:type="dxa"/>
            <w:shd w:val="clear" w:color="auto" w:fill="FFFFFF"/>
            <w:noWrap w:val="0"/>
            <w:vAlign w:val="center"/>
          </w:tcPr>
          <w:p w14:paraId="2228BA13">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要求企业执行排水许可制度、排污许可制度。</w:t>
            </w:r>
          </w:p>
        </w:tc>
        <w:tc>
          <w:tcPr>
            <w:tcW w:w="748" w:type="dxa"/>
            <w:shd w:val="clear" w:color="auto" w:fill="FFFFFF"/>
            <w:noWrap w:val="0"/>
            <w:vAlign w:val="center"/>
          </w:tcPr>
          <w:p w14:paraId="4B6EDCEB">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r w14:paraId="67CF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jc w:val="center"/>
        </w:trPr>
        <w:tc>
          <w:tcPr>
            <w:tcW w:w="1551" w:type="dxa"/>
            <w:gridSpan w:val="2"/>
            <w:vMerge w:val="continue"/>
            <w:shd w:val="clear" w:color="auto" w:fill="FFFFFF"/>
            <w:noWrap w:val="0"/>
            <w:vAlign w:val="center"/>
          </w:tcPr>
          <w:p w14:paraId="4246C525">
            <w:pPr>
              <w:keepNext w:val="0"/>
              <w:keepLines w:val="0"/>
              <w:suppressLineNumbers w:val="0"/>
              <w:spacing w:before="0" w:beforeAutospacing="0" w:after="0" w:afterAutospacing="0"/>
              <w:ind w:left="0" w:right="0"/>
              <w:jc w:val="center"/>
              <w:rPr>
                <w:rFonts w:hint="default" w:ascii="Arial" w:hAnsi="Arial" w:eastAsia="宋体" w:cs="Arial"/>
                <w:b w:val="0"/>
                <w:color w:val="000000"/>
                <w:sz w:val="18"/>
                <w:szCs w:val="18"/>
              </w:rPr>
            </w:pPr>
          </w:p>
        </w:tc>
        <w:tc>
          <w:tcPr>
            <w:tcW w:w="3287" w:type="dxa"/>
            <w:shd w:val="clear" w:color="auto" w:fill="FFFFFF"/>
            <w:noWrap w:val="0"/>
            <w:vAlign w:val="center"/>
          </w:tcPr>
          <w:p w14:paraId="7D9F5F82">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4、按园区要求实施初期雨水分时段输送。</w:t>
            </w:r>
          </w:p>
        </w:tc>
        <w:tc>
          <w:tcPr>
            <w:tcW w:w="2352" w:type="dxa"/>
            <w:shd w:val="clear" w:color="auto" w:fill="FFFFFF"/>
            <w:noWrap w:val="0"/>
            <w:vAlign w:val="center"/>
          </w:tcPr>
          <w:p w14:paraId="3BDACF49">
            <w:pPr>
              <w:keepNext w:val="0"/>
              <w:keepLines w:val="0"/>
              <w:suppressLineNumbers w:val="0"/>
              <w:spacing w:before="0" w:beforeAutospacing="0" w:after="0" w:afterAutospacing="0"/>
              <w:ind w:left="0" w:right="0"/>
              <w:rPr>
                <w:rFonts w:hint="default" w:ascii="Arial" w:hAnsi="Arial" w:eastAsia="宋体" w:cs="Arial"/>
                <w:b w:val="0"/>
                <w:bCs/>
                <w:color w:val="000000"/>
                <w:kern w:val="28"/>
                <w:sz w:val="18"/>
                <w:szCs w:val="18"/>
                <w:lang w:val="en-US" w:eastAsia="zh-CN"/>
              </w:rPr>
            </w:pPr>
            <w:r>
              <w:rPr>
                <w:rFonts w:hint="default" w:ascii="Arial" w:hAnsi="Arial" w:eastAsia="宋体" w:cs="Arial"/>
                <w:b w:val="0"/>
                <w:bCs/>
                <w:color w:val="000000"/>
                <w:kern w:val="28"/>
                <w:sz w:val="18"/>
                <w:szCs w:val="18"/>
                <w:lang w:val="en-US" w:eastAsia="zh-CN"/>
              </w:rPr>
              <w:t>本项目不涉及初期雨水收集。</w:t>
            </w:r>
          </w:p>
        </w:tc>
        <w:tc>
          <w:tcPr>
            <w:tcW w:w="748" w:type="dxa"/>
            <w:shd w:val="clear" w:color="auto" w:fill="FFFFFF"/>
            <w:noWrap w:val="0"/>
            <w:vAlign w:val="center"/>
          </w:tcPr>
          <w:p w14:paraId="0F22AFD8">
            <w:pPr>
              <w:keepNext w:val="0"/>
              <w:keepLines w:val="0"/>
              <w:suppressLineNumbers w:val="0"/>
              <w:spacing w:before="0" w:beforeAutospacing="0" w:after="0" w:afterAutospacing="0"/>
              <w:ind w:left="0" w:right="0"/>
              <w:jc w:val="center"/>
              <w:rPr>
                <w:rFonts w:hint="default" w:ascii="Arial" w:hAnsi="Arial" w:eastAsia="宋体" w:cs="Arial"/>
                <w:b w:val="0"/>
                <w:bCs/>
                <w:color w:val="000000"/>
                <w:kern w:val="28"/>
                <w:sz w:val="18"/>
                <w:szCs w:val="18"/>
              </w:rPr>
            </w:pPr>
            <w:r>
              <w:rPr>
                <w:rFonts w:hint="default" w:ascii="Arial" w:hAnsi="Arial" w:eastAsia="宋体" w:cs="Arial"/>
                <w:b w:val="0"/>
                <w:bCs/>
                <w:color w:val="000000"/>
                <w:kern w:val="28"/>
                <w:sz w:val="18"/>
                <w:szCs w:val="18"/>
              </w:rPr>
              <w:t>符合</w:t>
            </w:r>
          </w:p>
        </w:tc>
      </w:tr>
    </w:tbl>
    <w:p w14:paraId="1D5515DF">
      <w:pPr>
        <w:keepNext w:val="0"/>
        <w:keepLines w:val="0"/>
        <w:pageBreakBefore w:val="0"/>
        <w:widowControl w:val="0"/>
        <w:kinsoku/>
        <w:wordWrap/>
        <w:overflowPunct/>
        <w:topLinePunct w:val="0"/>
        <w:autoSpaceDE/>
        <w:autoSpaceDN/>
        <w:bidi w:val="0"/>
        <w:adjustRightInd/>
        <w:snapToGrid/>
        <w:spacing w:line="360" w:lineRule="auto"/>
        <w:ind w:left="105" w:leftChars="50" w:firstLine="520" w:firstLineChars="200"/>
        <w:textAlignment w:val="auto"/>
        <w:rPr>
          <w:rFonts w:hint="default" w:ascii="Arial" w:hAnsi="Arial" w:eastAsia="宋体" w:cs="Arial"/>
          <w:spacing w:val="10"/>
          <w:sz w:val="24"/>
          <w:szCs w:val="20"/>
        </w:rPr>
        <w:sectPr>
          <w:headerReference r:id="rId12"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r>
        <w:rPr>
          <w:rFonts w:hint="default" w:ascii="Arial" w:hAnsi="Arial" w:eastAsia="宋体" w:cs="Arial"/>
          <w:spacing w:val="10"/>
          <w:sz w:val="24"/>
          <w:szCs w:val="20"/>
        </w:rPr>
        <w:t>综上，项目建设能符合工业园区（工业集聚区）“污水零直排区”建设实施方案（2020~2022年）相关要求。</w:t>
      </w:r>
    </w:p>
    <w:p w14:paraId="53CF28D2">
      <w:pPr>
        <w:pStyle w:val="76"/>
        <w:numPr>
          <w:ilvl w:val="0"/>
          <w:numId w:val="5"/>
        </w:numPr>
        <w:spacing w:line="360" w:lineRule="auto"/>
        <w:ind w:left="210" w:leftChars="0" w:firstLine="0" w:firstLineChars="0"/>
        <w:outlineLvl w:val="1"/>
        <w:rPr>
          <w:rFonts w:hint="default" w:ascii="Arial" w:hAnsi="Arial" w:eastAsia="宋体" w:cs="Arial"/>
          <w:b/>
          <w:bCs/>
          <w:sz w:val="28"/>
          <w:szCs w:val="28"/>
        </w:rPr>
      </w:pPr>
    </w:p>
    <w:p w14:paraId="02A7A66B">
      <w:pPr>
        <w:pStyle w:val="76"/>
        <w:keepNext w:val="0"/>
        <w:keepLines w:val="0"/>
        <w:pageBreakBefore w:val="0"/>
        <w:widowControl w:val="0"/>
        <w:numPr>
          <w:ilvl w:val="1"/>
          <w:numId w:val="5"/>
        </w:numPr>
        <w:kinsoku/>
        <w:wordWrap/>
        <w:overflowPunct/>
        <w:topLinePunct w:val="0"/>
        <w:autoSpaceDE/>
        <w:autoSpaceDN/>
        <w:bidi w:val="0"/>
        <w:adjustRightInd/>
        <w:spacing w:line="360" w:lineRule="auto"/>
        <w:ind w:left="105" w:leftChars="50" w:firstLineChars="0"/>
        <w:textAlignment w:val="auto"/>
        <w:outlineLvl w:val="1"/>
        <w:rPr>
          <w:rFonts w:hint="default" w:ascii="Arial" w:hAnsi="Arial" w:eastAsia="宋体" w:cs="Arial"/>
          <w:b/>
          <w:bCs/>
          <w:sz w:val="28"/>
          <w:szCs w:val="28"/>
        </w:rPr>
      </w:pPr>
      <w:r>
        <w:rPr>
          <w:rFonts w:hint="default" w:ascii="Arial" w:hAnsi="Arial" w:eastAsia="宋体" w:cs="Arial"/>
          <w:b/>
          <w:bCs/>
          <w:sz w:val="28"/>
          <w:szCs w:val="28"/>
        </w:rPr>
        <w:t>建设内容</w:t>
      </w:r>
    </w:p>
    <w:p w14:paraId="07F281E5">
      <w:pPr>
        <w:pStyle w:val="76"/>
        <w:keepNext w:val="0"/>
        <w:keepLines w:val="0"/>
        <w:pageBreakBefore w:val="0"/>
        <w:widowControl w:val="0"/>
        <w:numPr>
          <w:ilvl w:val="2"/>
          <w:numId w:val="5"/>
        </w:numPr>
        <w:kinsoku/>
        <w:wordWrap/>
        <w:overflowPunct/>
        <w:topLinePunct w:val="0"/>
        <w:autoSpaceDE/>
        <w:autoSpaceDN/>
        <w:bidi w:val="0"/>
        <w:adjustRightIn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项目由来及概况</w:t>
      </w:r>
    </w:p>
    <w:p w14:paraId="3E7DD2D3">
      <w:pPr>
        <w:keepNext w:val="0"/>
        <w:keepLines w:val="0"/>
        <w:pageBreakBefore w:val="0"/>
        <w:widowControl w:val="0"/>
        <w:kinsoku/>
        <w:wordWrap/>
        <w:overflowPunct/>
        <w:topLinePunct w:val="0"/>
        <w:autoSpaceDE/>
        <w:autoSpaceDN/>
        <w:bidi w:val="0"/>
        <w:adjustRightInd/>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14:textFill>
            <w14:solidFill>
              <w14:schemeClr w14:val="tx1"/>
            </w14:solidFill>
          </w14:textFill>
        </w:rPr>
      </w:pPr>
      <w:r>
        <w:rPr>
          <w:rFonts w:hint="default" w:ascii="Arial" w:hAnsi="Arial" w:eastAsia="宋体" w:cs="Arial"/>
          <w:sz w:val="24"/>
          <w:szCs w:val="24"/>
          <w:lang w:val="en-US" w:eastAsia="zh-CN"/>
        </w:rPr>
        <w:t>浙江海科汽车部件有限公司</w:t>
      </w:r>
      <w:r>
        <w:rPr>
          <w:rFonts w:hint="default" w:ascii="Arial" w:hAnsi="Arial" w:eastAsia="宋体" w:cs="Arial"/>
          <w:sz w:val="24"/>
          <w:szCs w:val="24"/>
        </w:rPr>
        <w:t>，</w:t>
      </w:r>
      <w:r>
        <w:rPr>
          <w:rFonts w:hint="eastAsia" w:ascii="Arial" w:hAnsi="Arial" w:eastAsia="宋体" w:cs="Arial"/>
          <w:sz w:val="24"/>
          <w:szCs w:val="24"/>
          <w:lang w:val="en-US" w:eastAsia="zh-CN"/>
        </w:rPr>
        <w:t>租赁</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w:t>
      </w:r>
      <w:r>
        <w:rPr>
          <w:rFonts w:hint="default" w:ascii="Arial" w:hAnsi="Arial" w:eastAsia="宋体" w:cs="Arial"/>
          <w:color w:val="000000" w:themeColor="text1"/>
          <w:sz w:val="24"/>
          <w:szCs w:val="24"/>
          <w14:textFill>
            <w14:solidFill>
              <w14:schemeClr w14:val="tx1"/>
            </w14:solidFill>
          </w14:textFill>
        </w:rPr>
        <w:t>拟投资</w:t>
      </w:r>
      <w:r>
        <w:rPr>
          <w:rFonts w:hint="default" w:ascii="Arial" w:hAnsi="Arial" w:eastAsia="宋体" w:cs="Arial"/>
          <w:color w:val="000000" w:themeColor="text1"/>
          <w:sz w:val="24"/>
          <w:szCs w:val="24"/>
          <w:lang w:val="en-US" w:eastAsia="zh-CN"/>
          <w14:textFill>
            <w14:solidFill>
              <w14:schemeClr w14:val="tx1"/>
            </w14:solidFill>
          </w14:textFill>
        </w:rPr>
        <w:t>1000</w:t>
      </w:r>
      <w:r>
        <w:rPr>
          <w:rFonts w:hint="default" w:ascii="Arial" w:hAnsi="Arial" w:eastAsia="宋体" w:cs="Arial"/>
          <w:color w:val="000000" w:themeColor="text1"/>
          <w:sz w:val="24"/>
          <w:szCs w:val="24"/>
          <w14:textFill>
            <w14:solidFill>
              <w14:schemeClr w14:val="tx1"/>
            </w14:solidFill>
          </w14:textFill>
        </w:rPr>
        <w:t>万元</w:t>
      </w:r>
      <w:r>
        <w:rPr>
          <w:rFonts w:hint="default" w:ascii="Arial" w:hAnsi="Arial" w:eastAsia="宋体" w:cs="Arial"/>
          <w:color w:val="000000" w:themeColor="text1"/>
          <w:sz w:val="24"/>
          <w:szCs w:val="24"/>
          <w:lang w:val="en-US" w:eastAsia="zh-CN"/>
          <w14:textFill>
            <w14:solidFill>
              <w14:schemeClr w14:val="tx1"/>
            </w14:solidFill>
          </w14:textFill>
        </w:rPr>
        <w:t>进行年产1000万只传动系统部件项目建设。设生产车间、检测室、办公室、仓库等，配置油压机、卧式数控车床、拉床、磨床及装配设备等，项目达产后预计年产1000万只传动系统部件，实现年产值1亿元、利税1500万元。</w:t>
      </w:r>
    </w:p>
    <w:p w14:paraId="0328491B">
      <w:pPr>
        <w:keepNext w:val="0"/>
        <w:keepLines w:val="0"/>
        <w:pageBreakBefore w:val="0"/>
        <w:widowControl w:val="0"/>
        <w:kinsoku/>
        <w:wordWrap/>
        <w:overflowPunct/>
        <w:topLinePunct w:val="0"/>
        <w:autoSpaceDE/>
        <w:autoSpaceDN/>
        <w:bidi w:val="0"/>
        <w:adjustRightInd/>
        <w:snapToGrid w:val="0"/>
        <w:spacing w:line="360" w:lineRule="auto"/>
        <w:ind w:left="105" w:leftChars="50" w:firstLine="480" w:firstLineChars="200"/>
        <w:textAlignment w:val="auto"/>
        <w:rPr>
          <w:rFonts w:hint="default" w:ascii="Arial" w:hAnsi="Arial" w:eastAsia="宋体" w:cs="Arial"/>
          <w:kern w:val="0"/>
          <w:sz w:val="24"/>
          <w:szCs w:val="24"/>
        </w:rPr>
      </w:pPr>
      <w:r>
        <w:rPr>
          <w:rFonts w:hint="default" w:ascii="Arial" w:hAnsi="Arial" w:eastAsia="宋体" w:cs="Arial"/>
          <w:color w:val="000000" w:themeColor="text1"/>
          <w:kern w:val="0"/>
          <w:sz w:val="24"/>
          <w:szCs w:val="24"/>
          <w14:textFill>
            <w14:solidFill>
              <w14:schemeClr w14:val="tx1"/>
            </w14:solidFill>
          </w14:textFill>
        </w:rPr>
        <w:t>根据《中华人民共和国环境影响评价法》、《建设项目环境保护管理条例》和《浙江省建设项目环境保护管理</w:t>
      </w:r>
      <w:r>
        <w:rPr>
          <w:rFonts w:hint="default" w:ascii="Arial" w:hAnsi="Arial" w:eastAsia="宋体" w:cs="Arial"/>
          <w:color w:val="auto"/>
          <w:kern w:val="0"/>
          <w:sz w:val="24"/>
          <w:szCs w:val="24"/>
        </w:rPr>
        <w:t>办法》的有关规定，凡从事对环境有影响的建设项目必须进行环境影响评价，使经济建设与环境保护能够协调发展。为此，企业委托我单位进行项目的环境影响评价工作。</w:t>
      </w:r>
      <w:r>
        <w:rPr>
          <w:rFonts w:hint="default" w:ascii="Arial" w:hAnsi="Arial" w:eastAsia="宋体" w:cs="Arial"/>
          <w:color w:val="auto"/>
          <w:sz w:val="24"/>
          <w:szCs w:val="24"/>
        </w:rPr>
        <w:t>根据《</w:t>
      </w:r>
      <w:r>
        <w:rPr>
          <w:rFonts w:hint="default" w:ascii="Arial" w:hAnsi="Arial" w:eastAsia="宋体" w:cs="Arial"/>
          <w:color w:val="auto"/>
          <w:sz w:val="24"/>
        </w:rPr>
        <w:t>建设项目环境影响评价分类管理名录》（生态环境部令第16号）</w:t>
      </w:r>
      <w:r>
        <w:rPr>
          <w:rFonts w:hint="default" w:ascii="Arial" w:hAnsi="Arial" w:eastAsia="宋体" w:cs="Arial"/>
          <w:color w:val="auto"/>
          <w:sz w:val="24"/>
          <w:szCs w:val="24"/>
        </w:rPr>
        <w:t>，本项目</w:t>
      </w:r>
      <w:r>
        <w:rPr>
          <w:rFonts w:hint="default" w:ascii="Arial" w:hAnsi="Arial" w:eastAsia="宋体" w:cs="Arial"/>
          <w:color w:val="auto"/>
          <w:sz w:val="24"/>
          <w:szCs w:val="24"/>
          <w:lang w:val="en-US" w:eastAsia="zh-CN"/>
        </w:rPr>
        <w:t>主要对汽车零部件进行清洗检测</w:t>
      </w:r>
      <w:r>
        <w:rPr>
          <w:rFonts w:hint="default" w:ascii="Arial" w:hAnsi="Arial" w:eastAsia="宋体" w:cs="Arial"/>
          <w:color w:val="auto"/>
          <w:sz w:val="24"/>
          <w:szCs w:val="24"/>
        </w:rPr>
        <w:t>，属于三十</w:t>
      </w:r>
      <w:r>
        <w:rPr>
          <w:rFonts w:hint="default" w:ascii="Arial" w:hAnsi="Arial" w:eastAsia="宋体" w:cs="Arial"/>
          <w:color w:val="auto"/>
          <w:sz w:val="24"/>
          <w:szCs w:val="24"/>
          <w:lang w:val="en-US" w:eastAsia="zh-CN"/>
        </w:rPr>
        <w:t>三</w:t>
      </w:r>
      <w:r>
        <w:rPr>
          <w:rFonts w:hint="default" w:ascii="Arial" w:hAnsi="Arial" w:eastAsia="宋体" w:cs="Arial"/>
          <w:color w:val="auto"/>
          <w:sz w:val="24"/>
          <w:szCs w:val="24"/>
        </w:rPr>
        <w:t>、</w:t>
      </w:r>
      <w:r>
        <w:rPr>
          <w:rFonts w:hint="default" w:ascii="Arial" w:hAnsi="Arial" w:eastAsia="宋体" w:cs="Arial"/>
          <w:color w:val="auto"/>
          <w:sz w:val="24"/>
          <w:szCs w:val="24"/>
          <w:lang w:val="en-US" w:eastAsia="zh-CN"/>
        </w:rPr>
        <w:t>汽车</w:t>
      </w:r>
      <w:r>
        <w:rPr>
          <w:rFonts w:hint="default" w:ascii="Arial" w:hAnsi="Arial" w:eastAsia="宋体" w:cs="Arial"/>
          <w:color w:val="auto"/>
          <w:sz w:val="24"/>
          <w:szCs w:val="24"/>
        </w:rPr>
        <w:t>制造业3</w:t>
      </w:r>
      <w:r>
        <w:rPr>
          <w:rFonts w:hint="default" w:ascii="Arial" w:hAnsi="Arial" w:eastAsia="宋体" w:cs="Arial"/>
          <w:color w:val="auto"/>
          <w:sz w:val="24"/>
          <w:szCs w:val="24"/>
          <w:lang w:val="en-US" w:eastAsia="zh-CN"/>
        </w:rPr>
        <w:t>6</w:t>
      </w:r>
      <w:r>
        <w:rPr>
          <w:rFonts w:hint="eastAsia" w:ascii="Arial" w:hAnsi="Arial" w:eastAsia="宋体" w:cs="Arial"/>
          <w:color w:val="auto"/>
          <w:sz w:val="24"/>
          <w:szCs w:val="24"/>
          <w:lang w:val="en-US" w:eastAsia="zh-CN"/>
        </w:rPr>
        <w:t>-71</w:t>
      </w:r>
      <w:r>
        <w:rPr>
          <w:rFonts w:hint="default" w:ascii="Arial" w:hAnsi="Arial" w:eastAsia="宋体" w:cs="Arial"/>
          <w:color w:val="auto"/>
          <w:sz w:val="24"/>
          <w:szCs w:val="24"/>
          <w:lang w:val="en-US" w:eastAsia="zh-CN"/>
        </w:rPr>
        <w:t>汽车零部件及配件制造</w:t>
      </w:r>
      <w:r>
        <w:rPr>
          <w:rFonts w:hint="default" w:ascii="Arial" w:hAnsi="Arial" w:eastAsia="宋体" w:cs="Arial"/>
          <w:color w:val="auto"/>
          <w:sz w:val="24"/>
          <w:szCs w:val="24"/>
        </w:rPr>
        <w:t xml:space="preserve"> 3</w:t>
      </w:r>
      <w:r>
        <w:rPr>
          <w:rFonts w:hint="default" w:ascii="Arial" w:hAnsi="Arial" w:eastAsia="宋体" w:cs="Arial"/>
          <w:color w:val="auto"/>
          <w:sz w:val="24"/>
          <w:szCs w:val="24"/>
          <w:lang w:val="en-US" w:eastAsia="zh-CN"/>
        </w:rPr>
        <w:t>67</w:t>
      </w:r>
      <w:r>
        <w:rPr>
          <w:rFonts w:hint="default" w:ascii="Arial" w:hAnsi="Arial" w:eastAsia="宋体" w:cs="Arial"/>
          <w:color w:val="auto"/>
          <w:sz w:val="24"/>
          <w:szCs w:val="24"/>
        </w:rPr>
        <w:t xml:space="preserve"> 中的“其他（年用非溶剂型低VOCs含量涂料10吨以下的除外）类项目。故本项目需在建设开工前编制环境影响报告表</w:t>
      </w:r>
      <w:r>
        <w:rPr>
          <w:rFonts w:hint="default" w:ascii="Arial" w:hAnsi="Arial" w:eastAsia="宋体" w:cs="Arial"/>
          <w:color w:val="auto"/>
          <w:kern w:val="0"/>
          <w:sz w:val="24"/>
          <w:szCs w:val="24"/>
        </w:rPr>
        <w:t>。我单位通过对项目</w:t>
      </w:r>
      <w:r>
        <w:rPr>
          <w:rFonts w:hint="default" w:ascii="Arial" w:hAnsi="Arial" w:eastAsia="宋体" w:cs="Arial"/>
          <w:kern w:val="0"/>
          <w:sz w:val="24"/>
          <w:szCs w:val="24"/>
        </w:rPr>
        <w:t>实施地周围实地踏勘、工程分析、收集相关资料的基础上，通过对相关资料的分析、研究，依据环境影响评价技术导则的要求，编制了本项目的环境影响报告表，现报请审查。</w:t>
      </w:r>
    </w:p>
    <w:p w14:paraId="446DEB5F">
      <w:pPr>
        <w:pStyle w:val="76"/>
        <w:numPr>
          <w:ilvl w:val="2"/>
          <w:numId w:val="5"/>
        </w:numPr>
        <w:spacing w:line="360" w:lineRule="auto"/>
        <w:ind w:left="210" w:leftChars="0" w:firstLine="0" w:firstLineChars="0"/>
        <w:outlineLvl w:val="2"/>
        <w:rPr>
          <w:rFonts w:hint="default" w:ascii="Arial" w:hAnsi="Arial" w:eastAsia="宋体" w:cs="Arial"/>
          <w:b/>
          <w:bCs/>
          <w:sz w:val="24"/>
          <w:szCs w:val="24"/>
        </w:rPr>
      </w:pPr>
      <w:r>
        <w:rPr>
          <w:rFonts w:hint="default" w:ascii="Arial" w:hAnsi="Arial" w:eastAsia="宋体" w:cs="Arial"/>
          <w:b/>
          <w:bCs/>
          <w:sz w:val="24"/>
          <w:szCs w:val="24"/>
        </w:rPr>
        <w:t>项目组成</w:t>
      </w:r>
    </w:p>
    <w:p w14:paraId="69A9E4C7">
      <w:pPr>
        <w:pStyle w:val="76"/>
        <w:numPr>
          <w:ilvl w:val="3"/>
          <w:numId w:val="5"/>
        </w:numPr>
        <w:ind w:left="777" w:leftChars="0" w:firstLine="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项目组成表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3"/>
        <w:gridCol w:w="1452"/>
        <w:gridCol w:w="5288"/>
        <w:gridCol w:w="704"/>
      </w:tblGrid>
      <w:tr w14:paraId="2206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45" w:type="dxa"/>
            <w:gridSpan w:val="2"/>
            <w:vAlign w:val="center"/>
          </w:tcPr>
          <w:p w14:paraId="7E024B37">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工程类别</w:t>
            </w:r>
          </w:p>
        </w:tc>
        <w:tc>
          <w:tcPr>
            <w:tcW w:w="5288" w:type="dxa"/>
            <w:vAlign w:val="center"/>
          </w:tcPr>
          <w:p w14:paraId="6094A30D">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主要内容</w:t>
            </w:r>
          </w:p>
        </w:tc>
        <w:tc>
          <w:tcPr>
            <w:tcW w:w="704" w:type="dxa"/>
            <w:vAlign w:val="center"/>
          </w:tcPr>
          <w:p w14:paraId="43A8A382">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备注</w:t>
            </w:r>
          </w:p>
        </w:tc>
      </w:tr>
      <w:tr w14:paraId="2928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493" w:type="dxa"/>
            <w:vAlign w:val="center"/>
          </w:tcPr>
          <w:p w14:paraId="3B3388C0">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主体工程</w:t>
            </w:r>
          </w:p>
        </w:tc>
        <w:tc>
          <w:tcPr>
            <w:tcW w:w="1452" w:type="dxa"/>
            <w:vAlign w:val="center"/>
          </w:tcPr>
          <w:p w14:paraId="3A4940D1">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整体</w:t>
            </w:r>
          </w:p>
        </w:tc>
        <w:tc>
          <w:tcPr>
            <w:tcW w:w="5288" w:type="dxa"/>
            <w:vAlign w:val="center"/>
          </w:tcPr>
          <w:p w14:paraId="369F152B">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生产车间面积为1910m</w:t>
            </w:r>
            <w:r>
              <w:rPr>
                <w:rFonts w:hint="default" w:ascii="Arial" w:hAnsi="Arial" w:eastAsia="宋体" w:cs="Arial"/>
                <w:kern w:val="0"/>
                <w:szCs w:val="21"/>
                <w:vertAlign w:val="superscript"/>
                <w:lang w:val="en-US" w:eastAsia="zh-CN"/>
              </w:rPr>
              <w:t>2</w:t>
            </w:r>
            <w:r>
              <w:rPr>
                <w:rFonts w:hint="default" w:ascii="Arial" w:hAnsi="Arial" w:eastAsia="宋体" w:cs="Arial"/>
                <w:kern w:val="0"/>
                <w:szCs w:val="21"/>
                <w:lang w:val="en-US" w:eastAsia="zh-CN"/>
              </w:rPr>
              <w:t>，共1层。车间包括下料区、机加工区、锻造区、拉齿区、磨削区、仓储区等区域。</w:t>
            </w:r>
          </w:p>
        </w:tc>
        <w:tc>
          <w:tcPr>
            <w:tcW w:w="704" w:type="dxa"/>
            <w:vAlign w:val="center"/>
          </w:tcPr>
          <w:p w14:paraId="0A5F0E4F">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依托</w:t>
            </w:r>
          </w:p>
        </w:tc>
      </w:tr>
      <w:tr w14:paraId="6560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restart"/>
            <w:vAlign w:val="center"/>
          </w:tcPr>
          <w:p w14:paraId="59E105D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公用工程</w:t>
            </w:r>
          </w:p>
        </w:tc>
        <w:tc>
          <w:tcPr>
            <w:tcW w:w="1452" w:type="dxa"/>
            <w:vAlign w:val="center"/>
          </w:tcPr>
          <w:p w14:paraId="18BE8A1F">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给水</w:t>
            </w:r>
          </w:p>
        </w:tc>
        <w:tc>
          <w:tcPr>
            <w:tcW w:w="5288" w:type="dxa"/>
            <w:vAlign w:val="center"/>
          </w:tcPr>
          <w:p w14:paraId="548CE10C">
            <w:pPr>
              <w:keepNext w:val="0"/>
              <w:keepLines w:val="0"/>
              <w:suppressLineNumbers w:val="0"/>
              <w:spacing w:before="0" w:beforeAutospacing="0" w:after="0" w:afterAutospacing="0"/>
              <w:ind w:left="0" w:right="0"/>
              <w:jc w:val="center"/>
              <w:rPr>
                <w:rFonts w:hint="eastAsia" w:ascii="Arial" w:hAnsi="Arial" w:eastAsia="宋体" w:cs="Arial"/>
                <w:kern w:val="0"/>
                <w:szCs w:val="21"/>
                <w:lang w:eastAsia="zh-CN"/>
              </w:rPr>
            </w:pPr>
            <w:r>
              <w:rPr>
                <w:rFonts w:hint="default" w:ascii="Arial" w:hAnsi="Arial" w:eastAsia="宋体" w:cs="Arial"/>
                <w:kern w:val="0"/>
                <w:szCs w:val="21"/>
              </w:rPr>
              <w:t>企业</w:t>
            </w:r>
            <w:r>
              <w:rPr>
                <w:rFonts w:hint="default" w:ascii="Arial" w:hAnsi="Arial" w:eastAsia="宋体" w:cs="Arial"/>
                <w:kern w:val="0"/>
                <w:szCs w:val="21"/>
                <w:lang w:val="en-US" w:eastAsia="zh-CN"/>
              </w:rPr>
              <w:t>依托</w:t>
            </w:r>
            <w:r>
              <w:rPr>
                <w:rFonts w:hint="eastAsia" w:ascii="Arial" w:hAnsi="Arial" w:eastAsia="宋体" w:cs="Arial"/>
                <w:kern w:val="0"/>
                <w:szCs w:val="21"/>
                <w:lang w:val="en-US" w:eastAsia="zh-CN"/>
              </w:rPr>
              <w:t>所在</w:t>
            </w:r>
            <w:r>
              <w:rPr>
                <w:rFonts w:hint="default" w:ascii="Arial" w:hAnsi="Arial" w:eastAsia="宋体" w:cs="Arial"/>
                <w:kern w:val="0"/>
                <w:szCs w:val="21"/>
                <w:lang w:val="en-US" w:eastAsia="zh-CN"/>
              </w:rPr>
              <w:t>厂区</w:t>
            </w:r>
            <w:r>
              <w:rPr>
                <w:rFonts w:hint="eastAsia" w:ascii="Arial" w:hAnsi="Arial" w:eastAsia="宋体" w:cs="Arial"/>
                <w:kern w:val="0"/>
                <w:szCs w:val="21"/>
                <w:lang w:val="en-US" w:eastAsia="zh-CN"/>
              </w:rPr>
              <w:t>现有</w:t>
            </w:r>
            <w:r>
              <w:rPr>
                <w:rFonts w:hint="default" w:ascii="Arial" w:hAnsi="Arial" w:eastAsia="宋体" w:cs="Arial"/>
                <w:kern w:val="0"/>
                <w:szCs w:val="21"/>
              </w:rPr>
              <w:t>给水系统，给水由市政给水管网供给</w:t>
            </w:r>
            <w:r>
              <w:rPr>
                <w:rFonts w:hint="eastAsia" w:ascii="Arial" w:hAnsi="Arial" w:eastAsia="宋体" w:cs="Arial"/>
                <w:kern w:val="0"/>
                <w:szCs w:val="21"/>
                <w:lang w:eastAsia="zh-CN"/>
              </w:rPr>
              <w:t>。</w:t>
            </w:r>
          </w:p>
        </w:tc>
        <w:tc>
          <w:tcPr>
            <w:tcW w:w="704" w:type="dxa"/>
            <w:vAlign w:val="center"/>
          </w:tcPr>
          <w:p w14:paraId="5326BFFE">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依托</w:t>
            </w:r>
          </w:p>
        </w:tc>
      </w:tr>
      <w:tr w14:paraId="3D8C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continue"/>
            <w:vAlign w:val="center"/>
          </w:tcPr>
          <w:p w14:paraId="239D45A2">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452" w:type="dxa"/>
            <w:vAlign w:val="center"/>
          </w:tcPr>
          <w:p w14:paraId="64E69B0F">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排水</w:t>
            </w:r>
          </w:p>
        </w:tc>
        <w:tc>
          <w:tcPr>
            <w:tcW w:w="5288" w:type="dxa"/>
            <w:vAlign w:val="center"/>
          </w:tcPr>
          <w:p w14:paraId="3E4EAD95">
            <w:pPr>
              <w:keepNext w:val="0"/>
              <w:keepLines w:val="0"/>
              <w:widowControl/>
              <w:suppressLineNumbers w:val="0"/>
              <w:spacing w:before="0" w:beforeAutospacing="0" w:after="0" w:afterAutospacing="0"/>
              <w:ind w:left="0" w:right="0"/>
              <w:jc w:val="center"/>
              <w:rPr>
                <w:rFonts w:hint="eastAsia" w:ascii="Arial" w:hAnsi="Arial" w:eastAsia="宋体" w:cs="Arial"/>
                <w:kern w:val="0"/>
                <w:szCs w:val="21"/>
                <w:lang w:eastAsia="zh-CN"/>
              </w:rPr>
            </w:pPr>
            <w:r>
              <w:rPr>
                <w:rFonts w:hint="default" w:ascii="Arial" w:hAnsi="Arial" w:eastAsia="宋体" w:cs="Arial"/>
                <w:kern w:val="0"/>
                <w:szCs w:val="21"/>
              </w:rPr>
              <w:t>企业</w:t>
            </w:r>
            <w:r>
              <w:rPr>
                <w:rFonts w:hint="default" w:ascii="Arial" w:hAnsi="Arial" w:eastAsia="宋体" w:cs="Arial"/>
                <w:kern w:val="0"/>
                <w:szCs w:val="21"/>
                <w:lang w:val="en-US" w:eastAsia="zh-CN"/>
              </w:rPr>
              <w:t>依托厂区</w:t>
            </w:r>
            <w:r>
              <w:rPr>
                <w:rFonts w:hint="default" w:ascii="Arial" w:hAnsi="Arial" w:eastAsia="宋体" w:cs="Arial"/>
                <w:kern w:val="0"/>
                <w:szCs w:val="21"/>
              </w:rPr>
              <w:t>排水系统，雨污分流制。生活污水处理达标后纳管排放</w:t>
            </w:r>
            <w:r>
              <w:rPr>
                <w:rFonts w:hint="eastAsia" w:ascii="Arial" w:hAnsi="Arial" w:eastAsia="宋体" w:cs="Arial"/>
                <w:kern w:val="0"/>
                <w:szCs w:val="21"/>
                <w:lang w:eastAsia="zh-CN"/>
              </w:rPr>
              <w:t>。</w:t>
            </w:r>
          </w:p>
        </w:tc>
        <w:tc>
          <w:tcPr>
            <w:tcW w:w="704" w:type="dxa"/>
            <w:vAlign w:val="center"/>
          </w:tcPr>
          <w:p w14:paraId="7F16EB86">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lang w:val="en-US" w:eastAsia="zh-CN"/>
              </w:rPr>
              <w:t>依托</w:t>
            </w:r>
          </w:p>
        </w:tc>
      </w:tr>
      <w:tr w14:paraId="6334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493" w:type="dxa"/>
            <w:vMerge w:val="continue"/>
            <w:vAlign w:val="center"/>
          </w:tcPr>
          <w:p w14:paraId="3D365F75">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452" w:type="dxa"/>
            <w:noWrap/>
            <w:vAlign w:val="center"/>
          </w:tcPr>
          <w:p w14:paraId="331C58AD">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供电</w:t>
            </w:r>
          </w:p>
        </w:tc>
        <w:tc>
          <w:tcPr>
            <w:tcW w:w="5288" w:type="dxa"/>
            <w:noWrap/>
            <w:vAlign w:val="center"/>
          </w:tcPr>
          <w:p w14:paraId="3567841F">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rPr>
              <w:t>项目用电由当地供电部门供电，厂区内电力线路</w:t>
            </w:r>
            <w:r>
              <w:rPr>
                <w:rFonts w:hint="default" w:ascii="Arial" w:hAnsi="Arial" w:eastAsia="宋体" w:cs="Arial"/>
                <w:kern w:val="0"/>
                <w:szCs w:val="21"/>
                <w:lang w:val="en-US" w:eastAsia="zh-CN"/>
              </w:rPr>
              <w:t>依托厂区电力线路</w:t>
            </w:r>
            <w:r>
              <w:rPr>
                <w:rFonts w:hint="eastAsia" w:ascii="Arial" w:hAnsi="Arial" w:eastAsia="宋体" w:cs="Arial"/>
                <w:kern w:val="0"/>
                <w:szCs w:val="21"/>
                <w:lang w:val="en-US" w:eastAsia="zh-CN"/>
              </w:rPr>
              <w:t>。</w:t>
            </w:r>
          </w:p>
        </w:tc>
        <w:tc>
          <w:tcPr>
            <w:tcW w:w="704" w:type="dxa"/>
            <w:vAlign w:val="center"/>
          </w:tcPr>
          <w:p w14:paraId="34F952A5">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lang w:val="en-US" w:eastAsia="zh-CN"/>
              </w:rPr>
              <w:t>依托</w:t>
            </w:r>
          </w:p>
        </w:tc>
      </w:tr>
      <w:tr w14:paraId="081E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restart"/>
            <w:vAlign w:val="center"/>
          </w:tcPr>
          <w:p w14:paraId="6992CA4B">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环保工程</w:t>
            </w:r>
          </w:p>
        </w:tc>
        <w:tc>
          <w:tcPr>
            <w:tcW w:w="1452" w:type="dxa"/>
            <w:vAlign w:val="center"/>
          </w:tcPr>
          <w:p w14:paraId="79052D1F">
            <w:pPr>
              <w:keepNext w:val="0"/>
              <w:keepLines w:val="0"/>
              <w:widowControl/>
              <w:suppressLineNumbers w:val="0"/>
              <w:spacing w:before="0" w:beforeAutospacing="0" w:after="0" w:afterAutospacing="0"/>
              <w:ind w:left="0" w:right="0"/>
              <w:jc w:val="center"/>
              <w:rPr>
                <w:rFonts w:hint="eastAsia" w:ascii="Arial" w:hAnsi="Arial" w:eastAsia="宋体" w:cs="Arial"/>
                <w:kern w:val="0"/>
                <w:szCs w:val="21"/>
                <w:lang w:val="en-US" w:eastAsia="zh-CN"/>
              </w:rPr>
            </w:pPr>
            <w:r>
              <w:rPr>
                <w:rFonts w:hint="eastAsia" w:ascii="Arial" w:hAnsi="Arial" w:eastAsia="宋体" w:cs="Arial"/>
                <w:kern w:val="0"/>
                <w:szCs w:val="21"/>
                <w:lang w:val="en-US" w:eastAsia="zh-CN"/>
              </w:rPr>
              <w:t>废气处理</w:t>
            </w:r>
          </w:p>
        </w:tc>
        <w:tc>
          <w:tcPr>
            <w:tcW w:w="5288" w:type="dxa"/>
            <w:vAlign w:val="center"/>
          </w:tcPr>
          <w:p w14:paraId="691E9A2F">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抛丸机密闭且与废气处理设备由管道直连，接入布袋除尘器</w:t>
            </w:r>
            <w:r>
              <w:rPr>
                <w:rFonts w:hint="eastAsia" w:ascii="Arial" w:hAnsi="Arial" w:eastAsia="宋体" w:cs="Arial"/>
                <w:kern w:val="0"/>
                <w:szCs w:val="21"/>
                <w:lang w:val="en-US" w:eastAsia="zh-CN"/>
              </w:rPr>
              <w:t>处理后经排气筒DA001排放</w:t>
            </w:r>
            <w:r>
              <w:rPr>
                <w:rFonts w:hint="default" w:ascii="Arial" w:hAnsi="Arial" w:eastAsia="宋体" w:cs="Arial"/>
                <w:kern w:val="0"/>
                <w:szCs w:val="21"/>
                <w:lang w:val="en-US" w:eastAsia="zh-CN"/>
              </w:rPr>
              <w:t>。</w:t>
            </w:r>
          </w:p>
          <w:p w14:paraId="1E150EBD">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加工中心、机床设备配备油雾净化器，密闭罩密闭收集，经配备的油雾净化器处理后车间内无组织排放</w:t>
            </w:r>
            <w:r>
              <w:rPr>
                <w:rFonts w:hint="eastAsia" w:ascii="Arial" w:hAnsi="Arial" w:eastAsia="宋体" w:cs="Arial"/>
                <w:kern w:val="0"/>
                <w:szCs w:val="21"/>
                <w:lang w:val="en-US" w:eastAsia="zh-CN"/>
              </w:rPr>
              <w:t>。</w:t>
            </w:r>
          </w:p>
        </w:tc>
        <w:tc>
          <w:tcPr>
            <w:tcW w:w="704" w:type="dxa"/>
            <w:vAlign w:val="center"/>
          </w:tcPr>
          <w:p w14:paraId="2A81EDB4">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p>
        </w:tc>
      </w:tr>
      <w:tr w14:paraId="2C58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continue"/>
            <w:vAlign w:val="center"/>
          </w:tcPr>
          <w:p w14:paraId="475FCFB2">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p>
        </w:tc>
        <w:tc>
          <w:tcPr>
            <w:tcW w:w="1452" w:type="dxa"/>
            <w:vAlign w:val="center"/>
          </w:tcPr>
          <w:p w14:paraId="7ECD7E5C">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废水处理</w:t>
            </w:r>
          </w:p>
        </w:tc>
        <w:tc>
          <w:tcPr>
            <w:tcW w:w="5288" w:type="dxa"/>
            <w:vAlign w:val="center"/>
          </w:tcPr>
          <w:p w14:paraId="6943585D">
            <w:pPr>
              <w:keepNext w:val="0"/>
              <w:keepLines w:val="0"/>
              <w:suppressLineNumbers w:val="0"/>
              <w:spacing w:before="0" w:beforeAutospacing="0" w:after="0" w:afterAutospacing="0"/>
              <w:ind w:left="0" w:right="0"/>
              <w:jc w:val="center"/>
              <w:rPr>
                <w:rFonts w:hint="eastAsia" w:ascii="Arial" w:hAnsi="Arial" w:eastAsia="宋体" w:cs="Arial"/>
                <w:kern w:val="0"/>
                <w:szCs w:val="21"/>
                <w:lang w:eastAsia="zh-CN"/>
              </w:rPr>
            </w:pPr>
            <w:r>
              <w:rPr>
                <w:rFonts w:hint="default" w:ascii="Arial" w:hAnsi="Arial" w:eastAsia="宋体" w:cs="Arial"/>
                <w:kern w:val="0"/>
                <w:szCs w:val="21"/>
                <w:lang w:val="en-US" w:eastAsia="zh-CN"/>
              </w:rPr>
              <w:t>清洗废水做危废委托有资质单位处置，不外排；</w:t>
            </w:r>
            <w:r>
              <w:rPr>
                <w:rFonts w:hint="default" w:ascii="Arial" w:hAnsi="Arial" w:eastAsia="宋体" w:cs="Arial"/>
                <w:kern w:val="0"/>
                <w:szCs w:val="21"/>
              </w:rPr>
              <w:t>生活污水经新建化粪池处理达标后纳管排放</w:t>
            </w:r>
            <w:r>
              <w:rPr>
                <w:rFonts w:hint="eastAsia" w:ascii="Arial" w:hAnsi="Arial" w:eastAsia="宋体" w:cs="Arial"/>
                <w:kern w:val="0"/>
                <w:szCs w:val="21"/>
                <w:lang w:eastAsia="zh-CN"/>
              </w:rPr>
              <w:t>。</w:t>
            </w:r>
          </w:p>
        </w:tc>
        <w:tc>
          <w:tcPr>
            <w:tcW w:w="704" w:type="dxa"/>
            <w:vAlign w:val="center"/>
          </w:tcPr>
          <w:p w14:paraId="31D9AB29">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新建</w:t>
            </w:r>
          </w:p>
        </w:tc>
      </w:tr>
      <w:tr w14:paraId="28FA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continue"/>
            <w:vAlign w:val="center"/>
          </w:tcPr>
          <w:p w14:paraId="3A219844">
            <w:pPr>
              <w:keepNext w:val="0"/>
              <w:keepLines w:val="0"/>
              <w:widowControl/>
              <w:suppressLineNumbers w:val="0"/>
              <w:spacing w:before="0" w:beforeAutospacing="0" w:after="0" w:afterAutospacing="0"/>
              <w:ind w:left="0" w:right="0"/>
              <w:jc w:val="left"/>
              <w:rPr>
                <w:rFonts w:hint="default" w:ascii="Arial" w:hAnsi="Arial" w:eastAsia="宋体" w:cs="Arial"/>
                <w:kern w:val="0"/>
                <w:szCs w:val="21"/>
              </w:rPr>
            </w:pPr>
          </w:p>
        </w:tc>
        <w:tc>
          <w:tcPr>
            <w:tcW w:w="1452" w:type="dxa"/>
            <w:vAlign w:val="center"/>
          </w:tcPr>
          <w:p w14:paraId="1B6F848E">
            <w:pPr>
              <w:keepNext w:val="0"/>
              <w:keepLines w:val="0"/>
              <w:suppressLineNumbers w:val="0"/>
              <w:spacing w:before="0" w:beforeAutospacing="0" w:after="0" w:afterAutospacing="0"/>
              <w:ind w:left="0" w:right="-108"/>
              <w:jc w:val="center"/>
              <w:rPr>
                <w:rFonts w:hint="default" w:ascii="Arial" w:hAnsi="Arial" w:eastAsia="宋体" w:cs="Arial"/>
                <w:kern w:val="0"/>
                <w:szCs w:val="21"/>
              </w:rPr>
            </w:pPr>
            <w:r>
              <w:rPr>
                <w:rFonts w:hint="default" w:ascii="Arial" w:hAnsi="Arial" w:eastAsia="宋体" w:cs="Arial"/>
                <w:kern w:val="0"/>
                <w:szCs w:val="21"/>
              </w:rPr>
              <w:t>降噪措施</w:t>
            </w:r>
          </w:p>
        </w:tc>
        <w:tc>
          <w:tcPr>
            <w:tcW w:w="5288" w:type="dxa"/>
            <w:vAlign w:val="center"/>
          </w:tcPr>
          <w:p w14:paraId="389A53BB">
            <w:pPr>
              <w:keepNext w:val="0"/>
              <w:keepLines w:val="0"/>
              <w:suppressLineNumbers w:val="0"/>
              <w:spacing w:before="0" w:beforeAutospacing="0" w:after="0" w:afterAutospacing="0"/>
              <w:ind w:left="0" w:right="0"/>
              <w:jc w:val="center"/>
              <w:rPr>
                <w:rFonts w:hint="eastAsia" w:ascii="Arial" w:hAnsi="Arial" w:eastAsia="宋体" w:cs="Arial"/>
                <w:kern w:val="0"/>
                <w:szCs w:val="21"/>
                <w:lang w:eastAsia="zh-CN"/>
              </w:rPr>
            </w:pPr>
            <w:r>
              <w:rPr>
                <w:rFonts w:hint="default" w:ascii="Arial" w:hAnsi="Arial" w:eastAsia="宋体" w:cs="Arial"/>
                <w:kern w:val="0"/>
                <w:szCs w:val="21"/>
              </w:rPr>
              <w:t>设备的减振、隔声降噪</w:t>
            </w:r>
            <w:r>
              <w:rPr>
                <w:rFonts w:hint="eastAsia" w:ascii="Arial" w:hAnsi="Arial" w:eastAsia="宋体" w:cs="Arial"/>
                <w:kern w:val="0"/>
                <w:szCs w:val="21"/>
                <w:lang w:eastAsia="zh-CN"/>
              </w:rPr>
              <w:t>。</w:t>
            </w:r>
          </w:p>
        </w:tc>
        <w:tc>
          <w:tcPr>
            <w:tcW w:w="704" w:type="dxa"/>
            <w:vAlign w:val="center"/>
          </w:tcPr>
          <w:p w14:paraId="5B66A762">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新建</w:t>
            </w:r>
          </w:p>
        </w:tc>
      </w:tr>
      <w:tr w14:paraId="5D3F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continue"/>
            <w:vAlign w:val="center"/>
          </w:tcPr>
          <w:p w14:paraId="69111921">
            <w:pPr>
              <w:keepNext w:val="0"/>
              <w:keepLines w:val="0"/>
              <w:widowControl/>
              <w:suppressLineNumbers w:val="0"/>
              <w:spacing w:before="0" w:beforeAutospacing="0" w:after="0" w:afterAutospacing="0"/>
              <w:ind w:left="0" w:right="0"/>
              <w:jc w:val="left"/>
              <w:rPr>
                <w:rFonts w:hint="default" w:ascii="Arial" w:hAnsi="Arial" w:eastAsia="宋体" w:cs="Arial"/>
                <w:kern w:val="0"/>
                <w:szCs w:val="21"/>
              </w:rPr>
            </w:pPr>
          </w:p>
        </w:tc>
        <w:tc>
          <w:tcPr>
            <w:tcW w:w="1452" w:type="dxa"/>
            <w:vAlign w:val="center"/>
          </w:tcPr>
          <w:p w14:paraId="59398AAD">
            <w:pPr>
              <w:keepNext w:val="0"/>
              <w:keepLines w:val="0"/>
              <w:suppressLineNumbers w:val="0"/>
              <w:spacing w:before="0" w:beforeAutospacing="0" w:after="0" w:afterAutospacing="0"/>
              <w:ind w:left="0" w:right="-108"/>
              <w:jc w:val="center"/>
              <w:rPr>
                <w:rFonts w:hint="default" w:ascii="Arial" w:hAnsi="Arial" w:eastAsia="宋体" w:cs="Arial"/>
                <w:kern w:val="0"/>
                <w:szCs w:val="21"/>
              </w:rPr>
            </w:pPr>
            <w:r>
              <w:rPr>
                <w:rFonts w:hint="default" w:ascii="Arial" w:hAnsi="Arial" w:eastAsia="宋体" w:cs="Arial"/>
                <w:kern w:val="0"/>
                <w:szCs w:val="21"/>
              </w:rPr>
              <w:t>固废处理</w:t>
            </w:r>
          </w:p>
        </w:tc>
        <w:tc>
          <w:tcPr>
            <w:tcW w:w="5288" w:type="dxa"/>
            <w:vAlign w:val="center"/>
          </w:tcPr>
          <w:p w14:paraId="6CAF025B">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rPr>
            </w:pPr>
            <w:r>
              <w:rPr>
                <w:rFonts w:hint="default" w:ascii="Arial" w:hAnsi="Arial" w:eastAsia="宋体" w:cs="Arial"/>
                <w:kern w:val="0"/>
                <w:szCs w:val="21"/>
              </w:rPr>
              <w:t>危废仓库</w:t>
            </w:r>
            <w:r>
              <w:rPr>
                <w:rFonts w:hint="default" w:ascii="Arial" w:hAnsi="Arial" w:eastAsia="宋体" w:cs="Arial"/>
                <w:kern w:val="0"/>
                <w:szCs w:val="21"/>
                <w:lang w:val="en-US" w:eastAsia="zh-CN"/>
              </w:rPr>
              <w:t>位于车间</w:t>
            </w:r>
            <w:r>
              <w:rPr>
                <w:rFonts w:hint="eastAsia" w:ascii="Arial" w:hAnsi="Arial" w:eastAsia="宋体" w:cs="Arial"/>
                <w:kern w:val="0"/>
                <w:szCs w:val="21"/>
                <w:lang w:val="en-US" w:eastAsia="zh-CN"/>
              </w:rPr>
              <w:t>东</w:t>
            </w:r>
            <w:r>
              <w:rPr>
                <w:rFonts w:hint="default" w:ascii="Arial" w:hAnsi="Arial" w:eastAsia="宋体" w:cs="Arial"/>
                <w:kern w:val="0"/>
                <w:szCs w:val="21"/>
                <w:lang w:val="en-US" w:eastAsia="zh-CN"/>
              </w:rPr>
              <w:t>北角，面积</w:t>
            </w:r>
            <w:r>
              <w:rPr>
                <w:rFonts w:hint="default" w:ascii="Arial" w:hAnsi="Arial" w:eastAsia="宋体" w:cs="Arial"/>
                <w:kern w:val="0"/>
                <w:szCs w:val="21"/>
              </w:rPr>
              <w:t>1</w:t>
            </w:r>
            <w:r>
              <w:rPr>
                <w:rFonts w:hint="default" w:ascii="Arial" w:hAnsi="Arial" w:eastAsia="宋体" w:cs="Arial"/>
                <w:kern w:val="0"/>
                <w:szCs w:val="21"/>
                <w:lang w:val="en-US" w:eastAsia="zh-CN"/>
              </w:rPr>
              <w:t>0</w:t>
            </w:r>
            <w:r>
              <w:rPr>
                <w:rFonts w:hint="default" w:ascii="Arial" w:hAnsi="Arial" w:eastAsia="宋体" w:cs="Arial"/>
                <w:kern w:val="0"/>
                <w:szCs w:val="21"/>
              </w:rPr>
              <w:t>m</w:t>
            </w:r>
            <w:r>
              <w:rPr>
                <w:rFonts w:hint="default" w:ascii="Arial" w:hAnsi="Arial" w:eastAsia="宋体" w:cs="Arial"/>
                <w:kern w:val="0"/>
                <w:szCs w:val="21"/>
                <w:vertAlign w:val="superscript"/>
              </w:rPr>
              <w:t>2</w:t>
            </w:r>
            <w:r>
              <w:rPr>
                <w:rFonts w:hint="default" w:ascii="Arial" w:hAnsi="Arial" w:eastAsia="宋体" w:cs="Arial"/>
                <w:kern w:val="0"/>
                <w:szCs w:val="21"/>
                <w:lang w:eastAsia="zh-CN"/>
              </w:rPr>
              <w:t>，</w:t>
            </w:r>
            <w:r>
              <w:rPr>
                <w:rFonts w:hint="default" w:ascii="Arial" w:hAnsi="Arial" w:eastAsia="宋体" w:cs="Arial"/>
                <w:kern w:val="0"/>
                <w:szCs w:val="21"/>
                <w:lang w:val="en-US" w:eastAsia="zh-CN"/>
              </w:rPr>
              <w:t>用于危险废物暂存；一般固废仓库位于车间</w:t>
            </w:r>
            <w:r>
              <w:rPr>
                <w:rFonts w:hint="eastAsia" w:ascii="Arial" w:hAnsi="Arial" w:eastAsia="宋体" w:cs="Arial"/>
                <w:kern w:val="0"/>
                <w:szCs w:val="21"/>
                <w:lang w:val="en-US" w:eastAsia="zh-CN"/>
              </w:rPr>
              <w:t>东</w:t>
            </w:r>
            <w:r>
              <w:rPr>
                <w:rFonts w:hint="default" w:ascii="Arial" w:hAnsi="Arial" w:eastAsia="宋体" w:cs="Arial"/>
                <w:kern w:val="0"/>
                <w:szCs w:val="21"/>
                <w:lang w:val="en-US" w:eastAsia="zh-CN"/>
              </w:rPr>
              <w:t>北角，面积20</w:t>
            </w:r>
            <w:r>
              <w:rPr>
                <w:rFonts w:hint="default" w:ascii="Arial" w:hAnsi="Arial" w:eastAsia="宋体" w:cs="Arial"/>
                <w:kern w:val="0"/>
                <w:szCs w:val="21"/>
              </w:rPr>
              <w:t>m</w:t>
            </w:r>
            <w:r>
              <w:rPr>
                <w:rFonts w:hint="default" w:ascii="Arial" w:hAnsi="Arial" w:eastAsia="宋体" w:cs="Arial"/>
                <w:kern w:val="0"/>
                <w:szCs w:val="21"/>
                <w:vertAlign w:val="superscript"/>
              </w:rPr>
              <w:t>2</w:t>
            </w:r>
            <w:r>
              <w:rPr>
                <w:rFonts w:hint="default" w:ascii="Arial" w:hAnsi="Arial" w:eastAsia="宋体" w:cs="Arial"/>
                <w:kern w:val="0"/>
                <w:szCs w:val="21"/>
                <w:lang w:eastAsia="zh-CN"/>
              </w:rPr>
              <w:t>，</w:t>
            </w:r>
            <w:r>
              <w:rPr>
                <w:rFonts w:hint="default" w:ascii="Arial" w:hAnsi="Arial" w:eastAsia="宋体" w:cs="Arial"/>
                <w:kern w:val="0"/>
                <w:szCs w:val="21"/>
                <w:lang w:val="en-US" w:eastAsia="zh-CN"/>
              </w:rPr>
              <w:t>用于一般固废暂存。</w:t>
            </w:r>
          </w:p>
        </w:tc>
        <w:tc>
          <w:tcPr>
            <w:tcW w:w="704" w:type="dxa"/>
            <w:vAlign w:val="center"/>
          </w:tcPr>
          <w:p w14:paraId="6446ACF9">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新建</w:t>
            </w:r>
          </w:p>
        </w:tc>
      </w:tr>
    </w:tbl>
    <w:p w14:paraId="1907382C">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430" w:leftChars="50" w:hanging="325"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项目产品方案</w:t>
      </w:r>
    </w:p>
    <w:p w14:paraId="76FC7DEA">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color w:val="000000" w:themeColor="text1"/>
          <w:sz w:val="24"/>
          <w:szCs w:val="24"/>
          <w:lang w:val="en-US" w:eastAsia="zh-CN"/>
          <w14:textFill>
            <w14:solidFill>
              <w14:schemeClr w14:val="tx1"/>
            </w14:solidFill>
          </w14:textFill>
        </w:rPr>
        <w:t>本次项目产品</w:t>
      </w:r>
      <w:r>
        <w:rPr>
          <w:rFonts w:hint="default" w:ascii="Arial" w:hAnsi="Arial" w:eastAsia="宋体" w:cs="Arial"/>
          <w:sz w:val="24"/>
          <w:szCs w:val="24"/>
          <w:lang w:val="en-US" w:eastAsia="zh-CN"/>
        </w:rPr>
        <w:t>包含GI三销轴、GI三销节、AAR三销轴、AAR三销节、差速器齿轮5类零件，具体</w:t>
      </w:r>
      <w:r>
        <w:rPr>
          <w:rFonts w:hint="default" w:ascii="Arial" w:hAnsi="Arial" w:eastAsia="宋体" w:cs="Arial"/>
          <w:sz w:val="24"/>
          <w:szCs w:val="24"/>
        </w:rPr>
        <w:t>产品方案如下表：</w:t>
      </w:r>
    </w:p>
    <w:p w14:paraId="2D7F0A7C">
      <w:pPr>
        <w:pStyle w:val="76"/>
        <w:numPr>
          <w:ilvl w:val="3"/>
          <w:numId w:val="5"/>
        </w:numPr>
        <w:ind w:left="777" w:leftChars="0" w:firstLine="482"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企业产品方案</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063"/>
        <w:gridCol w:w="2748"/>
        <w:gridCol w:w="2210"/>
        <w:gridCol w:w="1916"/>
      </w:tblGrid>
      <w:tr w14:paraId="1CF6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75788A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序号</w:t>
            </w:r>
          </w:p>
        </w:tc>
        <w:tc>
          <w:tcPr>
            <w:tcW w:w="2748" w:type="dxa"/>
            <w:tcMar>
              <w:left w:w="57" w:type="dxa"/>
              <w:right w:w="57" w:type="dxa"/>
            </w:tcMar>
            <w:vAlign w:val="center"/>
          </w:tcPr>
          <w:p w14:paraId="3FAF7C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产品名称</w:t>
            </w:r>
          </w:p>
        </w:tc>
        <w:tc>
          <w:tcPr>
            <w:tcW w:w="2210" w:type="dxa"/>
            <w:vAlign w:val="center"/>
          </w:tcPr>
          <w:p w14:paraId="0937D5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设计年产量</w:t>
            </w:r>
          </w:p>
        </w:tc>
        <w:tc>
          <w:tcPr>
            <w:tcW w:w="1916" w:type="dxa"/>
            <w:vAlign w:val="center"/>
          </w:tcPr>
          <w:p w14:paraId="30CB1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储运方式</w:t>
            </w:r>
          </w:p>
        </w:tc>
      </w:tr>
      <w:tr w14:paraId="61D1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490EA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w:t>
            </w:r>
          </w:p>
        </w:tc>
        <w:tc>
          <w:tcPr>
            <w:tcW w:w="2748" w:type="dxa"/>
            <w:shd w:val="clear" w:color="auto" w:fill="auto"/>
            <w:tcMar>
              <w:left w:w="57" w:type="dxa"/>
              <w:right w:w="57" w:type="dxa"/>
            </w:tcMar>
            <w:vAlign w:val="center"/>
          </w:tcPr>
          <w:p w14:paraId="2601B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GI三销轴</w:t>
            </w:r>
          </w:p>
        </w:tc>
        <w:tc>
          <w:tcPr>
            <w:tcW w:w="2210" w:type="dxa"/>
            <w:vAlign w:val="center"/>
          </w:tcPr>
          <w:p w14:paraId="455A4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100万只</w:t>
            </w:r>
          </w:p>
        </w:tc>
        <w:tc>
          <w:tcPr>
            <w:tcW w:w="1916" w:type="dxa"/>
            <w:vAlign w:val="center"/>
          </w:tcPr>
          <w:p w14:paraId="2E7F74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65E5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665AA9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w:t>
            </w:r>
          </w:p>
        </w:tc>
        <w:tc>
          <w:tcPr>
            <w:tcW w:w="2748" w:type="dxa"/>
            <w:shd w:val="clear" w:color="auto" w:fill="auto"/>
            <w:tcMar>
              <w:left w:w="57" w:type="dxa"/>
              <w:right w:w="57" w:type="dxa"/>
            </w:tcMar>
            <w:vAlign w:val="center"/>
          </w:tcPr>
          <w:p w14:paraId="3A95A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GI三销节</w:t>
            </w:r>
          </w:p>
        </w:tc>
        <w:tc>
          <w:tcPr>
            <w:tcW w:w="2210" w:type="dxa"/>
            <w:vAlign w:val="center"/>
          </w:tcPr>
          <w:p w14:paraId="470F4B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300万只</w:t>
            </w:r>
          </w:p>
        </w:tc>
        <w:tc>
          <w:tcPr>
            <w:tcW w:w="1916" w:type="dxa"/>
            <w:vAlign w:val="center"/>
          </w:tcPr>
          <w:p w14:paraId="65962A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146B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11AA0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3</w:t>
            </w:r>
          </w:p>
        </w:tc>
        <w:tc>
          <w:tcPr>
            <w:tcW w:w="2748" w:type="dxa"/>
            <w:shd w:val="clear" w:color="auto" w:fill="auto"/>
            <w:tcMar>
              <w:left w:w="57" w:type="dxa"/>
              <w:right w:w="57" w:type="dxa"/>
            </w:tcMar>
            <w:vAlign w:val="center"/>
          </w:tcPr>
          <w:p w14:paraId="2CC015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AAR三销轴</w:t>
            </w:r>
          </w:p>
        </w:tc>
        <w:tc>
          <w:tcPr>
            <w:tcW w:w="2210" w:type="dxa"/>
            <w:vAlign w:val="center"/>
          </w:tcPr>
          <w:p w14:paraId="2388BD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100万只</w:t>
            </w:r>
          </w:p>
        </w:tc>
        <w:tc>
          <w:tcPr>
            <w:tcW w:w="1916" w:type="dxa"/>
            <w:vAlign w:val="center"/>
          </w:tcPr>
          <w:p w14:paraId="6AE843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74A3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31547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4</w:t>
            </w:r>
          </w:p>
        </w:tc>
        <w:tc>
          <w:tcPr>
            <w:tcW w:w="2748" w:type="dxa"/>
            <w:shd w:val="clear" w:color="auto" w:fill="auto"/>
            <w:tcMar>
              <w:left w:w="57" w:type="dxa"/>
              <w:right w:w="57" w:type="dxa"/>
            </w:tcMar>
            <w:vAlign w:val="center"/>
          </w:tcPr>
          <w:p w14:paraId="19F65E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AAR三销节</w:t>
            </w:r>
          </w:p>
        </w:tc>
        <w:tc>
          <w:tcPr>
            <w:tcW w:w="2210" w:type="dxa"/>
            <w:vAlign w:val="center"/>
          </w:tcPr>
          <w:p w14:paraId="7FBD3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300万只</w:t>
            </w:r>
          </w:p>
        </w:tc>
        <w:tc>
          <w:tcPr>
            <w:tcW w:w="1916" w:type="dxa"/>
            <w:vAlign w:val="center"/>
          </w:tcPr>
          <w:p w14:paraId="4B8CE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1774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4C8346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5</w:t>
            </w:r>
          </w:p>
        </w:tc>
        <w:tc>
          <w:tcPr>
            <w:tcW w:w="2748" w:type="dxa"/>
            <w:shd w:val="clear" w:color="auto" w:fill="auto"/>
            <w:tcMar>
              <w:left w:w="57" w:type="dxa"/>
              <w:right w:w="57" w:type="dxa"/>
            </w:tcMar>
            <w:vAlign w:val="center"/>
          </w:tcPr>
          <w:p w14:paraId="6E0C4E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差速器齿轮</w:t>
            </w:r>
          </w:p>
        </w:tc>
        <w:tc>
          <w:tcPr>
            <w:tcW w:w="2210" w:type="dxa"/>
            <w:vAlign w:val="center"/>
          </w:tcPr>
          <w:p w14:paraId="354DF9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2</w:t>
            </w:r>
            <w:r>
              <w:rPr>
                <w:rFonts w:hint="default" w:ascii="Arial" w:hAnsi="Arial" w:eastAsia="宋体" w:cs="Arial"/>
                <w:color w:val="000000" w:themeColor="text1"/>
                <w:sz w:val="21"/>
                <w:szCs w:val="21"/>
                <w14:textFill>
                  <w14:solidFill>
                    <w14:schemeClr w14:val="tx1"/>
                  </w14:solidFill>
                </w14:textFill>
              </w:rPr>
              <w:t>00万只</w:t>
            </w:r>
          </w:p>
        </w:tc>
        <w:tc>
          <w:tcPr>
            <w:tcW w:w="1916" w:type="dxa"/>
            <w:vAlign w:val="center"/>
          </w:tcPr>
          <w:p w14:paraId="0C94D4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0197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3811" w:type="dxa"/>
            <w:gridSpan w:val="2"/>
            <w:tcMar>
              <w:left w:w="57" w:type="dxa"/>
              <w:right w:w="57" w:type="dxa"/>
            </w:tcMar>
            <w:vAlign w:val="center"/>
          </w:tcPr>
          <w:p w14:paraId="39F353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合计</w:t>
            </w:r>
          </w:p>
        </w:tc>
        <w:tc>
          <w:tcPr>
            <w:tcW w:w="2210" w:type="dxa"/>
            <w:vAlign w:val="center"/>
          </w:tcPr>
          <w:p w14:paraId="413CBE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1000万只</w:t>
            </w:r>
          </w:p>
        </w:tc>
        <w:tc>
          <w:tcPr>
            <w:tcW w:w="1916" w:type="dxa"/>
            <w:vAlign w:val="center"/>
          </w:tcPr>
          <w:p w14:paraId="7A5031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w:t>
            </w:r>
          </w:p>
        </w:tc>
      </w:tr>
    </w:tbl>
    <w:p w14:paraId="5C2A52A6">
      <w:pPr>
        <w:pStyle w:val="76"/>
        <w:numPr>
          <w:ilvl w:val="2"/>
          <w:numId w:val="5"/>
        </w:numPr>
        <w:spacing w:line="360" w:lineRule="auto"/>
        <w:ind w:left="535" w:leftChars="0" w:hanging="325" w:firstLineChars="0"/>
        <w:outlineLvl w:val="2"/>
        <w:rPr>
          <w:rFonts w:hint="default" w:ascii="Arial" w:hAnsi="Arial" w:eastAsia="宋体" w:cs="Arial"/>
          <w:b/>
          <w:bCs/>
          <w:sz w:val="24"/>
          <w:szCs w:val="24"/>
        </w:rPr>
      </w:pPr>
      <w:r>
        <w:rPr>
          <w:rFonts w:hint="default" w:ascii="Arial" w:hAnsi="Arial" w:eastAsia="宋体" w:cs="Arial"/>
          <w:b/>
          <w:bCs/>
          <w:sz w:val="24"/>
          <w:szCs w:val="24"/>
        </w:rPr>
        <w:t>原辅材料消耗</w:t>
      </w:r>
    </w:p>
    <w:p w14:paraId="27C32C8C">
      <w:pPr>
        <w:pStyle w:val="76"/>
        <w:widowControl/>
        <w:spacing w:line="360" w:lineRule="auto"/>
        <w:ind w:left="567"/>
        <w:contextualSpacing/>
        <w:rPr>
          <w:rFonts w:hint="default" w:ascii="Arial" w:hAnsi="Arial" w:eastAsia="宋体" w:cs="Arial"/>
          <w:sz w:val="24"/>
          <w:szCs w:val="24"/>
        </w:rPr>
      </w:pPr>
      <w:r>
        <w:rPr>
          <w:rFonts w:hint="default" w:ascii="Arial" w:hAnsi="Arial" w:eastAsia="宋体" w:cs="Arial"/>
          <w:sz w:val="24"/>
          <w:szCs w:val="24"/>
        </w:rPr>
        <w:t>本项目建设后主要原辅料及消耗量见表2-</w:t>
      </w:r>
      <w:r>
        <w:rPr>
          <w:rFonts w:hint="eastAsia" w:ascii="Arial" w:hAnsi="Arial" w:eastAsia="宋体" w:cs="Arial"/>
          <w:sz w:val="24"/>
          <w:szCs w:val="24"/>
          <w:lang w:val="en-US" w:eastAsia="zh-CN"/>
        </w:rPr>
        <w:t>3</w:t>
      </w:r>
      <w:r>
        <w:rPr>
          <w:rFonts w:hint="default" w:ascii="Arial" w:hAnsi="Arial" w:eastAsia="宋体" w:cs="Arial"/>
          <w:sz w:val="24"/>
          <w:szCs w:val="24"/>
        </w:rPr>
        <w:t>。</w:t>
      </w:r>
    </w:p>
    <w:p w14:paraId="419F10CA">
      <w:pPr>
        <w:pStyle w:val="76"/>
        <w:numPr>
          <w:ilvl w:val="3"/>
          <w:numId w:val="5"/>
        </w:numPr>
        <w:ind w:left="777" w:leftChars="0" w:firstLineChars="0"/>
        <w:jc w:val="center"/>
        <w:outlineLvl w:val="3"/>
        <w:rPr>
          <w:rFonts w:hint="default" w:ascii="Arial" w:hAnsi="Arial" w:eastAsia="宋体" w:cs="Arial"/>
          <w:b/>
          <w:bCs/>
          <w:sz w:val="24"/>
          <w:szCs w:val="24"/>
        </w:rPr>
      </w:pPr>
      <w:bookmarkStart w:id="1" w:name="_Hlk129172656"/>
      <w:r>
        <w:rPr>
          <w:rFonts w:hint="default" w:ascii="Arial" w:hAnsi="Arial" w:eastAsia="宋体" w:cs="Arial"/>
          <w:b/>
          <w:bCs/>
          <w:sz w:val="24"/>
          <w:szCs w:val="24"/>
        </w:rPr>
        <w:t xml:space="preserve">  建设项目建设后主要原辅材料一览表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288"/>
        <w:gridCol w:w="1507"/>
        <w:gridCol w:w="1787"/>
        <w:gridCol w:w="1652"/>
      </w:tblGrid>
      <w:tr w14:paraId="288C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3B8CDEE4">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bookmarkStart w:id="2" w:name="_Hlk129172755"/>
            <w:r>
              <w:rPr>
                <w:rFonts w:hint="default" w:ascii="Arial" w:hAnsi="Arial" w:eastAsia="宋体" w:cs="Arial"/>
                <w:kern w:val="0"/>
                <w:szCs w:val="21"/>
              </w:rPr>
              <w:t>序号</w:t>
            </w:r>
          </w:p>
        </w:tc>
        <w:tc>
          <w:tcPr>
            <w:tcW w:w="2288" w:type="dxa"/>
            <w:vAlign w:val="center"/>
          </w:tcPr>
          <w:p w14:paraId="6F2310AC">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名称</w:t>
            </w:r>
          </w:p>
        </w:tc>
        <w:tc>
          <w:tcPr>
            <w:tcW w:w="1507" w:type="dxa"/>
            <w:vAlign w:val="center"/>
          </w:tcPr>
          <w:p w14:paraId="57BFBB68">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规格</w:t>
            </w:r>
          </w:p>
        </w:tc>
        <w:tc>
          <w:tcPr>
            <w:tcW w:w="1787" w:type="dxa"/>
            <w:vAlign w:val="center"/>
          </w:tcPr>
          <w:p w14:paraId="49D94A8B">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最大储存量</w:t>
            </w:r>
          </w:p>
        </w:tc>
        <w:tc>
          <w:tcPr>
            <w:tcW w:w="1652" w:type="dxa"/>
            <w:vAlign w:val="center"/>
          </w:tcPr>
          <w:p w14:paraId="322DBE0B">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eastAsia="zh-CN"/>
              </w:rPr>
            </w:pPr>
            <w:r>
              <w:rPr>
                <w:rFonts w:hint="default" w:ascii="Arial" w:hAnsi="Arial" w:eastAsia="宋体" w:cs="Arial"/>
                <w:kern w:val="0"/>
                <w:szCs w:val="21"/>
              </w:rPr>
              <w:t>用量</w:t>
            </w:r>
          </w:p>
        </w:tc>
      </w:tr>
      <w:tr w14:paraId="08AB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007CD3DD">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1</w:t>
            </w:r>
          </w:p>
        </w:tc>
        <w:tc>
          <w:tcPr>
            <w:tcW w:w="2288" w:type="dxa"/>
            <w:shd w:val="clear" w:color="auto" w:fill="auto"/>
            <w:vAlign w:val="center"/>
          </w:tcPr>
          <w:p w14:paraId="0EE58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圆钢棒料</w:t>
            </w:r>
          </w:p>
        </w:tc>
        <w:tc>
          <w:tcPr>
            <w:tcW w:w="1507" w:type="dxa"/>
            <w:shd w:val="clear" w:color="auto" w:fill="auto"/>
            <w:vAlign w:val="center"/>
          </w:tcPr>
          <w:p w14:paraId="783D5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ɸ25~ ɸ40</w:t>
            </w:r>
          </w:p>
        </w:tc>
        <w:tc>
          <w:tcPr>
            <w:tcW w:w="1787" w:type="dxa"/>
            <w:vAlign w:val="center"/>
          </w:tcPr>
          <w:p w14:paraId="6A86DA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400t</w:t>
            </w:r>
          </w:p>
        </w:tc>
        <w:tc>
          <w:tcPr>
            <w:tcW w:w="1652" w:type="dxa"/>
            <w:shd w:val="clear" w:color="auto" w:fill="auto"/>
            <w:vAlign w:val="center"/>
          </w:tcPr>
          <w:p w14:paraId="2B3D8E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4</w:t>
            </w:r>
            <w:r>
              <w:rPr>
                <w:rFonts w:hint="eastAsia" w:ascii="Arial" w:hAnsi="Arial" w:eastAsia="宋体" w:cs="Arial"/>
                <w:color w:val="000000" w:themeColor="text1"/>
                <w:sz w:val="21"/>
                <w:szCs w:val="21"/>
                <w:lang w:val="en-US" w:eastAsia="zh-CN"/>
                <w14:textFill>
                  <w14:solidFill>
                    <w14:schemeClr w14:val="tx1"/>
                  </w14:solidFill>
                </w14:textFill>
              </w:rPr>
              <w:t>360</w:t>
            </w:r>
            <w:r>
              <w:rPr>
                <w:rFonts w:hint="default" w:ascii="Arial" w:hAnsi="Arial" w:eastAsia="宋体" w:cs="Arial"/>
                <w:color w:val="000000" w:themeColor="text1"/>
                <w:sz w:val="21"/>
                <w:szCs w:val="21"/>
                <w:lang w:val="en-US" w:eastAsia="zh-CN"/>
                <w14:textFill>
                  <w14:solidFill>
                    <w14:schemeClr w14:val="tx1"/>
                  </w14:solidFill>
                </w14:textFill>
              </w:rPr>
              <w:t>t/a</w:t>
            </w:r>
          </w:p>
        </w:tc>
      </w:tr>
      <w:tr w14:paraId="1C04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0B5A7B5C">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2</w:t>
            </w:r>
          </w:p>
        </w:tc>
        <w:tc>
          <w:tcPr>
            <w:tcW w:w="2288" w:type="dxa"/>
            <w:shd w:val="clear" w:color="auto" w:fill="auto"/>
            <w:vAlign w:val="center"/>
          </w:tcPr>
          <w:p w14:paraId="04C2C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轴环</w:t>
            </w:r>
          </w:p>
        </w:tc>
        <w:tc>
          <w:tcPr>
            <w:tcW w:w="1507" w:type="dxa"/>
            <w:shd w:val="clear" w:color="auto" w:fill="auto"/>
            <w:vAlign w:val="center"/>
          </w:tcPr>
          <w:p w14:paraId="4A6F81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ɸ25~ ɸ40</w:t>
            </w:r>
          </w:p>
        </w:tc>
        <w:tc>
          <w:tcPr>
            <w:tcW w:w="1787" w:type="dxa"/>
            <w:vAlign w:val="center"/>
          </w:tcPr>
          <w:p w14:paraId="0F503E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500万只</w:t>
            </w:r>
          </w:p>
        </w:tc>
        <w:tc>
          <w:tcPr>
            <w:tcW w:w="1652" w:type="dxa"/>
            <w:shd w:val="clear" w:color="auto" w:fill="auto"/>
            <w:vAlign w:val="center"/>
          </w:tcPr>
          <w:p w14:paraId="587499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1800万只</w:t>
            </w:r>
          </w:p>
        </w:tc>
      </w:tr>
      <w:tr w14:paraId="3562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2732456A">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3</w:t>
            </w:r>
          </w:p>
        </w:tc>
        <w:tc>
          <w:tcPr>
            <w:tcW w:w="2288" w:type="dxa"/>
            <w:shd w:val="clear" w:color="auto" w:fill="auto"/>
            <w:vAlign w:val="center"/>
          </w:tcPr>
          <w:p w14:paraId="5C7FA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滚针</w:t>
            </w:r>
          </w:p>
        </w:tc>
        <w:tc>
          <w:tcPr>
            <w:tcW w:w="1507" w:type="dxa"/>
            <w:shd w:val="clear" w:color="auto" w:fill="auto"/>
            <w:vAlign w:val="center"/>
          </w:tcPr>
          <w:p w14:paraId="310C25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ɸ1.5~ ɸ2.5</w:t>
            </w:r>
          </w:p>
        </w:tc>
        <w:tc>
          <w:tcPr>
            <w:tcW w:w="1787" w:type="dxa"/>
            <w:vAlign w:val="center"/>
          </w:tcPr>
          <w:p w14:paraId="48C95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5000万只</w:t>
            </w:r>
          </w:p>
        </w:tc>
        <w:tc>
          <w:tcPr>
            <w:tcW w:w="1652" w:type="dxa"/>
            <w:shd w:val="clear" w:color="auto" w:fill="auto"/>
            <w:vAlign w:val="center"/>
          </w:tcPr>
          <w:p w14:paraId="67397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45000万根</w:t>
            </w:r>
          </w:p>
        </w:tc>
      </w:tr>
      <w:tr w14:paraId="2D70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3FCA923E">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4</w:t>
            </w:r>
          </w:p>
        </w:tc>
        <w:tc>
          <w:tcPr>
            <w:tcW w:w="2288" w:type="dxa"/>
            <w:shd w:val="clear" w:color="auto" w:fill="auto"/>
            <w:vAlign w:val="center"/>
          </w:tcPr>
          <w:p w14:paraId="7EF90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锁紧环</w:t>
            </w:r>
          </w:p>
        </w:tc>
        <w:tc>
          <w:tcPr>
            <w:tcW w:w="1507" w:type="dxa"/>
            <w:shd w:val="clear" w:color="auto" w:fill="auto"/>
            <w:vAlign w:val="center"/>
          </w:tcPr>
          <w:p w14:paraId="574FA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ɸ25~ ɸ40</w:t>
            </w:r>
          </w:p>
        </w:tc>
        <w:tc>
          <w:tcPr>
            <w:tcW w:w="1787" w:type="dxa"/>
            <w:vAlign w:val="center"/>
          </w:tcPr>
          <w:p w14:paraId="578CA6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500万只</w:t>
            </w:r>
          </w:p>
        </w:tc>
        <w:tc>
          <w:tcPr>
            <w:tcW w:w="1652" w:type="dxa"/>
            <w:shd w:val="clear" w:color="auto" w:fill="auto"/>
            <w:vAlign w:val="center"/>
          </w:tcPr>
          <w:p w14:paraId="32E6B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1800万只</w:t>
            </w:r>
          </w:p>
        </w:tc>
      </w:tr>
      <w:tr w14:paraId="3623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6EB0FB76">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5</w:t>
            </w:r>
          </w:p>
        </w:tc>
        <w:tc>
          <w:tcPr>
            <w:tcW w:w="2288" w:type="dxa"/>
            <w:shd w:val="clear" w:color="auto" w:fill="auto"/>
            <w:vAlign w:val="center"/>
          </w:tcPr>
          <w:p w14:paraId="77F6F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高分子润滑剂</w:t>
            </w:r>
          </w:p>
        </w:tc>
        <w:tc>
          <w:tcPr>
            <w:tcW w:w="1507" w:type="dxa"/>
            <w:shd w:val="clear" w:color="auto" w:fill="auto"/>
            <w:vAlign w:val="center"/>
          </w:tcPr>
          <w:p w14:paraId="1B74C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50L/桶</w:t>
            </w:r>
          </w:p>
        </w:tc>
        <w:tc>
          <w:tcPr>
            <w:tcW w:w="1787" w:type="dxa"/>
            <w:vAlign w:val="center"/>
          </w:tcPr>
          <w:p w14:paraId="2DC14E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250L</w:t>
            </w:r>
          </w:p>
        </w:tc>
        <w:tc>
          <w:tcPr>
            <w:tcW w:w="1652" w:type="dxa"/>
            <w:shd w:val="clear" w:color="auto" w:fill="auto"/>
            <w:vAlign w:val="center"/>
          </w:tcPr>
          <w:p w14:paraId="24DA4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2000L</w:t>
            </w:r>
          </w:p>
        </w:tc>
      </w:tr>
      <w:tr w14:paraId="6528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2E392158">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6</w:t>
            </w:r>
          </w:p>
        </w:tc>
        <w:tc>
          <w:tcPr>
            <w:tcW w:w="2288" w:type="dxa"/>
            <w:shd w:val="clear" w:color="auto" w:fill="auto"/>
            <w:vAlign w:val="center"/>
          </w:tcPr>
          <w:p w14:paraId="790CA8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切削液</w:t>
            </w:r>
          </w:p>
        </w:tc>
        <w:tc>
          <w:tcPr>
            <w:tcW w:w="1507" w:type="dxa"/>
            <w:shd w:val="clear" w:color="auto" w:fill="auto"/>
            <w:vAlign w:val="center"/>
          </w:tcPr>
          <w:p w14:paraId="648B9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200L/桶</w:t>
            </w:r>
          </w:p>
        </w:tc>
        <w:tc>
          <w:tcPr>
            <w:tcW w:w="1787" w:type="dxa"/>
            <w:vAlign w:val="center"/>
          </w:tcPr>
          <w:p w14:paraId="6B8AA8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400L</w:t>
            </w:r>
          </w:p>
        </w:tc>
        <w:tc>
          <w:tcPr>
            <w:tcW w:w="1652" w:type="dxa"/>
            <w:shd w:val="clear" w:color="auto" w:fill="auto"/>
            <w:vAlign w:val="center"/>
          </w:tcPr>
          <w:p w14:paraId="0B8CAD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1.079t/a</w:t>
            </w:r>
          </w:p>
        </w:tc>
      </w:tr>
      <w:tr w14:paraId="36F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shd w:val="clear" w:color="auto" w:fill="auto"/>
            <w:vAlign w:val="center"/>
          </w:tcPr>
          <w:p w14:paraId="3E386F3E">
            <w:pPr>
              <w:keepNext w:val="0"/>
              <w:keepLines w:val="0"/>
              <w:widowControl/>
              <w:suppressLineNumbers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lang w:val="en-US" w:eastAsia="zh-CN"/>
              </w:rPr>
              <w:t>7</w:t>
            </w:r>
          </w:p>
        </w:tc>
        <w:tc>
          <w:tcPr>
            <w:tcW w:w="2288" w:type="dxa"/>
            <w:shd w:val="clear" w:color="auto" w:fill="auto"/>
            <w:vAlign w:val="center"/>
          </w:tcPr>
          <w:p w14:paraId="36C45D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液压油</w:t>
            </w:r>
          </w:p>
        </w:tc>
        <w:tc>
          <w:tcPr>
            <w:tcW w:w="1507" w:type="dxa"/>
            <w:shd w:val="clear" w:color="auto" w:fill="auto"/>
            <w:vAlign w:val="center"/>
          </w:tcPr>
          <w:p w14:paraId="6B4CA8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200L/桶</w:t>
            </w:r>
          </w:p>
        </w:tc>
        <w:tc>
          <w:tcPr>
            <w:tcW w:w="1787" w:type="dxa"/>
            <w:shd w:val="clear" w:color="auto" w:fill="auto"/>
            <w:vAlign w:val="center"/>
          </w:tcPr>
          <w:p w14:paraId="7C906E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400L</w:t>
            </w:r>
          </w:p>
        </w:tc>
        <w:tc>
          <w:tcPr>
            <w:tcW w:w="1652" w:type="dxa"/>
            <w:shd w:val="clear" w:color="auto" w:fill="auto"/>
            <w:vAlign w:val="center"/>
          </w:tcPr>
          <w:p w14:paraId="25003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800L</w:t>
            </w:r>
          </w:p>
        </w:tc>
      </w:tr>
      <w:tr w14:paraId="3C32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644AFB82">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8</w:t>
            </w:r>
          </w:p>
        </w:tc>
        <w:tc>
          <w:tcPr>
            <w:tcW w:w="2288" w:type="dxa"/>
            <w:shd w:val="clear" w:color="auto" w:fill="auto"/>
            <w:vAlign w:val="center"/>
          </w:tcPr>
          <w:p w14:paraId="21AF3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szCs w:val="21"/>
                <w:lang w:val="en-US" w:eastAsia="zh-CN"/>
              </w:rPr>
              <w:t>FC-D5400（脱脂剂）</w:t>
            </w:r>
          </w:p>
        </w:tc>
        <w:tc>
          <w:tcPr>
            <w:tcW w:w="1507" w:type="dxa"/>
            <w:shd w:val="clear" w:color="auto" w:fill="auto"/>
            <w:vAlign w:val="center"/>
          </w:tcPr>
          <w:p w14:paraId="0B1279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25L/桶</w:t>
            </w:r>
          </w:p>
        </w:tc>
        <w:tc>
          <w:tcPr>
            <w:tcW w:w="1787" w:type="dxa"/>
            <w:shd w:val="clear" w:color="auto" w:fill="auto"/>
            <w:vAlign w:val="center"/>
          </w:tcPr>
          <w:p w14:paraId="5A8C86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100</w:t>
            </w:r>
            <w:r>
              <w:rPr>
                <w:rFonts w:hint="default" w:ascii="Arial" w:hAnsi="Arial" w:eastAsia="宋体" w:cs="Arial"/>
                <w:color w:val="000000" w:themeColor="text1"/>
                <w:sz w:val="21"/>
                <w:szCs w:val="21"/>
                <w:lang w:val="en-US" w:eastAsia="zh-CN"/>
                <w14:textFill>
                  <w14:solidFill>
                    <w14:schemeClr w14:val="tx1"/>
                  </w14:solidFill>
                </w14:textFill>
              </w:rPr>
              <w:t>L</w:t>
            </w:r>
          </w:p>
        </w:tc>
        <w:tc>
          <w:tcPr>
            <w:tcW w:w="1652" w:type="dxa"/>
            <w:shd w:val="clear" w:color="auto" w:fill="auto"/>
            <w:vAlign w:val="center"/>
          </w:tcPr>
          <w:p w14:paraId="58E238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450</w:t>
            </w:r>
            <w:r>
              <w:rPr>
                <w:rFonts w:hint="default" w:ascii="Arial" w:hAnsi="Arial" w:eastAsia="宋体" w:cs="Arial"/>
                <w:color w:val="000000" w:themeColor="text1"/>
                <w:sz w:val="21"/>
                <w:szCs w:val="21"/>
                <w:lang w:val="en-US" w:eastAsia="zh-CN"/>
                <w14:textFill>
                  <w14:solidFill>
                    <w14:schemeClr w14:val="tx1"/>
                  </w14:solidFill>
                </w14:textFill>
              </w:rPr>
              <w:t>L</w:t>
            </w:r>
          </w:p>
        </w:tc>
      </w:tr>
      <w:tr w14:paraId="4A51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5366549F">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9</w:t>
            </w:r>
          </w:p>
        </w:tc>
        <w:tc>
          <w:tcPr>
            <w:tcW w:w="2288" w:type="dxa"/>
            <w:shd w:val="clear" w:color="auto" w:fill="auto"/>
            <w:vAlign w:val="center"/>
          </w:tcPr>
          <w:p w14:paraId="70908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szCs w:val="21"/>
                <w:lang w:val="en-US" w:eastAsia="zh-CN"/>
              </w:rPr>
              <w:t>FL-E930（皂化剂）</w:t>
            </w:r>
          </w:p>
        </w:tc>
        <w:tc>
          <w:tcPr>
            <w:tcW w:w="1507" w:type="dxa"/>
            <w:shd w:val="clear" w:color="auto" w:fill="auto"/>
            <w:vAlign w:val="center"/>
          </w:tcPr>
          <w:p w14:paraId="1327C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25L/桶</w:t>
            </w:r>
          </w:p>
        </w:tc>
        <w:tc>
          <w:tcPr>
            <w:tcW w:w="1787" w:type="dxa"/>
            <w:shd w:val="clear" w:color="auto" w:fill="auto"/>
            <w:vAlign w:val="center"/>
          </w:tcPr>
          <w:p w14:paraId="3E13E4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100</w:t>
            </w:r>
          </w:p>
        </w:tc>
        <w:tc>
          <w:tcPr>
            <w:tcW w:w="1652" w:type="dxa"/>
            <w:shd w:val="clear" w:color="auto" w:fill="auto"/>
            <w:vAlign w:val="center"/>
          </w:tcPr>
          <w:p w14:paraId="1CFE0D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450L</w:t>
            </w:r>
          </w:p>
        </w:tc>
      </w:tr>
      <w:tr w14:paraId="3D65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1219BC83">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eastAsia" w:ascii="Arial" w:hAnsi="Arial" w:eastAsia="宋体" w:cs="Arial"/>
                <w:kern w:val="0"/>
                <w:szCs w:val="21"/>
                <w:lang w:val="en-US" w:eastAsia="zh-CN"/>
              </w:rPr>
              <w:t>10</w:t>
            </w:r>
          </w:p>
        </w:tc>
        <w:tc>
          <w:tcPr>
            <w:tcW w:w="2288" w:type="dxa"/>
            <w:shd w:val="clear" w:color="auto" w:fill="auto"/>
            <w:vAlign w:val="center"/>
          </w:tcPr>
          <w:p w14:paraId="1C8D9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石墨润滑剂</w:t>
            </w:r>
          </w:p>
        </w:tc>
        <w:tc>
          <w:tcPr>
            <w:tcW w:w="1507" w:type="dxa"/>
            <w:shd w:val="clear" w:color="auto" w:fill="auto"/>
            <w:vAlign w:val="center"/>
          </w:tcPr>
          <w:p w14:paraId="00349D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200L/桶</w:t>
            </w:r>
          </w:p>
        </w:tc>
        <w:tc>
          <w:tcPr>
            <w:tcW w:w="1787" w:type="dxa"/>
            <w:shd w:val="clear" w:color="auto" w:fill="auto"/>
            <w:vAlign w:val="center"/>
          </w:tcPr>
          <w:p w14:paraId="73BF80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400L</w:t>
            </w:r>
          </w:p>
        </w:tc>
        <w:tc>
          <w:tcPr>
            <w:tcW w:w="1652" w:type="dxa"/>
            <w:shd w:val="clear" w:color="auto" w:fill="auto"/>
            <w:vAlign w:val="center"/>
          </w:tcPr>
          <w:p w14:paraId="49C5B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0.87t/a</w:t>
            </w:r>
          </w:p>
        </w:tc>
      </w:tr>
      <w:tr w14:paraId="5A20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0963542B">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eastAsia" w:ascii="Arial" w:hAnsi="Arial" w:eastAsia="宋体" w:cs="Arial"/>
                <w:kern w:val="0"/>
                <w:szCs w:val="21"/>
                <w:lang w:val="en-US" w:eastAsia="zh-CN"/>
              </w:rPr>
              <w:t>11</w:t>
            </w:r>
          </w:p>
        </w:tc>
        <w:tc>
          <w:tcPr>
            <w:tcW w:w="2288" w:type="dxa"/>
            <w:shd w:val="clear" w:color="auto" w:fill="auto"/>
            <w:vAlign w:val="center"/>
          </w:tcPr>
          <w:p w14:paraId="50B33C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探伤粉</w:t>
            </w:r>
          </w:p>
        </w:tc>
        <w:tc>
          <w:tcPr>
            <w:tcW w:w="1507" w:type="dxa"/>
            <w:shd w:val="clear" w:color="auto" w:fill="auto"/>
            <w:vAlign w:val="center"/>
          </w:tcPr>
          <w:p w14:paraId="49290C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1kg/瓶</w:t>
            </w:r>
          </w:p>
        </w:tc>
        <w:tc>
          <w:tcPr>
            <w:tcW w:w="1787" w:type="dxa"/>
            <w:shd w:val="clear" w:color="auto" w:fill="auto"/>
            <w:vAlign w:val="center"/>
          </w:tcPr>
          <w:p w14:paraId="6FA0C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0.003t</w:t>
            </w:r>
          </w:p>
        </w:tc>
        <w:tc>
          <w:tcPr>
            <w:tcW w:w="1652" w:type="dxa"/>
            <w:shd w:val="clear" w:color="auto" w:fill="auto"/>
            <w:vAlign w:val="center"/>
          </w:tcPr>
          <w:p w14:paraId="22BE80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0.003t/a</w:t>
            </w:r>
          </w:p>
        </w:tc>
      </w:tr>
      <w:tr w14:paraId="3191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34AD3835">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eastAsia" w:ascii="Arial" w:hAnsi="Arial" w:eastAsia="宋体" w:cs="Arial"/>
                <w:kern w:val="0"/>
                <w:szCs w:val="21"/>
                <w:lang w:val="en-US" w:eastAsia="zh-CN"/>
              </w:rPr>
              <w:t>12</w:t>
            </w:r>
          </w:p>
        </w:tc>
        <w:tc>
          <w:tcPr>
            <w:tcW w:w="2288" w:type="dxa"/>
            <w:shd w:val="clear" w:color="auto" w:fill="auto"/>
            <w:vAlign w:val="center"/>
          </w:tcPr>
          <w:p w14:paraId="344D2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钢丸</w:t>
            </w:r>
          </w:p>
        </w:tc>
        <w:tc>
          <w:tcPr>
            <w:tcW w:w="1507" w:type="dxa"/>
            <w:shd w:val="clear" w:color="auto" w:fill="auto"/>
            <w:vAlign w:val="center"/>
          </w:tcPr>
          <w:p w14:paraId="4E194B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1000kg/袋</w:t>
            </w:r>
          </w:p>
        </w:tc>
        <w:tc>
          <w:tcPr>
            <w:tcW w:w="1787" w:type="dxa"/>
            <w:shd w:val="clear" w:color="auto" w:fill="auto"/>
            <w:vAlign w:val="center"/>
          </w:tcPr>
          <w:p w14:paraId="6952B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5t</w:t>
            </w:r>
          </w:p>
        </w:tc>
        <w:tc>
          <w:tcPr>
            <w:tcW w:w="1652" w:type="dxa"/>
            <w:shd w:val="clear" w:color="auto" w:fill="auto"/>
            <w:vAlign w:val="center"/>
          </w:tcPr>
          <w:p w14:paraId="3DB480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50t/a</w:t>
            </w:r>
          </w:p>
        </w:tc>
      </w:tr>
      <w:tr w14:paraId="3F8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3" w:type="dxa"/>
            <w:vAlign w:val="center"/>
          </w:tcPr>
          <w:p w14:paraId="13EBB17F">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eastAsia" w:ascii="Arial" w:hAnsi="Arial" w:eastAsia="宋体" w:cs="Arial"/>
                <w:kern w:val="0"/>
                <w:szCs w:val="21"/>
                <w:lang w:val="en-US" w:eastAsia="zh-CN"/>
              </w:rPr>
              <w:t>13</w:t>
            </w:r>
          </w:p>
        </w:tc>
        <w:tc>
          <w:tcPr>
            <w:tcW w:w="2288" w:type="dxa"/>
            <w:shd w:val="clear" w:color="auto" w:fill="auto"/>
            <w:vAlign w:val="center"/>
          </w:tcPr>
          <w:p w14:paraId="1EE28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磨料</w:t>
            </w:r>
          </w:p>
        </w:tc>
        <w:tc>
          <w:tcPr>
            <w:tcW w:w="1507" w:type="dxa"/>
            <w:shd w:val="clear" w:color="auto" w:fill="auto"/>
            <w:vAlign w:val="center"/>
          </w:tcPr>
          <w:p w14:paraId="46BBC0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1000kg/袋</w:t>
            </w:r>
          </w:p>
        </w:tc>
        <w:tc>
          <w:tcPr>
            <w:tcW w:w="1787" w:type="dxa"/>
            <w:shd w:val="clear" w:color="auto" w:fill="auto"/>
            <w:vAlign w:val="center"/>
          </w:tcPr>
          <w:p w14:paraId="6EF9E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3t</w:t>
            </w:r>
          </w:p>
        </w:tc>
        <w:tc>
          <w:tcPr>
            <w:tcW w:w="1652" w:type="dxa"/>
            <w:shd w:val="clear" w:color="auto" w:fill="auto"/>
            <w:vAlign w:val="center"/>
          </w:tcPr>
          <w:p w14:paraId="137B92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5t/a</w:t>
            </w:r>
          </w:p>
        </w:tc>
      </w:tr>
    </w:tbl>
    <w:p w14:paraId="7F21A63F">
      <w:pPr>
        <w:numPr>
          <w:ilvl w:val="3"/>
          <w:numId w:val="5"/>
        </w:numPr>
        <w:spacing w:line="360" w:lineRule="auto"/>
        <w:ind w:left="777" w:leftChars="0" w:firstLine="0" w:firstLineChars="0"/>
        <w:jc w:val="center"/>
        <w:rPr>
          <w:rFonts w:hint="default" w:ascii="Arial" w:hAnsi="Arial" w:eastAsia="宋体" w:cs="Arial"/>
          <w:b/>
          <w:bCs/>
          <w:kern w:val="2"/>
          <w:sz w:val="24"/>
          <w:szCs w:val="24"/>
          <w:lang w:val="en-US" w:eastAsia="zh-CN" w:bidi="ar-SA"/>
        </w:rPr>
      </w:pPr>
      <w:r>
        <w:rPr>
          <w:rFonts w:hint="default" w:ascii="Arial" w:hAnsi="Arial" w:eastAsia="宋体" w:cs="Arial"/>
          <w:b/>
          <w:bCs/>
          <w:kern w:val="2"/>
          <w:sz w:val="24"/>
          <w:szCs w:val="24"/>
          <w:lang w:val="en-US" w:eastAsia="zh-CN" w:bidi="ar-SA"/>
        </w:rPr>
        <w:t xml:space="preserve">  项目主要原料及其主要组分理化性质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6821"/>
      </w:tblGrid>
      <w:tr w14:paraId="422E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0" w:type="auto"/>
            <w:gridSpan w:val="2"/>
            <w:shd w:val="clear" w:color="auto" w:fill="auto"/>
            <w:vAlign w:val="center"/>
          </w:tcPr>
          <w:p w14:paraId="740B6464">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zh-CN"/>
              </w:rPr>
              <w:t>1、</w:t>
            </w:r>
            <w:r>
              <w:rPr>
                <w:rFonts w:hint="default" w:ascii="Arial" w:hAnsi="Arial" w:eastAsia="宋体" w:cs="Arial"/>
                <w:szCs w:val="21"/>
                <w:lang w:val="en-US" w:eastAsia="zh-CN"/>
              </w:rPr>
              <w:t>FC-D5400（脱脂剂）</w:t>
            </w:r>
          </w:p>
        </w:tc>
      </w:tr>
      <w:tr w14:paraId="24F7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pct"/>
            <w:shd w:val="clear" w:color="auto" w:fill="auto"/>
            <w:vAlign w:val="center"/>
          </w:tcPr>
          <w:p w14:paraId="48735514">
            <w:pPr>
              <w:keepNext w:val="0"/>
              <w:keepLines w:val="0"/>
              <w:suppressLineNumbers w:val="0"/>
              <w:tabs>
                <w:tab w:val="left" w:pos="1380"/>
              </w:tabs>
              <w:spacing w:before="0" w:beforeAutospacing="0" w:after="0" w:afterAutospacing="0"/>
              <w:ind w:left="0" w:right="0"/>
              <w:jc w:val="center"/>
              <w:rPr>
                <w:rFonts w:hint="default" w:ascii="Arial" w:hAnsi="Arial" w:eastAsia="宋体" w:cs="Arial"/>
                <w:szCs w:val="21"/>
                <w:lang w:val="zh-CN"/>
              </w:rPr>
            </w:pPr>
            <w:r>
              <w:rPr>
                <w:rFonts w:hint="default" w:ascii="Arial" w:hAnsi="Arial" w:eastAsia="宋体" w:cs="Arial"/>
                <w:szCs w:val="21"/>
                <w:lang w:val="zh-CN"/>
              </w:rPr>
              <w:t>成分</w:t>
            </w:r>
          </w:p>
        </w:tc>
        <w:tc>
          <w:tcPr>
            <w:tcW w:w="4296" w:type="pct"/>
            <w:shd w:val="clear" w:color="auto" w:fill="auto"/>
            <w:vAlign w:val="center"/>
          </w:tcPr>
          <w:p w14:paraId="130C5A34">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氢氧化钠45-50%、螯合剂5-10%、聚羧酸1-5%、</w:t>
            </w:r>
            <w:r>
              <w:rPr>
                <w:rFonts w:hint="eastAsia" w:ascii="Arial" w:hAnsi="Arial" w:eastAsia="宋体" w:cs="Arial"/>
                <w:szCs w:val="21"/>
                <w:lang w:val="en-US" w:eastAsia="zh-CN"/>
              </w:rPr>
              <w:t>水</w:t>
            </w:r>
            <w:r>
              <w:rPr>
                <w:rFonts w:hint="default" w:ascii="Arial" w:hAnsi="Arial" w:eastAsia="宋体" w:cs="Arial"/>
                <w:szCs w:val="21"/>
                <w:lang w:val="en-US" w:eastAsia="zh-CN"/>
              </w:rPr>
              <w:t>余量</w:t>
            </w:r>
          </w:p>
        </w:tc>
      </w:tr>
      <w:tr w14:paraId="1E3F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3" w:type="pct"/>
            <w:shd w:val="clear" w:color="auto" w:fill="auto"/>
            <w:vAlign w:val="center"/>
          </w:tcPr>
          <w:p w14:paraId="70A968F6">
            <w:pPr>
              <w:keepNext w:val="0"/>
              <w:keepLines w:val="0"/>
              <w:suppressLineNumbers w:val="0"/>
              <w:tabs>
                <w:tab w:val="left" w:pos="1380"/>
              </w:tabs>
              <w:spacing w:before="0" w:beforeAutospacing="0" w:after="0" w:afterAutospacing="0"/>
              <w:ind w:left="0" w:right="0"/>
              <w:jc w:val="center"/>
              <w:rPr>
                <w:rFonts w:hint="default" w:ascii="Arial" w:hAnsi="Arial" w:eastAsia="宋体" w:cs="Arial"/>
                <w:szCs w:val="21"/>
                <w:lang w:val="zh-CN"/>
              </w:rPr>
            </w:pPr>
            <w:r>
              <w:rPr>
                <w:rFonts w:hint="default" w:ascii="Arial" w:hAnsi="Arial" w:eastAsia="宋体" w:cs="Arial"/>
                <w:szCs w:val="21"/>
                <w:lang w:val="zh-CN"/>
              </w:rPr>
              <w:t>理化性质</w:t>
            </w:r>
          </w:p>
        </w:tc>
        <w:tc>
          <w:tcPr>
            <w:tcW w:w="4296" w:type="pct"/>
            <w:shd w:val="clear" w:color="auto" w:fill="auto"/>
            <w:vAlign w:val="center"/>
          </w:tcPr>
          <w:p w14:paraId="7252582C">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外观：无色至淡黄色液体；溶解性：可溶；在通常使用条件下，稳定；禁配物：酸；</w:t>
            </w:r>
            <w:r>
              <w:rPr>
                <w:rFonts w:hint="default" w:ascii="Arial" w:hAnsi="Arial" w:eastAsia="宋体" w:cs="Arial"/>
                <w:color w:val="auto"/>
                <w:szCs w:val="21"/>
                <w:lang w:val="en-US" w:eastAsia="zh-CN"/>
              </w:rPr>
              <w:t>密度1.</w:t>
            </w:r>
            <w:r>
              <w:rPr>
                <w:rFonts w:hint="eastAsia" w:ascii="Arial" w:hAnsi="Arial" w:eastAsia="宋体" w:cs="Arial"/>
                <w:color w:val="auto"/>
                <w:szCs w:val="21"/>
                <w:lang w:val="en-US" w:eastAsia="zh-CN"/>
              </w:rPr>
              <w:t>05。</w:t>
            </w:r>
          </w:p>
        </w:tc>
      </w:tr>
      <w:tr w14:paraId="0001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0" w:type="pct"/>
            <w:gridSpan w:val="2"/>
            <w:shd w:val="clear" w:color="auto" w:fill="auto"/>
            <w:vAlign w:val="center"/>
          </w:tcPr>
          <w:p w14:paraId="38084E0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zh-CN"/>
              </w:rPr>
              <w:t>2、</w:t>
            </w:r>
            <w:r>
              <w:rPr>
                <w:rFonts w:hint="default" w:ascii="Arial" w:hAnsi="Arial" w:eastAsia="宋体" w:cs="Arial"/>
                <w:szCs w:val="21"/>
                <w:lang w:val="en-US" w:eastAsia="zh-CN"/>
              </w:rPr>
              <w:t>FL-E930（皂化剂）</w:t>
            </w:r>
          </w:p>
        </w:tc>
      </w:tr>
      <w:tr w14:paraId="29E0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3" w:type="pct"/>
            <w:shd w:val="clear" w:color="auto" w:fill="auto"/>
            <w:vAlign w:val="center"/>
          </w:tcPr>
          <w:p w14:paraId="3C97200A">
            <w:pPr>
              <w:keepNext w:val="0"/>
              <w:keepLines w:val="0"/>
              <w:suppressLineNumbers w:val="0"/>
              <w:spacing w:before="0" w:beforeAutospacing="0" w:after="0" w:afterAutospacing="0"/>
              <w:ind w:left="0" w:right="0"/>
              <w:jc w:val="center"/>
              <w:rPr>
                <w:rFonts w:hint="default" w:ascii="Arial" w:hAnsi="Arial" w:eastAsia="宋体" w:cs="Arial"/>
                <w:szCs w:val="21"/>
                <w:lang w:val="zh-CN"/>
              </w:rPr>
            </w:pPr>
            <w:r>
              <w:rPr>
                <w:rFonts w:hint="default" w:ascii="Arial" w:hAnsi="Arial" w:eastAsia="宋体" w:cs="Arial"/>
                <w:szCs w:val="21"/>
                <w:lang w:val="zh-CN"/>
              </w:rPr>
              <w:t>成分</w:t>
            </w:r>
          </w:p>
        </w:tc>
        <w:tc>
          <w:tcPr>
            <w:tcW w:w="4296" w:type="pct"/>
            <w:shd w:val="clear" w:color="auto" w:fill="auto"/>
            <w:vAlign w:val="center"/>
          </w:tcPr>
          <w:p w14:paraId="62E6EE6A">
            <w:pPr>
              <w:keepNext w:val="0"/>
              <w:keepLines w:val="0"/>
              <w:suppressLineNumbers w:val="0"/>
              <w:spacing w:before="0" w:beforeAutospacing="0" w:after="0" w:afterAutospacing="0"/>
              <w:ind w:left="0" w:right="0"/>
              <w:jc w:val="both"/>
              <w:rPr>
                <w:rFonts w:hint="default" w:ascii="Arial" w:hAnsi="Arial" w:eastAsia="宋体" w:cs="Arial"/>
                <w:szCs w:val="21"/>
                <w:lang w:val="en-US" w:eastAsia="zh-CN"/>
              </w:rPr>
            </w:pPr>
            <w:r>
              <w:rPr>
                <w:rFonts w:hint="default" w:ascii="Arial" w:hAnsi="Arial" w:eastAsia="宋体" w:cs="Arial"/>
                <w:szCs w:val="21"/>
                <w:lang w:val="en-US" w:eastAsia="zh-CN"/>
              </w:rPr>
              <w:t>硅酸钠10-30%；树脂1-10%；水60%-90%。</w:t>
            </w:r>
          </w:p>
        </w:tc>
      </w:tr>
      <w:tr w14:paraId="685C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703" w:type="pct"/>
            <w:shd w:val="clear" w:color="auto" w:fill="auto"/>
            <w:vAlign w:val="center"/>
          </w:tcPr>
          <w:p w14:paraId="371C2124">
            <w:pPr>
              <w:keepNext w:val="0"/>
              <w:keepLines w:val="0"/>
              <w:suppressLineNumbers w:val="0"/>
              <w:spacing w:before="0" w:beforeAutospacing="0" w:after="0" w:afterAutospacing="0"/>
              <w:ind w:left="0" w:right="0"/>
              <w:jc w:val="center"/>
              <w:rPr>
                <w:rFonts w:hint="default" w:ascii="Arial" w:hAnsi="Arial" w:eastAsia="宋体" w:cs="Arial"/>
                <w:szCs w:val="21"/>
                <w:lang w:val="zh-CN"/>
              </w:rPr>
            </w:pPr>
            <w:r>
              <w:rPr>
                <w:rFonts w:hint="default" w:ascii="Arial" w:hAnsi="Arial" w:eastAsia="宋体" w:cs="Arial"/>
                <w:szCs w:val="21"/>
                <w:lang w:val="zh-CN"/>
              </w:rPr>
              <w:t>理化性质</w:t>
            </w:r>
          </w:p>
        </w:tc>
        <w:tc>
          <w:tcPr>
            <w:tcW w:w="4296" w:type="pct"/>
            <w:shd w:val="clear" w:color="auto" w:fill="auto"/>
            <w:vAlign w:val="center"/>
          </w:tcPr>
          <w:p w14:paraId="12B2EAC2">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水溶性白色液体，相对密度1.1，pH 11.4。在正常环境温度下储存和使用，本品稳定。</w:t>
            </w:r>
          </w:p>
        </w:tc>
      </w:tr>
      <w:tr w14:paraId="1465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0" w:type="pct"/>
            <w:gridSpan w:val="2"/>
            <w:shd w:val="clear" w:color="auto" w:fill="auto"/>
            <w:vAlign w:val="center"/>
          </w:tcPr>
          <w:p w14:paraId="0D51227E">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zh-CN"/>
              </w:rPr>
              <w:t>3、</w:t>
            </w:r>
            <w:r>
              <w:rPr>
                <w:rFonts w:hint="eastAsia" w:ascii="Arial" w:hAnsi="Arial" w:eastAsia="宋体" w:cs="Arial"/>
                <w:color w:val="auto"/>
                <w:szCs w:val="21"/>
                <w:lang w:val="en-US" w:eastAsia="zh-CN"/>
              </w:rPr>
              <w:t>石墨</w:t>
            </w:r>
            <w:r>
              <w:rPr>
                <w:rFonts w:hint="default" w:ascii="Arial" w:hAnsi="Arial" w:eastAsia="宋体" w:cs="Arial"/>
                <w:color w:val="auto"/>
                <w:szCs w:val="21"/>
                <w:lang w:val="en-US" w:eastAsia="zh-CN"/>
              </w:rPr>
              <w:t>润滑剂</w:t>
            </w:r>
          </w:p>
        </w:tc>
      </w:tr>
      <w:tr w14:paraId="0C49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3" w:type="pct"/>
            <w:shd w:val="clear" w:color="auto" w:fill="auto"/>
            <w:vAlign w:val="center"/>
          </w:tcPr>
          <w:p w14:paraId="42A4B77D">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zh-CN"/>
              </w:rPr>
            </w:pPr>
            <w:r>
              <w:rPr>
                <w:rFonts w:hint="default" w:ascii="Arial" w:hAnsi="Arial" w:eastAsia="宋体" w:cs="Arial"/>
                <w:color w:val="auto"/>
                <w:szCs w:val="21"/>
                <w:lang w:val="zh-CN"/>
              </w:rPr>
              <w:t>成分</w:t>
            </w:r>
          </w:p>
        </w:tc>
        <w:tc>
          <w:tcPr>
            <w:tcW w:w="4296" w:type="pct"/>
            <w:shd w:val="clear" w:color="auto" w:fill="auto"/>
            <w:vAlign w:val="center"/>
          </w:tcPr>
          <w:p w14:paraId="3AA6EEBA">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石墨10-30%、亚硝酸钠0.1%-0.5%、水50%-70%。</w:t>
            </w:r>
          </w:p>
        </w:tc>
      </w:tr>
      <w:tr w14:paraId="2732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3" w:type="pct"/>
            <w:shd w:val="clear" w:color="auto" w:fill="auto"/>
            <w:vAlign w:val="center"/>
          </w:tcPr>
          <w:p w14:paraId="3BBAE864">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zh-CN"/>
              </w:rPr>
            </w:pPr>
            <w:r>
              <w:rPr>
                <w:rFonts w:hint="default" w:ascii="Arial" w:hAnsi="Arial" w:eastAsia="宋体" w:cs="Arial"/>
                <w:color w:val="auto"/>
                <w:szCs w:val="21"/>
                <w:lang w:val="zh-CN"/>
              </w:rPr>
              <w:t>理化性质</w:t>
            </w:r>
          </w:p>
        </w:tc>
        <w:tc>
          <w:tcPr>
            <w:tcW w:w="4296" w:type="pct"/>
            <w:shd w:val="clear" w:color="auto" w:fill="auto"/>
            <w:vAlign w:val="center"/>
          </w:tcPr>
          <w:p w14:paraId="285A9FDE">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黑色液体，本品不自燃不爆炸，pH11.0、密度1.16。</w:t>
            </w:r>
          </w:p>
        </w:tc>
      </w:tr>
      <w:tr w14:paraId="6967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000" w:type="pct"/>
            <w:gridSpan w:val="2"/>
            <w:shd w:val="clear" w:color="auto" w:fill="auto"/>
            <w:vAlign w:val="center"/>
          </w:tcPr>
          <w:p w14:paraId="2AF7A99C">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4、切削液</w:t>
            </w:r>
          </w:p>
        </w:tc>
      </w:tr>
      <w:tr w14:paraId="4D74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3" w:type="pct"/>
            <w:shd w:val="clear" w:color="auto" w:fill="auto"/>
            <w:vAlign w:val="center"/>
          </w:tcPr>
          <w:p w14:paraId="24B36FA6">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成分</w:t>
            </w:r>
          </w:p>
        </w:tc>
        <w:tc>
          <w:tcPr>
            <w:tcW w:w="4296" w:type="pct"/>
            <w:shd w:val="clear" w:color="auto" w:fill="auto"/>
            <w:vAlign w:val="center"/>
          </w:tcPr>
          <w:p w14:paraId="38076709">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有机酸5-15% ；有机胺20-40% ；无机物0-5 % ；其它添加剂0-5%</w:t>
            </w:r>
          </w:p>
          <w:p w14:paraId="409CA15C">
            <w:pPr>
              <w:keepNext w:val="0"/>
              <w:keepLines w:val="0"/>
              <w:suppressLineNumbers w:val="0"/>
              <w:spacing w:before="0" w:beforeAutospacing="0" w:after="0" w:afterAutospacing="0"/>
              <w:ind w:left="0" w:right="0"/>
              <w:jc w:val="both"/>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；水余量。</w:t>
            </w:r>
          </w:p>
        </w:tc>
      </w:tr>
      <w:tr w14:paraId="619F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03" w:type="pct"/>
            <w:shd w:val="clear" w:color="auto" w:fill="auto"/>
            <w:vAlign w:val="center"/>
          </w:tcPr>
          <w:p w14:paraId="7AA2BFB8">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理化性质</w:t>
            </w:r>
          </w:p>
        </w:tc>
        <w:tc>
          <w:tcPr>
            <w:tcW w:w="4296" w:type="pct"/>
            <w:shd w:val="clear" w:color="auto" w:fill="auto"/>
            <w:vAlign w:val="center"/>
          </w:tcPr>
          <w:p w14:paraId="3B68959D">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浅黄色液体，</w:t>
            </w:r>
            <w:r>
              <w:rPr>
                <w:rFonts w:hint="default" w:ascii="Arial" w:hAnsi="Arial" w:eastAsia="宋体" w:cs="Arial"/>
                <w:szCs w:val="21"/>
                <w:lang w:val="en-US" w:eastAsia="zh-CN"/>
              </w:rPr>
              <w:t>相对密度1.079，pH 9.6。</w:t>
            </w:r>
          </w:p>
        </w:tc>
      </w:tr>
    </w:tbl>
    <w:p w14:paraId="692E908D">
      <w:pPr>
        <w:keepNext w:val="0"/>
        <w:keepLines w:val="0"/>
        <w:pageBreakBefore w:val="0"/>
        <w:widowControl w:val="0"/>
        <w:kinsoku/>
        <w:wordWrap/>
        <w:overflowPunct/>
        <w:topLinePunct w:val="0"/>
        <w:autoSpaceDE/>
        <w:autoSpaceDN/>
        <w:bidi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《清洗剂挥发性有机化合物含量限值》（GB 38508-2020）符合性分析</w:t>
      </w:r>
    </w:p>
    <w:p w14:paraId="27D5787C">
      <w:pPr>
        <w:pStyle w:val="93"/>
        <w:keepNext w:val="0"/>
        <w:keepLines w:val="0"/>
        <w:pageBreakBefore w:val="0"/>
        <w:widowControl w:val="0"/>
        <w:kinsoku/>
        <w:wordWrap/>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lang w:val="en-US"/>
        </w:rPr>
      </w:pPr>
      <w:r>
        <w:rPr>
          <w:rFonts w:hint="default" w:ascii="Arial" w:hAnsi="Arial" w:eastAsia="宋体" w:cs="Arial"/>
        </w:rPr>
        <w:t>根据企业提供的MSDS，</w:t>
      </w:r>
      <w:r>
        <w:rPr>
          <w:rFonts w:hint="default" w:ascii="Arial" w:hAnsi="Arial" w:eastAsia="宋体" w:cs="Arial"/>
          <w:lang w:val="en-US" w:eastAsia="zh-CN"/>
        </w:rPr>
        <w:t>项目使用</w:t>
      </w:r>
      <w:r>
        <w:rPr>
          <w:rFonts w:hint="default" w:ascii="Arial" w:hAnsi="Arial" w:eastAsia="宋体" w:cs="Arial"/>
          <w:szCs w:val="21"/>
          <w:lang w:val="en-US" w:eastAsia="zh-CN"/>
        </w:rPr>
        <w:t>FC-D5400、FL-E930</w:t>
      </w:r>
      <w:r>
        <w:rPr>
          <w:rFonts w:hint="default" w:ascii="Arial" w:hAnsi="Arial" w:eastAsia="宋体" w:cs="Arial"/>
          <w:lang w:val="en-US" w:eastAsia="zh-CN"/>
        </w:rPr>
        <w:t>清洗剂均为水基</w:t>
      </w:r>
      <w:r>
        <w:rPr>
          <w:rFonts w:hint="default" w:ascii="Arial" w:hAnsi="Arial" w:eastAsia="宋体" w:cs="Arial"/>
          <w:color w:val="auto"/>
          <w:szCs w:val="21"/>
          <w:lang w:val="en-US" w:eastAsia="zh-CN"/>
        </w:rPr>
        <w:t>，均</w:t>
      </w:r>
      <w:r>
        <w:rPr>
          <w:rFonts w:hint="default" w:ascii="Arial" w:hAnsi="Arial" w:eastAsia="宋体" w:cs="Arial"/>
        </w:rPr>
        <w:t>不含有二氯甲烷、三氯甲烷、三氯乙烯、四氯乙烯、甲醛</w:t>
      </w:r>
      <w:r>
        <w:rPr>
          <w:rFonts w:hint="default" w:ascii="Arial" w:hAnsi="Arial" w:eastAsia="宋体" w:cs="Arial"/>
          <w:lang w:eastAsia="zh-CN"/>
        </w:rPr>
        <w:t>、</w:t>
      </w:r>
      <w:r>
        <w:rPr>
          <w:rFonts w:hint="default" w:ascii="Arial" w:hAnsi="Arial" w:eastAsia="宋体" w:cs="Arial"/>
        </w:rPr>
        <w:t>苯、甲苯、乙苯和二甲苯等挥发性有机物</w:t>
      </w:r>
      <w:r>
        <w:rPr>
          <w:rFonts w:hint="default" w:ascii="Arial" w:hAnsi="Arial" w:cs="Arial"/>
          <w:lang w:eastAsia="zh-CN"/>
        </w:rPr>
        <w:t>，</w:t>
      </w:r>
      <w:r>
        <w:rPr>
          <w:rFonts w:hint="default" w:ascii="Arial" w:hAnsi="Arial" w:eastAsia="宋体" w:cs="Arial"/>
          <w:sz w:val="24"/>
          <w:szCs w:val="24"/>
        </w:rPr>
        <w:t>不含易挥发成分，可满足《清洗 剂挥发性有机化合物含量限值》（GB38508-2020）中表1中的水基型清洗剂中VOC含量限值要求（≤50g/L）。</w:t>
      </w:r>
    </w:p>
    <w:bookmarkEnd w:id="1"/>
    <w:bookmarkEnd w:id="2"/>
    <w:p w14:paraId="2CF8D21F">
      <w:pPr>
        <w:pStyle w:val="76"/>
        <w:keepNext w:val="0"/>
        <w:keepLines w:val="0"/>
        <w:pageBreakBefore w:val="0"/>
        <w:widowControl w:val="0"/>
        <w:numPr>
          <w:ilvl w:val="2"/>
          <w:numId w:val="5"/>
        </w:numPr>
        <w:kinsoku/>
        <w:wordWrap/>
        <w:overflowPunct/>
        <w:topLinePunct w:val="0"/>
        <w:autoSpaceDE/>
        <w:autoSpaceDN/>
        <w:bidi w:val="0"/>
        <w:spacing w:line="360" w:lineRule="auto"/>
        <w:ind w:left="105" w:leftChars="50" w:firstLine="0" w:firstLineChars="0"/>
        <w:textAlignment w:val="auto"/>
        <w:outlineLvl w:val="2"/>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主要生产设备</w:t>
      </w:r>
    </w:p>
    <w:p w14:paraId="3088FFC7">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本</w:t>
      </w:r>
      <w:r>
        <w:rPr>
          <w:rFonts w:hint="default" w:ascii="Arial" w:hAnsi="Arial" w:eastAsia="宋体" w:cs="Arial"/>
          <w:color w:val="000000" w:themeColor="text1"/>
          <w:sz w:val="24"/>
          <w:szCs w:val="24"/>
          <w:lang w:val="en-US" w:eastAsia="zh-CN"/>
          <w14:textFill>
            <w14:solidFill>
              <w14:schemeClr w14:val="tx1"/>
            </w14:solidFill>
          </w14:textFill>
        </w:rPr>
        <w:t>项目</w:t>
      </w:r>
      <w:r>
        <w:rPr>
          <w:rFonts w:hint="default" w:ascii="Arial" w:hAnsi="Arial" w:eastAsia="宋体" w:cs="Arial"/>
          <w:color w:val="000000" w:themeColor="text1"/>
          <w:sz w:val="24"/>
          <w:szCs w:val="24"/>
          <w14:textFill>
            <w14:solidFill>
              <w14:schemeClr w14:val="tx1"/>
            </w14:solidFill>
          </w14:textFill>
        </w:rPr>
        <w:t>主要的生产设施见表2-</w:t>
      </w:r>
      <w:r>
        <w:rPr>
          <w:rFonts w:hint="eastAsia" w:ascii="Arial" w:hAnsi="Arial" w:eastAsia="宋体" w:cs="Arial"/>
          <w:color w:val="000000" w:themeColor="text1"/>
          <w:sz w:val="24"/>
          <w:szCs w:val="24"/>
          <w:lang w:val="en-US" w:eastAsia="zh-CN"/>
          <w14:textFill>
            <w14:solidFill>
              <w14:schemeClr w14:val="tx1"/>
            </w14:solidFill>
          </w14:textFill>
        </w:rPr>
        <w:t>5</w:t>
      </w:r>
      <w:r>
        <w:rPr>
          <w:rFonts w:hint="default" w:ascii="Arial" w:hAnsi="Arial" w:eastAsia="宋体" w:cs="Arial"/>
          <w:color w:val="000000" w:themeColor="text1"/>
          <w:sz w:val="24"/>
          <w:szCs w:val="24"/>
          <w14:textFill>
            <w14:solidFill>
              <w14:schemeClr w14:val="tx1"/>
            </w14:solidFill>
          </w14:textFill>
        </w:rPr>
        <w:t>。</w:t>
      </w:r>
    </w:p>
    <w:p w14:paraId="4B13BD2E">
      <w:pPr>
        <w:pStyle w:val="76"/>
        <w:numPr>
          <w:ilvl w:val="3"/>
          <w:numId w:val="5"/>
        </w:numPr>
        <w:spacing w:line="360" w:lineRule="auto"/>
        <w:ind w:left="777" w:leftChars="0" w:firstLineChars="0"/>
        <w:jc w:val="center"/>
        <w:outlineLvl w:val="3"/>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 xml:space="preserve">  项目建设后主要生产设备一览表</w:t>
      </w:r>
    </w:p>
    <w:tbl>
      <w:tblPr>
        <w:tblStyle w:val="52"/>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926"/>
        <w:gridCol w:w="1479"/>
        <w:gridCol w:w="1376"/>
        <w:gridCol w:w="1410"/>
      </w:tblGrid>
      <w:tr w14:paraId="52AA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2CEAE394">
            <w:pPr>
              <w:keepNext w:val="0"/>
              <w:keepLines w:val="0"/>
              <w:widowControl/>
              <w:suppressLineNumbers w:val="0"/>
              <w:spacing w:before="0" w:beforeAutospacing="0" w:after="0" w:afterAutospacing="0"/>
              <w:ind w:left="0" w:right="0"/>
              <w:jc w:val="center"/>
              <w:rPr>
                <w:rFonts w:hint="default" w:ascii="Arial" w:hAnsi="Arial" w:eastAsia="宋体" w:cs="Arial"/>
                <w:bCs/>
                <w:color w:val="000000" w:themeColor="text1"/>
                <w:szCs w:val="21"/>
                <w14:textFill>
                  <w14:solidFill>
                    <w14:schemeClr w14:val="tx1"/>
                  </w14:solidFill>
                </w14:textFill>
              </w:rPr>
            </w:pPr>
            <w:r>
              <w:rPr>
                <w:rFonts w:hint="default" w:ascii="Arial" w:hAnsi="Arial" w:eastAsia="宋体" w:cs="Arial"/>
                <w:bCs/>
                <w:color w:val="000000" w:themeColor="text1"/>
                <w:szCs w:val="21"/>
                <w14:textFill>
                  <w14:solidFill>
                    <w14:schemeClr w14:val="tx1"/>
                  </w14:solidFill>
                </w14:textFill>
              </w:rPr>
              <w:t>序号</w:t>
            </w:r>
          </w:p>
        </w:tc>
        <w:tc>
          <w:tcPr>
            <w:tcW w:w="1843" w:type="pct"/>
            <w:shd w:val="clear" w:color="auto" w:fill="auto"/>
            <w:vAlign w:val="center"/>
          </w:tcPr>
          <w:p w14:paraId="27F928D5">
            <w:pPr>
              <w:keepNext w:val="0"/>
              <w:keepLines w:val="0"/>
              <w:widowControl/>
              <w:suppressLineNumbers w:val="0"/>
              <w:spacing w:before="0" w:beforeAutospacing="0" w:after="0" w:afterAutospacing="0"/>
              <w:ind w:left="0" w:right="0"/>
              <w:jc w:val="center"/>
              <w:rPr>
                <w:rFonts w:hint="default" w:ascii="Arial" w:hAnsi="Arial" w:eastAsia="宋体" w:cs="Arial"/>
                <w:bCs/>
                <w:color w:val="000000" w:themeColor="text1"/>
                <w:szCs w:val="21"/>
                <w14:textFill>
                  <w14:solidFill>
                    <w14:schemeClr w14:val="tx1"/>
                  </w14:solidFill>
                </w14:textFill>
              </w:rPr>
            </w:pPr>
            <w:r>
              <w:rPr>
                <w:rFonts w:hint="default" w:ascii="Arial" w:hAnsi="Arial" w:eastAsia="宋体" w:cs="Arial"/>
                <w:bCs/>
                <w:color w:val="000000" w:themeColor="text1"/>
                <w:szCs w:val="21"/>
                <w14:textFill>
                  <w14:solidFill>
                    <w14:schemeClr w14:val="tx1"/>
                  </w14:solidFill>
                </w14:textFill>
              </w:rPr>
              <w:t>设备名称</w:t>
            </w:r>
          </w:p>
        </w:tc>
        <w:tc>
          <w:tcPr>
            <w:tcW w:w="931" w:type="pct"/>
            <w:shd w:val="clear" w:color="auto" w:fill="auto"/>
            <w:vAlign w:val="center"/>
          </w:tcPr>
          <w:p w14:paraId="69C881D0">
            <w:pPr>
              <w:keepNext w:val="0"/>
              <w:keepLines w:val="0"/>
              <w:widowControl/>
              <w:suppressLineNumbers w:val="0"/>
              <w:spacing w:before="0" w:beforeAutospacing="0" w:after="0" w:afterAutospacing="0"/>
              <w:ind w:left="0" w:right="0"/>
              <w:jc w:val="center"/>
              <w:rPr>
                <w:rFonts w:hint="default" w:ascii="Arial" w:hAnsi="Arial" w:eastAsia="宋体" w:cs="Arial"/>
                <w:bCs/>
                <w:color w:val="000000" w:themeColor="text1"/>
                <w:szCs w:val="21"/>
                <w:lang w:val="en-US" w:eastAsia="zh-CN"/>
                <w14:textFill>
                  <w14:solidFill>
                    <w14:schemeClr w14:val="tx1"/>
                  </w14:solidFill>
                </w14:textFill>
              </w:rPr>
            </w:pPr>
            <w:r>
              <w:rPr>
                <w:rFonts w:hint="default" w:ascii="Arial" w:hAnsi="Arial" w:eastAsia="宋体" w:cs="Arial"/>
                <w:bCs/>
                <w:color w:val="000000" w:themeColor="text1"/>
                <w:szCs w:val="21"/>
                <w:lang w:val="en-US" w:eastAsia="zh-CN"/>
                <w14:textFill>
                  <w14:solidFill>
                    <w14:schemeClr w14:val="tx1"/>
                  </w14:solidFill>
                </w14:textFill>
              </w:rPr>
              <w:t>规格型号</w:t>
            </w:r>
          </w:p>
        </w:tc>
        <w:tc>
          <w:tcPr>
            <w:tcW w:w="866" w:type="pct"/>
            <w:shd w:val="clear" w:color="auto" w:fill="auto"/>
            <w:vAlign w:val="center"/>
          </w:tcPr>
          <w:p w14:paraId="03A5F750">
            <w:pPr>
              <w:keepNext w:val="0"/>
              <w:keepLines w:val="0"/>
              <w:widowControl/>
              <w:suppressLineNumbers w:val="0"/>
              <w:spacing w:before="0" w:beforeAutospacing="0" w:after="0" w:afterAutospacing="0"/>
              <w:ind w:left="0" w:right="0"/>
              <w:jc w:val="center"/>
              <w:rPr>
                <w:rFonts w:hint="default" w:ascii="Arial" w:hAnsi="Arial" w:eastAsia="宋体" w:cs="Arial"/>
                <w:bCs/>
                <w:color w:val="000000" w:themeColor="text1"/>
                <w:szCs w:val="21"/>
                <w:lang w:val="en-US" w:eastAsia="zh-CN"/>
                <w14:textFill>
                  <w14:solidFill>
                    <w14:schemeClr w14:val="tx1"/>
                  </w14:solidFill>
                </w14:textFill>
              </w:rPr>
            </w:pPr>
            <w:r>
              <w:rPr>
                <w:rFonts w:hint="default" w:ascii="Arial" w:hAnsi="Arial" w:eastAsia="宋体" w:cs="Arial"/>
                <w:bCs/>
                <w:color w:val="000000" w:themeColor="text1"/>
                <w:szCs w:val="21"/>
                <w:lang w:val="en-US" w:eastAsia="zh-CN"/>
                <w14:textFill>
                  <w14:solidFill>
                    <w14:schemeClr w14:val="tx1"/>
                  </w14:solidFill>
                </w14:textFill>
              </w:rPr>
              <w:t>数量</w:t>
            </w:r>
          </w:p>
        </w:tc>
        <w:tc>
          <w:tcPr>
            <w:tcW w:w="888" w:type="pct"/>
            <w:vAlign w:val="center"/>
          </w:tcPr>
          <w:p w14:paraId="166DBA3A">
            <w:pPr>
              <w:keepNext w:val="0"/>
              <w:keepLines w:val="0"/>
              <w:widowControl/>
              <w:suppressLineNumbers w:val="0"/>
              <w:spacing w:before="0" w:beforeAutospacing="0" w:after="0" w:afterAutospacing="0"/>
              <w:ind w:left="0" w:right="0"/>
              <w:jc w:val="center"/>
              <w:rPr>
                <w:rFonts w:hint="default" w:ascii="Arial" w:hAnsi="Arial" w:eastAsia="宋体" w:cs="Arial"/>
                <w:bCs/>
                <w:color w:val="000000" w:themeColor="text1"/>
                <w:szCs w:val="21"/>
                <w14:textFill>
                  <w14:solidFill>
                    <w14:schemeClr w14:val="tx1"/>
                  </w14:solidFill>
                </w14:textFill>
              </w:rPr>
            </w:pPr>
            <w:r>
              <w:rPr>
                <w:rFonts w:hint="default" w:ascii="Arial" w:hAnsi="Arial" w:eastAsia="宋体" w:cs="Arial"/>
                <w:bCs/>
                <w:color w:val="000000" w:themeColor="text1"/>
                <w:szCs w:val="21"/>
                <w14:textFill>
                  <w14:solidFill>
                    <w14:schemeClr w14:val="tx1"/>
                  </w14:solidFill>
                </w14:textFill>
              </w:rPr>
              <w:t>备注</w:t>
            </w:r>
          </w:p>
        </w:tc>
      </w:tr>
      <w:tr w14:paraId="711B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50E7911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w:t>
            </w:r>
          </w:p>
        </w:tc>
        <w:tc>
          <w:tcPr>
            <w:tcW w:w="1843" w:type="pct"/>
            <w:shd w:val="clear" w:color="auto" w:fill="auto"/>
            <w:vAlign w:val="center"/>
          </w:tcPr>
          <w:p w14:paraId="3CB56FF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圆盘锯</w:t>
            </w:r>
          </w:p>
        </w:tc>
        <w:tc>
          <w:tcPr>
            <w:tcW w:w="931" w:type="pct"/>
            <w:shd w:val="clear" w:color="auto" w:fill="auto"/>
            <w:vAlign w:val="center"/>
          </w:tcPr>
          <w:p w14:paraId="474A30F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GSYJ-70</w:t>
            </w:r>
          </w:p>
        </w:tc>
        <w:tc>
          <w:tcPr>
            <w:tcW w:w="866" w:type="pct"/>
            <w:shd w:val="clear" w:color="auto" w:fill="auto"/>
            <w:vAlign w:val="center"/>
          </w:tcPr>
          <w:p w14:paraId="770549E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888" w:type="pct"/>
            <w:shd w:val="clear" w:color="auto" w:fill="auto"/>
            <w:vAlign w:val="center"/>
          </w:tcPr>
          <w:p w14:paraId="4262E0A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下料车间</w:t>
            </w:r>
          </w:p>
        </w:tc>
      </w:tr>
      <w:tr w14:paraId="4177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037E06B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1843" w:type="pct"/>
            <w:shd w:val="clear" w:color="auto" w:fill="auto"/>
            <w:vAlign w:val="center"/>
          </w:tcPr>
          <w:p w14:paraId="1E0B2BA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抛丸机</w:t>
            </w:r>
          </w:p>
        </w:tc>
        <w:tc>
          <w:tcPr>
            <w:tcW w:w="931" w:type="pct"/>
            <w:shd w:val="clear" w:color="auto" w:fill="auto"/>
            <w:vAlign w:val="center"/>
          </w:tcPr>
          <w:p w14:paraId="479C8B2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KDR3d10</w:t>
            </w:r>
          </w:p>
        </w:tc>
        <w:tc>
          <w:tcPr>
            <w:tcW w:w="866" w:type="pct"/>
            <w:shd w:val="clear" w:color="auto" w:fill="auto"/>
            <w:vAlign w:val="center"/>
          </w:tcPr>
          <w:p w14:paraId="5425128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888" w:type="pct"/>
            <w:vMerge w:val="restart"/>
            <w:shd w:val="clear" w:color="auto" w:fill="auto"/>
            <w:vAlign w:val="center"/>
          </w:tcPr>
          <w:p w14:paraId="389ABC8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锻造车间</w:t>
            </w:r>
          </w:p>
        </w:tc>
      </w:tr>
      <w:tr w14:paraId="3CDE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45C7CBF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3</w:t>
            </w:r>
          </w:p>
        </w:tc>
        <w:tc>
          <w:tcPr>
            <w:tcW w:w="1843" w:type="pct"/>
            <w:shd w:val="clear" w:color="auto" w:fill="auto"/>
            <w:vAlign w:val="center"/>
          </w:tcPr>
          <w:p w14:paraId="143B235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预抽真空井式炉</w:t>
            </w:r>
          </w:p>
        </w:tc>
        <w:tc>
          <w:tcPr>
            <w:tcW w:w="931" w:type="pct"/>
            <w:shd w:val="clear" w:color="auto" w:fill="auto"/>
            <w:vAlign w:val="center"/>
          </w:tcPr>
          <w:p w14:paraId="2132C0D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RJZ-120-9</w:t>
            </w:r>
          </w:p>
        </w:tc>
        <w:tc>
          <w:tcPr>
            <w:tcW w:w="866" w:type="pct"/>
            <w:shd w:val="clear" w:color="auto" w:fill="auto"/>
            <w:vAlign w:val="center"/>
          </w:tcPr>
          <w:p w14:paraId="4183FAD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888" w:type="pct"/>
            <w:vMerge w:val="continue"/>
            <w:shd w:val="clear" w:color="auto" w:fill="auto"/>
            <w:vAlign w:val="center"/>
          </w:tcPr>
          <w:p w14:paraId="2D8304E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2CC9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2053B3C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1843" w:type="pct"/>
            <w:shd w:val="clear" w:color="auto" w:fill="auto"/>
            <w:vAlign w:val="center"/>
          </w:tcPr>
          <w:p w14:paraId="16E6A66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挤压预处理机</w:t>
            </w:r>
          </w:p>
        </w:tc>
        <w:tc>
          <w:tcPr>
            <w:tcW w:w="931" w:type="pct"/>
            <w:shd w:val="clear" w:color="auto" w:fill="auto"/>
            <w:vAlign w:val="center"/>
          </w:tcPr>
          <w:p w14:paraId="70286EA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XHRH80-III</w:t>
            </w:r>
          </w:p>
        </w:tc>
        <w:tc>
          <w:tcPr>
            <w:tcW w:w="866" w:type="pct"/>
            <w:shd w:val="clear" w:color="auto" w:fill="auto"/>
            <w:vAlign w:val="center"/>
          </w:tcPr>
          <w:p w14:paraId="263AB78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888" w:type="pct"/>
            <w:vMerge w:val="continue"/>
            <w:shd w:val="clear" w:color="auto" w:fill="auto"/>
            <w:vAlign w:val="center"/>
          </w:tcPr>
          <w:p w14:paraId="5B226D7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5E63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76E3420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5</w:t>
            </w:r>
          </w:p>
        </w:tc>
        <w:tc>
          <w:tcPr>
            <w:tcW w:w="1843" w:type="pct"/>
            <w:shd w:val="clear" w:color="auto" w:fill="auto"/>
            <w:vAlign w:val="center"/>
          </w:tcPr>
          <w:p w14:paraId="7F754BA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800T油压机</w:t>
            </w:r>
          </w:p>
        </w:tc>
        <w:tc>
          <w:tcPr>
            <w:tcW w:w="931" w:type="pct"/>
            <w:shd w:val="clear" w:color="auto" w:fill="auto"/>
            <w:vAlign w:val="center"/>
          </w:tcPr>
          <w:p w14:paraId="482EC6B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ZYJ-800T</w:t>
            </w:r>
          </w:p>
        </w:tc>
        <w:tc>
          <w:tcPr>
            <w:tcW w:w="866" w:type="pct"/>
            <w:shd w:val="clear" w:color="auto" w:fill="auto"/>
            <w:vAlign w:val="center"/>
          </w:tcPr>
          <w:p w14:paraId="3511AEE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888" w:type="pct"/>
            <w:vMerge w:val="continue"/>
            <w:vAlign w:val="center"/>
          </w:tcPr>
          <w:p w14:paraId="4C4C2FD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0234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0AFB4F4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1843" w:type="pct"/>
            <w:shd w:val="clear" w:color="auto" w:fill="auto"/>
            <w:vAlign w:val="center"/>
          </w:tcPr>
          <w:p w14:paraId="1C56566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500T油压机</w:t>
            </w:r>
          </w:p>
        </w:tc>
        <w:tc>
          <w:tcPr>
            <w:tcW w:w="931" w:type="pct"/>
            <w:shd w:val="clear" w:color="auto" w:fill="auto"/>
            <w:vAlign w:val="center"/>
          </w:tcPr>
          <w:p w14:paraId="6F71F88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ZYJ-500T</w:t>
            </w:r>
          </w:p>
        </w:tc>
        <w:tc>
          <w:tcPr>
            <w:tcW w:w="866" w:type="pct"/>
            <w:shd w:val="clear" w:color="auto" w:fill="auto"/>
            <w:vAlign w:val="center"/>
          </w:tcPr>
          <w:p w14:paraId="1AAE897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888" w:type="pct"/>
            <w:vMerge w:val="continue"/>
            <w:vAlign w:val="center"/>
          </w:tcPr>
          <w:p w14:paraId="6578DB7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4D72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374783F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7</w:t>
            </w:r>
          </w:p>
        </w:tc>
        <w:tc>
          <w:tcPr>
            <w:tcW w:w="1843" w:type="pct"/>
            <w:shd w:val="clear" w:color="auto" w:fill="auto"/>
            <w:vAlign w:val="center"/>
          </w:tcPr>
          <w:p w14:paraId="2CAD570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中频加热炉</w:t>
            </w:r>
          </w:p>
        </w:tc>
        <w:tc>
          <w:tcPr>
            <w:tcW w:w="931" w:type="pct"/>
            <w:shd w:val="clear" w:color="auto" w:fill="auto"/>
            <w:vAlign w:val="center"/>
          </w:tcPr>
          <w:p w14:paraId="46DFC7A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GT200-1S</w:t>
            </w:r>
          </w:p>
        </w:tc>
        <w:tc>
          <w:tcPr>
            <w:tcW w:w="866" w:type="pct"/>
            <w:shd w:val="clear" w:color="auto" w:fill="auto"/>
            <w:vAlign w:val="center"/>
          </w:tcPr>
          <w:p w14:paraId="0B0CDE3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888" w:type="pct"/>
            <w:vMerge w:val="continue"/>
            <w:vAlign w:val="center"/>
          </w:tcPr>
          <w:p w14:paraId="4CDA739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2625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vAlign w:val="center"/>
          </w:tcPr>
          <w:p w14:paraId="3A96C96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8</w:t>
            </w:r>
          </w:p>
        </w:tc>
        <w:tc>
          <w:tcPr>
            <w:tcW w:w="1843" w:type="pct"/>
            <w:shd w:val="clear" w:color="auto" w:fill="auto"/>
            <w:vAlign w:val="center"/>
          </w:tcPr>
          <w:p w14:paraId="7324C89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卧式数控车床</w:t>
            </w:r>
          </w:p>
        </w:tc>
        <w:tc>
          <w:tcPr>
            <w:tcW w:w="931" w:type="pct"/>
            <w:shd w:val="clear" w:color="auto" w:fill="auto"/>
            <w:vAlign w:val="center"/>
          </w:tcPr>
          <w:p w14:paraId="73647A2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ETC1625</w:t>
            </w:r>
          </w:p>
        </w:tc>
        <w:tc>
          <w:tcPr>
            <w:tcW w:w="866" w:type="pct"/>
            <w:shd w:val="clear" w:color="auto" w:fill="auto"/>
            <w:vAlign w:val="center"/>
          </w:tcPr>
          <w:p w14:paraId="529191B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888" w:type="pct"/>
            <w:vMerge w:val="restart"/>
            <w:vAlign w:val="center"/>
          </w:tcPr>
          <w:p w14:paraId="216A9CE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机加工车间</w:t>
            </w:r>
          </w:p>
        </w:tc>
      </w:tr>
      <w:tr w14:paraId="23B7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4BC8625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9</w:t>
            </w:r>
          </w:p>
        </w:tc>
        <w:tc>
          <w:tcPr>
            <w:tcW w:w="1843" w:type="pct"/>
            <w:shd w:val="clear" w:color="auto" w:fill="auto"/>
            <w:noWrap/>
            <w:vAlign w:val="center"/>
          </w:tcPr>
          <w:p w14:paraId="00053AD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卧式数控车床</w:t>
            </w:r>
          </w:p>
        </w:tc>
        <w:tc>
          <w:tcPr>
            <w:tcW w:w="931" w:type="pct"/>
            <w:shd w:val="clear" w:color="auto" w:fill="auto"/>
            <w:noWrap/>
            <w:vAlign w:val="center"/>
          </w:tcPr>
          <w:p w14:paraId="3429AC6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QT2045P</w:t>
            </w:r>
          </w:p>
        </w:tc>
        <w:tc>
          <w:tcPr>
            <w:tcW w:w="866" w:type="pct"/>
            <w:shd w:val="clear" w:color="auto" w:fill="auto"/>
            <w:noWrap/>
            <w:vAlign w:val="center"/>
          </w:tcPr>
          <w:p w14:paraId="01A3740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888" w:type="pct"/>
            <w:vMerge w:val="continue"/>
            <w:vAlign w:val="center"/>
          </w:tcPr>
          <w:p w14:paraId="60A8874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6C82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553114D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10</w:t>
            </w:r>
          </w:p>
        </w:tc>
        <w:tc>
          <w:tcPr>
            <w:tcW w:w="1843" w:type="pct"/>
            <w:shd w:val="clear" w:color="auto" w:fill="auto"/>
            <w:noWrap/>
            <w:vAlign w:val="center"/>
          </w:tcPr>
          <w:p w14:paraId="6EEAA1B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拉床</w:t>
            </w:r>
          </w:p>
        </w:tc>
        <w:tc>
          <w:tcPr>
            <w:tcW w:w="931" w:type="pct"/>
            <w:shd w:val="clear" w:color="auto" w:fill="auto"/>
            <w:noWrap/>
            <w:vAlign w:val="center"/>
          </w:tcPr>
          <w:p w14:paraId="55A33FA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LG5125</w:t>
            </w:r>
          </w:p>
        </w:tc>
        <w:tc>
          <w:tcPr>
            <w:tcW w:w="866" w:type="pct"/>
            <w:shd w:val="clear" w:color="auto" w:fill="auto"/>
            <w:noWrap/>
            <w:vAlign w:val="center"/>
          </w:tcPr>
          <w:p w14:paraId="6CF03E2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w:t>
            </w:r>
          </w:p>
        </w:tc>
        <w:tc>
          <w:tcPr>
            <w:tcW w:w="888" w:type="pct"/>
            <w:vMerge w:val="continue"/>
            <w:vAlign w:val="center"/>
          </w:tcPr>
          <w:p w14:paraId="62FB0DA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1B0A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650D4FC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11</w:t>
            </w:r>
          </w:p>
        </w:tc>
        <w:tc>
          <w:tcPr>
            <w:tcW w:w="1843" w:type="pct"/>
            <w:shd w:val="clear" w:color="auto" w:fill="auto"/>
            <w:noWrap/>
            <w:vAlign w:val="center"/>
          </w:tcPr>
          <w:p w14:paraId="6B6D3C8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四工位拉床机械手</w:t>
            </w:r>
          </w:p>
        </w:tc>
        <w:tc>
          <w:tcPr>
            <w:tcW w:w="931" w:type="pct"/>
            <w:shd w:val="clear" w:color="auto" w:fill="auto"/>
            <w:noWrap/>
            <w:vAlign w:val="center"/>
          </w:tcPr>
          <w:p w14:paraId="19B8709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w:t>
            </w:r>
          </w:p>
        </w:tc>
        <w:tc>
          <w:tcPr>
            <w:tcW w:w="866" w:type="pct"/>
            <w:shd w:val="clear" w:color="auto" w:fill="auto"/>
            <w:noWrap/>
            <w:vAlign w:val="center"/>
          </w:tcPr>
          <w:p w14:paraId="4DECFBC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888" w:type="pct"/>
            <w:vMerge w:val="continue"/>
            <w:shd w:val="clear" w:color="auto" w:fill="auto"/>
            <w:vAlign w:val="center"/>
          </w:tcPr>
          <w:p w14:paraId="2C69D90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0044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05F3FCF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12</w:t>
            </w:r>
          </w:p>
        </w:tc>
        <w:tc>
          <w:tcPr>
            <w:tcW w:w="1843" w:type="pct"/>
            <w:shd w:val="clear" w:color="auto" w:fill="auto"/>
            <w:noWrap/>
            <w:vAlign w:val="center"/>
          </w:tcPr>
          <w:p w14:paraId="1E793F3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清洗机</w:t>
            </w:r>
          </w:p>
        </w:tc>
        <w:tc>
          <w:tcPr>
            <w:tcW w:w="931" w:type="pct"/>
            <w:shd w:val="clear" w:color="auto" w:fill="auto"/>
            <w:noWrap/>
            <w:vAlign w:val="center"/>
          </w:tcPr>
          <w:p w14:paraId="1B43D54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QXLT25-I</w:t>
            </w:r>
          </w:p>
        </w:tc>
        <w:tc>
          <w:tcPr>
            <w:tcW w:w="866" w:type="pct"/>
            <w:shd w:val="clear" w:color="auto" w:fill="auto"/>
            <w:noWrap/>
            <w:vAlign w:val="center"/>
          </w:tcPr>
          <w:p w14:paraId="4B4B7F3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888" w:type="pct"/>
            <w:vMerge w:val="continue"/>
            <w:shd w:val="clear" w:color="auto" w:fill="auto"/>
            <w:vAlign w:val="center"/>
          </w:tcPr>
          <w:p w14:paraId="015E2E3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4C2A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0814BF1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13</w:t>
            </w:r>
          </w:p>
        </w:tc>
        <w:tc>
          <w:tcPr>
            <w:tcW w:w="1843" w:type="pct"/>
            <w:shd w:val="clear" w:color="auto" w:fill="auto"/>
            <w:noWrap/>
            <w:vAlign w:val="center"/>
          </w:tcPr>
          <w:p w14:paraId="48FD53A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磨床</w:t>
            </w:r>
          </w:p>
        </w:tc>
        <w:tc>
          <w:tcPr>
            <w:tcW w:w="931" w:type="pct"/>
            <w:shd w:val="clear" w:color="auto" w:fill="auto"/>
            <w:noWrap/>
            <w:vAlign w:val="center"/>
          </w:tcPr>
          <w:p w14:paraId="70D7930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MK1040B</w:t>
            </w:r>
          </w:p>
        </w:tc>
        <w:tc>
          <w:tcPr>
            <w:tcW w:w="866" w:type="pct"/>
            <w:shd w:val="clear" w:color="auto" w:fill="auto"/>
            <w:noWrap/>
            <w:vAlign w:val="center"/>
          </w:tcPr>
          <w:p w14:paraId="788252E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888" w:type="pct"/>
            <w:vMerge w:val="continue"/>
            <w:shd w:val="clear" w:color="auto" w:fill="auto"/>
            <w:vAlign w:val="center"/>
          </w:tcPr>
          <w:p w14:paraId="1A521AE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4F3D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4EC8A326">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14</w:t>
            </w:r>
          </w:p>
        </w:tc>
        <w:tc>
          <w:tcPr>
            <w:tcW w:w="1843" w:type="pct"/>
            <w:shd w:val="clear" w:color="auto" w:fill="auto"/>
            <w:noWrap/>
            <w:vAlign w:val="center"/>
          </w:tcPr>
          <w:p w14:paraId="11851C6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探伤机</w:t>
            </w:r>
          </w:p>
        </w:tc>
        <w:tc>
          <w:tcPr>
            <w:tcW w:w="931" w:type="pct"/>
            <w:shd w:val="clear" w:color="auto" w:fill="auto"/>
            <w:noWrap/>
            <w:vAlign w:val="center"/>
          </w:tcPr>
          <w:p w14:paraId="1AC5DC6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w:t>
            </w:r>
          </w:p>
        </w:tc>
        <w:tc>
          <w:tcPr>
            <w:tcW w:w="866" w:type="pct"/>
            <w:shd w:val="clear" w:color="auto" w:fill="auto"/>
            <w:noWrap/>
            <w:vAlign w:val="center"/>
          </w:tcPr>
          <w:p w14:paraId="68751ED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1</w:t>
            </w:r>
          </w:p>
        </w:tc>
        <w:tc>
          <w:tcPr>
            <w:tcW w:w="888" w:type="pct"/>
            <w:vMerge w:val="continue"/>
            <w:shd w:val="clear" w:color="auto" w:fill="auto"/>
            <w:vAlign w:val="center"/>
          </w:tcPr>
          <w:p w14:paraId="2BC6D6E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05D2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01989D87">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15</w:t>
            </w:r>
          </w:p>
        </w:tc>
        <w:tc>
          <w:tcPr>
            <w:tcW w:w="1843" w:type="pct"/>
            <w:shd w:val="clear" w:color="auto" w:fill="auto"/>
            <w:noWrap/>
            <w:vAlign w:val="center"/>
          </w:tcPr>
          <w:p w14:paraId="381324B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圆弧爬坡振动光饰机</w:t>
            </w:r>
          </w:p>
        </w:tc>
        <w:tc>
          <w:tcPr>
            <w:tcW w:w="931" w:type="pct"/>
            <w:shd w:val="clear" w:color="auto" w:fill="auto"/>
            <w:noWrap/>
            <w:vAlign w:val="center"/>
          </w:tcPr>
          <w:p w14:paraId="1F5ED30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LZG(A)1000</w:t>
            </w:r>
          </w:p>
        </w:tc>
        <w:tc>
          <w:tcPr>
            <w:tcW w:w="866" w:type="pct"/>
            <w:shd w:val="clear" w:color="auto" w:fill="auto"/>
            <w:noWrap/>
            <w:vAlign w:val="center"/>
          </w:tcPr>
          <w:p w14:paraId="1780DCA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w:t>
            </w:r>
          </w:p>
        </w:tc>
        <w:tc>
          <w:tcPr>
            <w:tcW w:w="888" w:type="pct"/>
            <w:vMerge w:val="continue"/>
            <w:shd w:val="clear" w:color="auto" w:fill="auto"/>
            <w:vAlign w:val="center"/>
          </w:tcPr>
          <w:p w14:paraId="489DBBA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38C0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34B53560">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16</w:t>
            </w:r>
          </w:p>
        </w:tc>
        <w:tc>
          <w:tcPr>
            <w:tcW w:w="1843" w:type="pct"/>
            <w:shd w:val="clear" w:color="auto" w:fill="auto"/>
            <w:noWrap/>
            <w:vAlign w:val="center"/>
          </w:tcPr>
          <w:p w14:paraId="581C460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三销轴自动装针机</w:t>
            </w:r>
          </w:p>
        </w:tc>
        <w:tc>
          <w:tcPr>
            <w:tcW w:w="931" w:type="pct"/>
            <w:shd w:val="clear" w:color="auto" w:fill="auto"/>
            <w:noWrap/>
            <w:vAlign w:val="center"/>
          </w:tcPr>
          <w:p w14:paraId="115B710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ZZJ40</w:t>
            </w:r>
          </w:p>
        </w:tc>
        <w:tc>
          <w:tcPr>
            <w:tcW w:w="866" w:type="pct"/>
            <w:shd w:val="clear" w:color="auto" w:fill="auto"/>
            <w:noWrap/>
            <w:vAlign w:val="center"/>
          </w:tcPr>
          <w:p w14:paraId="2300816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3</w:t>
            </w:r>
          </w:p>
        </w:tc>
        <w:tc>
          <w:tcPr>
            <w:tcW w:w="888" w:type="pct"/>
            <w:vMerge w:val="restart"/>
            <w:shd w:val="clear" w:color="auto" w:fill="auto"/>
            <w:vAlign w:val="center"/>
          </w:tcPr>
          <w:p w14:paraId="2816336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装配车间</w:t>
            </w:r>
          </w:p>
        </w:tc>
      </w:tr>
      <w:tr w14:paraId="3D95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38FE0EEA">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17</w:t>
            </w:r>
          </w:p>
        </w:tc>
        <w:tc>
          <w:tcPr>
            <w:tcW w:w="1843" w:type="pct"/>
            <w:shd w:val="clear" w:color="auto" w:fill="auto"/>
            <w:noWrap/>
            <w:vAlign w:val="center"/>
          </w:tcPr>
          <w:p w14:paraId="48B5A9D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三销轴自动检测设备</w:t>
            </w:r>
          </w:p>
        </w:tc>
        <w:tc>
          <w:tcPr>
            <w:tcW w:w="931" w:type="pct"/>
            <w:shd w:val="clear" w:color="auto" w:fill="auto"/>
            <w:noWrap/>
            <w:vAlign w:val="center"/>
          </w:tcPr>
          <w:p w14:paraId="6055963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XS-JC45</w:t>
            </w:r>
          </w:p>
        </w:tc>
        <w:tc>
          <w:tcPr>
            <w:tcW w:w="866" w:type="pct"/>
            <w:shd w:val="clear" w:color="auto" w:fill="auto"/>
            <w:noWrap/>
            <w:vAlign w:val="center"/>
          </w:tcPr>
          <w:p w14:paraId="53E51B7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3</w:t>
            </w:r>
          </w:p>
        </w:tc>
        <w:tc>
          <w:tcPr>
            <w:tcW w:w="888" w:type="pct"/>
            <w:vMerge w:val="continue"/>
            <w:shd w:val="clear" w:color="auto" w:fill="auto"/>
            <w:vAlign w:val="center"/>
          </w:tcPr>
          <w:p w14:paraId="5F5FE4F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p>
        </w:tc>
      </w:tr>
      <w:tr w14:paraId="5AEF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1BAE5A19">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18</w:t>
            </w:r>
          </w:p>
        </w:tc>
        <w:tc>
          <w:tcPr>
            <w:tcW w:w="1843" w:type="pct"/>
            <w:shd w:val="clear" w:color="auto" w:fill="auto"/>
            <w:noWrap/>
            <w:vAlign w:val="center"/>
          </w:tcPr>
          <w:p w14:paraId="76F69AF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冷却水塔</w:t>
            </w:r>
          </w:p>
        </w:tc>
        <w:tc>
          <w:tcPr>
            <w:tcW w:w="931" w:type="pct"/>
            <w:shd w:val="clear" w:color="auto" w:fill="auto"/>
            <w:noWrap/>
            <w:vAlign w:val="center"/>
          </w:tcPr>
          <w:p w14:paraId="2C934FE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30kw</w:t>
            </w:r>
          </w:p>
        </w:tc>
        <w:tc>
          <w:tcPr>
            <w:tcW w:w="866" w:type="pct"/>
            <w:shd w:val="clear" w:color="auto" w:fill="auto"/>
            <w:noWrap/>
            <w:vAlign w:val="center"/>
          </w:tcPr>
          <w:p w14:paraId="71BBF8B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1</w:t>
            </w:r>
          </w:p>
        </w:tc>
        <w:tc>
          <w:tcPr>
            <w:tcW w:w="888" w:type="pct"/>
            <w:shd w:val="clear" w:color="auto" w:fill="auto"/>
            <w:vAlign w:val="center"/>
          </w:tcPr>
          <w:p w14:paraId="5DB6912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w:t>
            </w:r>
          </w:p>
        </w:tc>
      </w:tr>
      <w:tr w14:paraId="15E8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9" w:type="pct"/>
            <w:shd w:val="clear" w:color="auto" w:fill="auto"/>
            <w:noWrap/>
            <w:vAlign w:val="center"/>
          </w:tcPr>
          <w:p w14:paraId="68828CC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19</w:t>
            </w:r>
          </w:p>
        </w:tc>
        <w:tc>
          <w:tcPr>
            <w:tcW w:w="1843" w:type="pct"/>
            <w:shd w:val="clear" w:color="auto" w:fill="auto"/>
            <w:noWrap/>
            <w:vAlign w:val="center"/>
          </w:tcPr>
          <w:p w14:paraId="3D1A15E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空压机</w:t>
            </w:r>
          </w:p>
        </w:tc>
        <w:tc>
          <w:tcPr>
            <w:tcW w:w="931" w:type="pct"/>
            <w:shd w:val="clear" w:color="auto" w:fill="auto"/>
            <w:noWrap/>
            <w:vAlign w:val="center"/>
          </w:tcPr>
          <w:p w14:paraId="61C6026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w:t>
            </w:r>
          </w:p>
        </w:tc>
        <w:tc>
          <w:tcPr>
            <w:tcW w:w="866" w:type="pct"/>
            <w:shd w:val="clear" w:color="auto" w:fill="auto"/>
            <w:noWrap/>
            <w:vAlign w:val="center"/>
          </w:tcPr>
          <w:p w14:paraId="570DAFF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1</w:t>
            </w:r>
          </w:p>
        </w:tc>
        <w:tc>
          <w:tcPr>
            <w:tcW w:w="888" w:type="pct"/>
            <w:shd w:val="clear" w:color="auto" w:fill="auto"/>
            <w:vAlign w:val="center"/>
          </w:tcPr>
          <w:p w14:paraId="75A9C3E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空压机房</w:t>
            </w:r>
          </w:p>
        </w:tc>
      </w:tr>
    </w:tbl>
    <w:p w14:paraId="2A94F95A">
      <w:pPr>
        <w:pStyle w:val="76"/>
        <w:keepNext w:val="0"/>
        <w:keepLines w:val="0"/>
        <w:pageBreakBefore w:val="0"/>
        <w:widowControl w:val="0"/>
        <w:numPr>
          <w:ilvl w:val="2"/>
          <w:numId w:val="5"/>
        </w:numPr>
        <w:kinsoku/>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生产班次及劳动定员</w:t>
      </w:r>
    </w:p>
    <w:p w14:paraId="36EDFA30">
      <w:pPr>
        <w:keepNext w:val="0"/>
        <w:keepLines w:val="0"/>
        <w:pageBreakBefore w:val="0"/>
        <w:widowControl w:val="0"/>
        <w:kinsoku/>
        <w:wordWrap w:val="0"/>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lang w:val="en-US" w:eastAsia="zh-CN"/>
        </w:rPr>
      </w:pPr>
      <w:r>
        <w:rPr>
          <w:rFonts w:hint="default" w:ascii="Arial" w:hAnsi="Arial" w:eastAsia="宋体" w:cs="Arial"/>
          <w:sz w:val="24"/>
          <w:szCs w:val="24"/>
          <w:lang w:val="en-US" w:eastAsia="zh-CN"/>
        </w:rPr>
        <w:t>本项目实施后劳动定员为30人，企业年生产天数为250天，项目实行两班制，单班工作时长12h，企业不设置食堂住宿。</w:t>
      </w:r>
    </w:p>
    <w:p w14:paraId="5BDEBB92">
      <w:pPr>
        <w:pStyle w:val="76"/>
        <w:keepNext w:val="0"/>
        <w:keepLines w:val="0"/>
        <w:pageBreakBefore w:val="0"/>
        <w:widowControl w:val="0"/>
        <w:numPr>
          <w:ilvl w:val="2"/>
          <w:numId w:val="5"/>
        </w:numPr>
        <w:kinsoku/>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总平面布置</w:t>
      </w:r>
    </w:p>
    <w:p w14:paraId="7213DF48">
      <w:pPr>
        <w:keepNext w:val="0"/>
        <w:keepLines w:val="0"/>
        <w:pageBreakBefore w:val="0"/>
        <w:widowControl w:val="0"/>
        <w:kinsoku/>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本项目拟建于浙江省嘉兴市</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w:t>
      </w:r>
      <w:r>
        <w:rPr>
          <w:rFonts w:hint="default" w:ascii="Arial" w:hAnsi="Arial" w:eastAsia="宋体" w:cs="Arial"/>
          <w:sz w:val="24"/>
          <w:szCs w:val="24"/>
          <w:lang w:val="en-US" w:eastAsia="zh-CN"/>
        </w:rPr>
        <w:t>生产车间面积为1910m</w:t>
      </w:r>
      <w:r>
        <w:rPr>
          <w:rFonts w:hint="default" w:ascii="Arial" w:hAnsi="Arial" w:eastAsia="宋体" w:cs="Arial"/>
          <w:sz w:val="24"/>
          <w:szCs w:val="24"/>
          <w:vertAlign w:val="superscript"/>
          <w:lang w:val="en-US" w:eastAsia="zh-CN"/>
        </w:rPr>
        <w:t>2</w:t>
      </w:r>
      <w:r>
        <w:rPr>
          <w:rFonts w:hint="default" w:ascii="Arial" w:hAnsi="Arial" w:eastAsia="宋体" w:cs="Arial"/>
          <w:sz w:val="24"/>
          <w:szCs w:val="24"/>
          <w:lang w:val="en-US" w:eastAsia="zh-CN"/>
        </w:rPr>
        <w:t>，共1层。车间包括下料区、机加工区、锻造区、拉齿区、磨削区、仓储区等区域。</w:t>
      </w:r>
      <w:r>
        <w:rPr>
          <w:rFonts w:hint="default" w:ascii="Arial" w:hAnsi="Arial" w:eastAsia="宋体" w:cs="Arial"/>
          <w:sz w:val="24"/>
          <w:szCs w:val="24"/>
        </w:rPr>
        <w:t>具体布置见附图3项目平面布置示意图。</w:t>
      </w:r>
    </w:p>
    <w:p w14:paraId="03F46CE6">
      <w:pPr>
        <w:ind w:firstLine="419" w:firstLineChars="174"/>
        <w:rPr>
          <w:rFonts w:hint="default" w:ascii="Arial" w:hAnsi="Arial" w:eastAsia="宋体" w:cs="Arial"/>
          <w:b/>
          <w:bCs/>
          <w:sz w:val="24"/>
          <w:szCs w:val="24"/>
        </w:rPr>
      </w:pPr>
    </w:p>
    <w:p w14:paraId="782B20D8">
      <w:pPr>
        <w:ind w:firstLine="419" w:firstLineChars="174"/>
        <w:rPr>
          <w:rFonts w:hint="default" w:ascii="Arial" w:hAnsi="Arial" w:eastAsia="宋体" w:cs="Arial"/>
          <w:b/>
          <w:bCs/>
          <w:sz w:val="24"/>
          <w:szCs w:val="24"/>
        </w:rPr>
        <w:sectPr>
          <w:headerReference r:id="rId13"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07D0365A">
      <w:pPr>
        <w:pStyle w:val="76"/>
        <w:keepNext w:val="0"/>
        <w:keepLines w:val="0"/>
        <w:pageBreakBefore w:val="0"/>
        <w:widowControl w:val="0"/>
        <w:numPr>
          <w:ilvl w:val="1"/>
          <w:numId w:val="5"/>
        </w:numPr>
        <w:kinsoku/>
        <w:wordWrap/>
        <w:overflowPunct/>
        <w:topLinePunct w:val="0"/>
        <w:autoSpaceDE/>
        <w:autoSpaceDN/>
        <w:bidi w:val="0"/>
        <w:adjustRightInd/>
        <w:snapToGrid/>
        <w:spacing w:line="240" w:lineRule="auto"/>
        <w:ind w:left="210" w:leftChars="0" w:firstLineChars="0"/>
        <w:textAlignment w:val="auto"/>
        <w:outlineLvl w:val="1"/>
        <w:rPr>
          <w:rFonts w:hint="default" w:ascii="Arial" w:hAnsi="Arial" w:eastAsia="宋体" w:cs="Arial"/>
          <w:b/>
          <w:bCs/>
          <w:sz w:val="28"/>
          <w:szCs w:val="28"/>
        </w:rPr>
      </w:pPr>
      <w:r>
        <w:rPr>
          <w:rFonts w:hint="default" w:ascii="Arial" w:hAnsi="Arial" w:eastAsia="宋体" w:cs="Arial"/>
          <w:b/>
          <w:bCs/>
          <w:sz w:val="28"/>
          <w:szCs w:val="28"/>
        </w:rPr>
        <w:t>工艺流程和产排污环节</w:t>
      </w:r>
    </w:p>
    <w:p w14:paraId="2C2D5F38">
      <w:pPr>
        <w:pStyle w:val="76"/>
        <w:keepNext w:val="0"/>
        <w:keepLines w:val="0"/>
        <w:pageBreakBefore w:val="0"/>
        <w:widowControl w:val="0"/>
        <w:numPr>
          <w:ilvl w:val="2"/>
          <w:numId w:val="5"/>
        </w:numPr>
        <w:tabs>
          <w:tab w:val="left" w:pos="5154"/>
        </w:tabs>
        <w:kinsoku/>
        <w:wordWrap/>
        <w:overflowPunct/>
        <w:topLinePunct w:val="0"/>
        <w:autoSpaceDE/>
        <w:autoSpaceDN/>
        <w:bidi w:val="0"/>
        <w:adjustRightInd/>
        <w:snapToGrid/>
        <w:spacing w:line="240" w:lineRule="auto"/>
        <w:ind w:left="210" w:lef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val="0"/>
          <w:sz w:val="24"/>
          <w:szCs w:val="24"/>
        </w:rPr>
        <w:t>工艺流程</w:t>
      </w:r>
      <w:r>
        <w:rPr>
          <w:rFonts w:hint="default" w:ascii="Arial" w:hAnsi="Arial" w:eastAsia="宋体" w:cs="Arial"/>
          <w:bCs/>
          <w:sz w:val="24"/>
          <w:szCs w:val="24"/>
          <w:lang w:eastAsia="zh-CN"/>
        </w:rPr>
        <w:tab/>
      </w:r>
    </w:p>
    <w:p w14:paraId="23BA8E57">
      <w:pPr>
        <w:keepNext w:val="0"/>
        <w:keepLines w:val="0"/>
        <w:widowControl/>
        <w:suppressLineNumbers w:val="0"/>
        <w:jc w:val="center"/>
        <w:rPr>
          <w:rFonts w:hint="default" w:ascii="Arial" w:hAnsi="Arial" w:eastAsia="宋体" w:cs="Arial"/>
        </w:rPr>
      </w:pPr>
      <w:r>
        <w:rPr>
          <w:rFonts w:hint="default" w:ascii="Arial" w:hAnsi="Arial" w:eastAsia="宋体" w:cs="Arial"/>
        </w:rPr>
        <w:object>
          <v:shape id="_x0000_i1025" o:spt="75" type="#_x0000_t75" style="height:602.75pt;width:284.5pt;" o:ole="t" filled="f" o:preferrelative="t" stroked="f" coordsize="21600,21600">
            <v:path/>
            <v:fill on="f" focussize="0,0"/>
            <v:stroke on="f"/>
            <v:imagedata r:id="rId36" o:title=""/>
            <o:lock v:ext="edit" aspectratio="f"/>
            <w10:wrap type="none"/>
            <w10:anchorlock/>
          </v:shape>
          <o:OLEObject Type="Embed" ProgID="Visio.Drawing.15" ShapeID="_x0000_i1025" DrawAspect="Content" ObjectID="_1468075725" r:id="rId35">
            <o:LockedField>false</o:LockedField>
          </o:OLEObject>
        </w:object>
      </w:r>
    </w:p>
    <w:p w14:paraId="1C8907C8">
      <w:pPr>
        <w:numPr>
          <w:ilvl w:val="5"/>
          <w:numId w:val="5"/>
        </w:numPr>
        <w:ind w:left="775" w:leftChars="0" w:firstLine="0" w:firstLineChars="0"/>
        <w:jc w:val="center"/>
        <w:rPr>
          <w:rFonts w:hint="default" w:ascii="Arial" w:hAnsi="Arial" w:eastAsia="宋体" w:cs="Arial"/>
          <w:b/>
          <w:bCs/>
          <w:sz w:val="24"/>
          <w:szCs w:val="24"/>
        </w:rPr>
      </w:pPr>
      <w:r>
        <w:rPr>
          <w:rFonts w:hint="default" w:ascii="Arial" w:hAnsi="Arial" w:eastAsia="宋体" w:cs="Arial"/>
          <w:b/>
          <w:bCs/>
          <w:sz w:val="24"/>
          <w:szCs w:val="24"/>
        </w:rPr>
        <w:t xml:space="preserve">  生产工艺流程及产污环节图</w:t>
      </w:r>
    </w:p>
    <w:p w14:paraId="0018FB0F">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主要工艺流程说明：</w:t>
      </w:r>
    </w:p>
    <w:p w14:paraId="62BD0C7B">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pacing w:val="-6"/>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①原材料入场检验：</w:t>
      </w:r>
      <w:r>
        <w:rPr>
          <w:rFonts w:hint="default" w:ascii="Arial" w:hAnsi="Arial" w:eastAsia="宋体" w:cs="Arial"/>
          <w:color w:val="000000" w:themeColor="text1"/>
          <w:spacing w:val="-6"/>
          <w:sz w:val="24"/>
          <w:szCs w:val="24"/>
          <w:lang w:val="en-US" w:eastAsia="zh-CN"/>
          <w14:textFill>
            <w14:solidFill>
              <w14:schemeClr w14:val="tx1"/>
            </w14:solidFill>
          </w14:textFill>
        </w:rPr>
        <w:t>检验原材料有无锈迹、折皱、裂纹等影响使用的缺陷。</w:t>
      </w:r>
    </w:p>
    <w:p w14:paraId="4E9842ED">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②下料：采用圆盘锯将棒料切割为定长的坯料。</w:t>
      </w:r>
    </w:p>
    <w:p w14:paraId="638D1A7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0" w:firstLine="480" w:firstLineChars="200"/>
        <w:jc w:val="both"/>
        <w:textAlignment w:val="auto"/>
        <w:rPr>
          <w:rFonts w:hint="default" w:ascii="Arial" w:hAnsi="Arial" w:eastAsia="宋体" w:cs="Arial"/>
          <w:bCs/>
          <w:color w:val="000000" w:themeColor="text1"/>
          <w:kern w:val="2"/>
          <w:sz w:val="24"/>
          <w:szCs w:val="24"/>
          <w:lang w:val="en-US" w:eastAsia="zh-CN" w:bidi="ar"/>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③退火：使用中频加热炉（电加热）加热坯料，</w:t>
      </w:r>
      <w:r>
        <w:rPr>
          <w:rFonts w:hint="default" w:ascii="Arial" w:hAnsi="Arial" w:eastAsia="宋体" w:cs="Arial"/>
          <w:bCs/>
          <w:color w:val="000000" w:themeColor="text1"/>
          <w:kern w:val="2"/>
          <w:sz w:val="24"/>
          <w:szCs w:val="24"/>
          <w:lang w:val="en-US" w:eastAsia="zh-CN" w:bidi="ar"/>
          <w14:textFill>
            <w14:solidFill>
              <w14:schemeClr w14:val="tx1"/>
            </w14:solidFill>
          </w14:textFill>
        </w:rPr>
        <w:t>降低金属材料的变形抗力，提高塑性，使坯料在锻造时易于成型。</w:t>
      </w:r>
    </w:p>
    <w:p w14:paraId="1C814DAB">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0" w:firstLine="480" w:firstLineChars="200"/>
        <w:jc w:val="both"/>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④表面润滑处理：在挤压预处理机内对坯料进行表面润滑处理，在坯料表面涂敷石墨润滑剂，然后进行热风烘干，根据石墨润滑剂MSDS，烘干过程中挥发成分为水分。</w:t>
      </w:r>
    </w:p>
    <w:p w14:paraId="01E2585A">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0" w:firstLine="480" w:firstLineChars="200"/>
        <w:jc w:val="both"/>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⑤锻造：加热后的坯料先进入预锻模具，通过油压机进行锻压，将坯料塑造成三销轴最终形状的轮廓</w:t>
      </w:r>
      <w:r>
        <w:rPr>
          <w:rFonts w:hint="eastAsia" w:ascii="Arial" w:hAnsi="Arial" w:eastAsia="宋体" w:cs="Arial"/>
          <w:color w:val="000000" w:themeColor="text1"/>
          <w:sz w:val="24"/>
          <w:szCs w:val="24"/>
          <w:lang w:val="en-US" w:eastAsia="zh-CN"/>
          <w14:textFill>
            <w14:solidFill>
              <w14:schemeClr w14:val="tx1"/>
            </w14:solidFill>
          </w14:textFill>
        </w:rPr>
        <w:t>，此过程会产生锻压粉尘和脱模粉尘</w:t>
      </w:r>
      <w:r>
        <w:rPr>
          <w:rFonts w:hint="default" w:ascii="Arial" w:hAnsi="Arial" w:eastAsia="宋体" w:cs="Arial"/>
          <w:color w:val="000000" w:themeColor="text1"/>
          <w:sz w:val="24"/>
          <w:szCs w:val="24"/>
          <w:lang w:val="en-US" w:eastAsia="zh-CN"/>
          <w14:textFill>
            <w14:solidFill>
              <w14:schemeClr w14:val="tx1"/>
            </w14:solidFill>
          </w14:textFill>
        </w:rPr>
        <w:t>。</w:t>
      </w:r>
    </w:p>
    <w:p w14:paraId="7D9D947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0" w:firstLine="480" w:firstLineChars="200"/>
        <w:jc w:val="both"/>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⑥抛丸：首先将细钢丸作为抛射介质，利用抛丸机高速旋转并将钢丸抛射到电机转轴零部件的表面上，钢丸的高速冲击能够去除零部件表面的氧化皮、锈蚀、油污及微小毛刺等杂质，达到清理和强化表面的目的。两台抛丸机中产生的废气通过自带布袋除尘器进行除尘后通过DA001排气筒排放，废钢丸及抛丸粉尘经收集后外售</w:t>
      </w:r>
      <w:r>
        <w:rPr>
          <w:rFonts w:hint="eastAsia" w:ascii="Arial" w:hAnsi="Arial" w:eastAsia="宋体" w:cs="Arial"/>
          <w:color w:val="000000" w:themeColor="text1"/>
          <w:sz w:val="24"/>
          <w:szCs w:val="24"/>
          <w:lang w:val="en-US" w:eastAsia="zh-CN"/>
          <w14:textFill>
            <w14:solidFill>
              <w14:schemeClr w14:val="tx1"/>
            </w14:solidFill>
          </w14:textFill>
        </w:rPr>
        <w:t>。</w:t>
      </w:r>
    </w:p>
    <w:p w14:paraId="1A9A218A">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⑦机加工：机加工工序包括钻孔粗车、车外圆、端面、内孔、轴颈、拉花键等工序，机加工采用湿式作业，利用切削液进行冷却，切削液在机器中经过自带的过滤设备过滤后循环使用，定期更换，废切削液作为危废处理。</w:t>
      </w:r>
    </w:p>
    <w:p w14:paraId="7E08D9D6">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⑧清洗1：清洗去除前工序中残留在工件上的少量切削液。清洗剂与水的配比，工作浓度为为10%，清洗剂循环使用，定期补充。4周更换一次，作危废委托有资质单位处置。</w:t>
      </w:r>
    </w:p>
    <w:p w14:paraId="5740783C">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⑨</w:t>
      </w:r>
      <w:r>
        <w:rPr>
          <w:rFonts w:hint="eastAsia" w:ascii="Arial" w:hAnsi="Arial" w:eastAsia="宋体" w:cs="Arial"/>
          <w:color w:val="000000" w:themeColor="text1"/>
          <w:sz w:val="24"/>
          <w:szCs w:val="24"/>
          <w:lang w:val="en-US" w:eastAsia="zh-CN"/>
          <w14:textFill>
            <w14:solidFill>
              <w14:schemeClr w14:val="tx1"/>
            </w14:solidFill>
          </w14:textFill>
        </w:rPr>
        <w:t>碳氮共渗、</w:t>
      </w:r>
      <w:r>
        <w:rPr>
          <w:rFonts w:hint="default" w:ascii="Arial" w:hAnsi="Arial" w:eastAsia="宋体" w:cs="Arial"/>
          <w:color w:val="000000" w:themeColor="text1"/>
          <w:sz w:val="24"/>
          <w:szCs w:val="24"/>
          <w:lang w:val="en-US" w:eastAsia="zh-CN"/>
          <w14:textFill>
            <w14:solidFill>
              <w14:schemeClr w14:val="tx1"/>
            </w14:solidFill>
          </w14:textFill>
        </w:rPr>
        <w:t>淬火</w:t>
      </w:r>
      <w:r>
        <w:rPr>
          <w:rFonts w:hint="eastAsia" w:ascii="Arial" w:hAnsi="Arial" w:eastAsia="宋体" w:cs="Arial"/>
          <w:color w:val="000000" w:themeColor="text1"/>
          <w:sz w:val="24"/>
          <w:szCs w:val="24"/>
          <w:lang w:val="en-US" w:eastAsia="zh-CN"/>
          <w14:textFill>
            <w14:solidFill>
              <w14:schemeClr w14:val="tx1"/>
            </w14:solidFill>
          </w14:textFill>
        </w:rPr>
        <w:t>、</w:t>
      </w:r>
      <w:r>
        <w:rPr>
          <w:rFonts w:hint="default" w:ascii="Arial" w:hAnsi="Arial" w:eastAsia="宋体" w:cs="Arial"/>
          <w:color w:val="000000" w:themeColor="text1"/>
          <w:sz w:val="24"/>
          <w:szCs w:val="24"/>
          <w:lang w:val="en-US" w:eastAsia="zh-CN"/>
          <w14:textFill>
            <w14:solidFill>
              <w14:schemeClr w14:val="tx1"/>
            </w14:solidFill>
          </w14:textFill>
        </w:rPr>
        <w:t>回火：经机械加工后的工件送入碳氮共渗</w:t>
      </w:r>
      <w:r>
        <w:rPr>
          <w:rFonts w:hint="eastAsia" w:ascii="Arial" w:hAnsi="Arial" w:eastAsia="宋体" w:cs="Arial"/>
          <w:color w:val="000000" w:themeColor="text1"/>
          <w:sz w:val="24"/>
          <w:szCs w:val="24"/>
          <w:lang w:val="en-US" w:eastAsia="zh-CN"/>
          <w14:textFill>
            <w14:solidFill>
              <w14:schemeClr w14:val="tx1"/>
            </w14:solidFill>
          </w14:textFill>
        </w:rPr>
        <w:t>、淬火、回火</w:t>
      </w:r>
      <w:r>
        <w:rPr>
          <w:rFonts w:hint="default" w:ascii="Arial" w:hAnsi="Arial" w:eastAsia="宋体" w:cs="Arial"/>
          <w:color w:val="000000" w:themeColor="text1"/>
          <w:sz w:val="24"/>
          <w:szCs w:val="24"/>
          <w:lang w:val="en-US" w:eastAsia="zh-CN"/>
          <w14:textFill>
            <w14:solidFill>
              <w14:schemeClr w14:val="tx1"/>
            </w14:solidFill>
          </w14:textFill>
        </w:rPr>
        <w:t>工序以提高工件的淬透性、回火抗力、耐磨性和抗疲劳性能等。此工序为外协。</w:t>
      </w:r>
    </w:p>
    <w:p w14:paraId="22A0A9CF">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⑩轴颈磨加工：使用磨床对工件进行进一步加工</w:t>
      </w:r>
      <w:r>
        <w:rPr>
          <w:rFonts w:hint="eastAsia" w:ascii="Arial" w:hAnsi="Arial" w:eastAsia="宋体" w:cs="Arial"/>
          <w:color w:val="000000" w:themeColor="text1"/>
          <w:sz w:val="24"/>
          <w:szCs w:val="24"/>
          <w:lang w:val="en-US" w:eastAsia="zh-CN"/>
          <w14:textFill>
            <w14:solidFill>
              <w14:schemeClr w14:val="tx1"/>
            </w14:solidFill>
          </w14:textFill>
        </w:rPr>
        <w:t>，磨加工过程中温度升高，切削液少量挥发，产生机加工油雾</w:t>
      </w:r>
      <w:r>
        <w:rPr>
          <w:rFonts w:hint="default" w:ascii="Arial" w:hAnsi="Arial" w:eastAsia="宋体" w:cs="Arial"/>
          <w:color w:val="000000" w:themeColor="text1"/>
          <w:sz w:val="24"/>
          <w:szCs w:val="24"/>
          <w:lang w:val="en-US" w:eastAsia="zh-CN"/>
          <w14:textFill>
            <w14:solidFill>
              <w14:schemeClr w14:val="tx1"/>
            </w14:solidFill>
          </w14:textFill>
        </w:rPr>
        <w:t>。</w:t>
      </w:r>
    </w:p>
    <w:p w14:paraId="5FA8496E">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⑪探伤：对工件施加部分或整体的环绕磁场，使工件整体或局部磁化。使荧光探伤液吸附在缺陷部位的磁极之间形成检测图像，探伤磁化后的工件达到磁饱和，进行退磁，使工件的剩磁达到国家标准或磁化前的状态。荧光探伤液使用荧光粉和水</w:t>
      </w:r>
      <w:r>
        <w:rPr>
          <w:rFonts w:hint="eastAsia" w:ascii="Arial" w:hAnsi="Arial" w:eastAsia="宋体" w:cs="Arial"/>
          <w:color w:val="000000" w:themeColor="text1"/>
          <w:sz w:val="24"/>
          <w:szCs w:val="24"/>
          <w:lang w:val="en-US" w:eastAsia="zh-CN"/>
          <w14:textFill>
            <w14:solidFill>
              <w14:schemeClr w14:val="tx1"/>
            </w14:solidFill>
          </w14:textFill>
        </w:rPr>
        <w:t>配制，荧光液使用一段时间后整体更换，作为危废</w:t>
      </w:r>
      <w:r>
        <w:rPr>
          <w:rFonts w:hint="default" w:ascii="Arial" w:hAnsi="Arial" w:eastAsia="宋体" w:cs="Arial"/>
          <w:color w:val="000000" w:themeColor="text1"/>
          <w:sz w:val="24"/>
          <w:szCs w:val="24"/>
          <w:lang w:val="en-US" w:eastAsia="zh-CN"/>
          <w14:textFill>
            <w14:solidFill>
              <w14:schemeClr w14:val="tx1"/>
            </w14:solidFill>
          </w14:textFill>
        </w:rPr>
        <w:t>委托有资质单</w:t>
      </w:r>
      <w:r>
        <w:rPr>
          <w:rFonts w:hint="default" w:ascii="Arial" w:hAnsi="Arial" w:eastAsia="宋体" w:cs="Arial"/>
          <w:color w:val="auto"/>
          <w:sz w:val="24"/>
          <w:szCs w:val="24"/>
          <w:lang w:val="en-US" w:eastAsia="zh-CN"/>
        </w:rPr>
        <w:t>位处置</w:t>
      </w:r>
      <w:r>
        <w:rPr>
          <w:rFonts w:hint="default" w:ascii="Arial" w:hAnsi="Arial" w:eastAsia="宋体" w:cs="Arial"/>
          <w:color w:val="000000" w:themeColor="text1"/>
          <w:sz w:val="24"/>
          <w:szCs w:val="24"/>
          <w:lang w:val="en-US" w:eastAsia="zh-CN"/>
          <w14:textFill>
            <w14:solidFill>
              <w14:schemeClr w14:val="tx1"/>
            </w14:solidFill>
          </w14:textFill>
        </w:rPr>
        <w:t>。</w:t>
      </w:r>
    </w:p>
    <w:p w14:paraId="5B211F92">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auto"/>
          <w:sz w:val="24"/>
          <w:szCs w:val="24"/>
          <w:lang w:val="en-US" w:eastAsia="zh-CN"/>
        </w:rPr>
      </w:pPr>
      <w:r>
        <w:rPr>
          <w:rFonts w:hint="default" w:ascii="Arial" w:hAnsi="Arial" w:eastAsia="宋体" w:cs="Arial"/>
          <w:color w:val="000000" w:themeColor="text1"/>
          <w:sz w:val="24"/>
          <w:szCs w:val="24"/>
          <w:lang w:val="en-US" w:eastAsia="zh-CN"/>
          <w14:textFill>
            <w14:solidFill>
              <w14:schemeClr w14:val="tx1"/>
            </w14:solidFill>
          </w14:textFill>
        </w:rPr>
        <w:t>⑫清洗2：清洗去除前工序中残留在工件上的探伤液。清洗剂与水的配比，工作浓度为为10%，清洗剂循环使用，定期补充。4周更换一次，作危废委托有资质单</w:t>
      </w:r>
      <w:r>
        <w:rPr>
          <w:rFonts w:hint="default" w:ascii="Arial" w:hAnsi="Arial" w:eastAsia="宋体" w:cs="Arial"/>
          <w:color w:val="auto"/>
          <w:sz w:val="24"/>
          <w:szCs w:val="24"/>
          <w:lang w:val="en-US" w:eastAsia="zh-CN"/>
        </w:rPr>
        <w:t>位处置。</w:t>
      </w:r>
    </w:p>
    <w:p w14:paraId="2F4E6999">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auto"/>
          <w:sz w:val="24"/>
          <w:szCs w:val="24"/>
          <w:lang w:val="en-US" w:eastAsia="zh-CN"/>
        </w:rPr>
      </w:pPr>
      <w:r>
        <w:rPr>
          <w:rFonts w:hint="default" w:ascii="Arial" w:hAnsi="Arial" w:eastAsia="宋体" w:cs="Arial"/>
          <w:color w:val="auto"/>
          <w:sz w:val="24"/>
          <w:szCs w:val="24"/>
          <w:lang w:val="en-US" w:eastAsia="zh-CN"/>
        </w:rPr>
        <w:t>⑬光饰：使用圆弧爬坡振动光饰机对零件表面进行光饰要用于去毛刺、抛光和提高表面光洁度，本项目光饰为干式振动光饰</w:t>
      </w:r>
      <w:r>
        <w:rPr>
          <w:rFonts w:hint="eastAsia" w:ascii="Arial" w:hAnsi="Arial" w:eastAsia="宋体" w:cs="Arial"/>
          <w:color w:val="auto"/>
          <w:sz w:val="24"/>
          <w:szCs w:val="24"/>
          <w:lang w:val="en-US" w:eastAsia="zh-CN"/>
        </w:rPr>
        <w:t>，不产生废水，光饰机工作时加盖密闭</w:t>
      </w:r>
      <w:r>
        <w:rPr>
          <w:rFonts w:hint="default" w:ascii="Arial" w:hAnsi="Arial" w:eastAsia="宋体" w:cs="Arial"/>
          <w:color w:val="auto"/>
          <w:sz w:val="24"/>
          <w:szCs w:val="24"/>
          <w:lang w:val="en-US" w:eastAsia="zh-CN"/>
        </w:rPr>
        <w:t>，</w:t>
      </w:r>
      <w:r>
        <w:rPr>
          <w:rFonts w:hint="eastAsia" w:ascii="Arial" w:hAnsi="Arial" w:eastAsia="宋体" w:cs="Arial"/>
          <w:color w:val="auto"/>
          <w:sz w:val="24"/>
          <w:szCs w:val="24"/>
          <w:lang w:val="en-US" w:eastAsia="zh-CN"/>
        </w:rPr>
        <w:t>开盖时会有少量颗粒物逸出。光饰会产生金属屑、废磨料</w:t>
      </w:r>
      <w:r>
        <w:rPr>
          <w:rFonts w:hint="default" w:ascii="Arial" w:hAnsi="Arial" w:eastAsia="宋体" w:cs="Arial"/>
          <w:color w:val="auto"/>
          <w:sz w:val="24"/>
          <w:szCs w:val="24"/>
          <w:lang w:val="en-US" w:eastAsia="zh-CN"/>
        </w:rPr>
        <w:t>。</w:t>
      </w:r>
    </w:p>
    <w:p w14:paraId="484136D9">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auto"/>
          <w:sz w:val="24"/>
          <w:szCs w:val="24"/>
          <w:lang w:val="en-US" w:eastAsia="zh-CN"/>
        </w:rPr>
        <w:t>⑭装配：使用三销轴</w:t>
      </w:r>
      <w:r>
        <w:rPr>
          <w:rFonts w:hint="default" w:ascii="Arial" w:hAnsi="Arial" w:eastAsia="宋体" w:cs="Arial"/>
          <w:color w:val="000000" w:themeColor="text1"/>
          <w:sz w:val="24"/>
          <w:szCs w:val="24"/>
          <w:lang w:val="en-US" w:eastAsia="zh-CN"/>
          <w14:textFill>
            <w14:solidFill>
              <w14:schemeClr w14:val="tx1"/>
            </w14:solidFill>
          </w14:textFill>
        </w:rPr>
        <w:t>自动装针机对零件进行装配。</w:t>
      </w:r>
    </w:p>
    <w:p w14:paraId="5551A75E">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⑮检验：使用三销轴自动检测设备对零件进行检测。</w:t>
      </w:r>
    </w:p>
    <w:p w14:paraId="48A5258C">
      <w:pPr>
        <w:pStyle w:val="76"/>
        <w:keepNext w:val="0"/>
        <w:keepLines w:val="0"/>
        <w:pageBreakBefore w:val="0"/>
        <w:widowControl w:val="0"/>
        <w:numPr>
          <w:ilvl w:val="2"/>
          <w:numId w:val="6"/>
        </w:numPr>
        <w:kinsoku/>
        <w:wordWrap/>
        <w:overflowPunct/>
        <w:topLinePunct w:val="0"/>
        <w:autoSpaceDE/>
        <w:autoSpaceDN/>
        <w:bidi w:val="0"/>
        <w:adjustRightInd/>
        <w:snapToGrid/>
        <w:spacing w:line="240" w:lineRule="auto"/>
        <w:ind w:left="3223" w:leftChars="50" w:hanging="3118"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主要产污环节及污染因子</w:t>
      </w:r>
    </w:p>
    <w:p w14:paraId="7B5A7DD4">
      <w:pPr>
        <w:pStyle w:val="76"/>
        <w:numPr>
          <w:ilvl w:val="3"/>
          <w:numId w:val="5"/>
        </w:numPr>
        <w:spacing w:line="360" w:lineRule="auto"/>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主要产污环节及污染因子</w:t>
      </w:r>
    </w:p>
    <w:tbl>
      <w:tblPr>
        <w:tblStyle w:val="52"/>
        <w:tblpPr w:leftFromText="180" w:rightFromText="180" w:vertAnchor="text" w:tblpXSpec="center" w:tblpY="1"/>
        <w:tblOverlap w:val="never"/>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2460"/>
        <w:gridCol w:w="4368"/>
      </w:tblGrid>
      <w:tr w14:paraId="4E60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Align w:val="center"/>
          </w:tcPr>
          <w:p w14:paraId="2E2D6CD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污染类型</w:t>
            </w:r>
          </w:p>
        </w:tc>
        <w:tc>
          <w:tcPr>
            <w:tcW w:w="2460" w:type="dxa"/>
            <w:vAlign w:val="center"/>
          </w:tcPr>
          <w:p w14:paraId="458820E7">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污染环节</w:t>
            </w:r>
          </w:p>
        </w:tc>
        <w:tc>
          <w:tcPr>
            <w:tcW w:w="4368" w:type="dxa"/>
            <w:vAlign w:val="center"/>
          </w:tcPr>
          <w:p w14:paraId="53408579">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主要污染因子</w:t>
            </w:r>
          </w:p>
        </w:tc>
      </w:tr>
      <w:tr w14:paraId="63A3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restart"/>
            <w:vAlign w:val="center"/>
          </w:tcPr>
          <w:p w14:paraId="1CCF851A">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废气</w:t>
            </w:r>
          </w:p>
        </w:tc>
        <w:tc>
          <w:tcPr>
            <w:tcW w:w="2460" w:type="dxa"/>
            <w:vAlign w:val="center"/>
          </w:tcPr>
          <w:p w14:paraId="6B1D1AF5">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下料</w:t>
            </w:r>
          </w:p>
        </w:tc>
        <w:tc>
          <w:tcPr>
            <w:tcW w:w="4368" w:type="dxa"/>
            <w:vAlign w:val="center"/>
          </w:tcPr>
          <w:p w14:paraId="7826439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下料废气</w:t>
            </w:r>
          </w:p>
        </w:tc>
      </w:tr>
      <w:tr w14:paraId="4689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2BB9A10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3F6A61C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抛丸</w:t>
            </w:r>
          </w:p>
        </w:tc>
        <w:tc>
          <w:tcPr>
            <w:tcW w:w="4368" w:type="dxa"/>
            <w:shd w:val="clear" w:color="auto" w:fill="auto"/>
            <w:vAlign w:val="center"/>
          </w:tcPr>
          <w:p w14:paraId="5343FDF6">
            <w:pPr>
              <w:keepNext w:val="0"/>
              <w:keepLines w:val="0"/>
              <w:suppressLineNumbers w:val="0"/>
              <w:spacing w:before="0" w:beforeAutospacing="0" w:after="0" w:afterAutospacing="0"/>
              <w:ind w:left="0" w:leftChars="0" w:right="0" w:rightChars="0"/>
              <w:jc w:val="center"/>
              <w:rPr>
                <w:rFonts w:hint="eastAsia" w:ascii="Arial" w:hAnsi="Arial" w:eastAsia="宋体" w:cs="Arial"/>
                <w:kern w:val="2"/>
                <w:sz w:val="21"/>
                <w:szCs w:val="21"/>
                <w:lang w:val="en-US" w:eastAsia="zh-CN" w:bidi="ar-SA"/>
              </w:rPr>
            </w:pPr>
            <w:r>
              <w:rPr>
                <w:rFonts w:hint="eastAsia" w:ascii="Arial" w:hAnsi="Arial" w:eastAsia="宋体" w:cs="Arial"/>
                <w:szCs w:val="21"/>
                <w:lang w:val="en-US" w:eastAsia="zh-CN"/>
              </w:rPr>
              <w:t>抛丸废气</w:t>
            </w:r>
          </w:p>
        </w:tc>
      </w:tr>
      <w:tr w14:paraId="7BA7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51DF204F">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vAlign w:val="center"/>
          </w:tcPr>
          <w:p w14:paraId="2F16A99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锻压、脱模</w:t>
            </w:r>
          </w:p>
        </w:tc>
        <w:tc>
          <w:tcPr>
            <w:tcW w:w="4368" w:type="dxa"/>
            <w:vAlign w:val="center"/>
          </w:tcPr>
          <w:p w14:paraId="68D64B67">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锻压粉尘、脱模粉尘</w:t>
            </w:r>
          </w:p>
        </w:tc>
      </w:tr>
      <w:tr w14:paraId="5551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2E204FE7">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vAlign w:val="center"/>
          </w:tcPr>
          <w:p w14:paraId="60F5A875">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加加工</w:t>
            </w:r>
          </w:p>
        </w:tc>
        <w:tc>
          <w:tcPr>
            <w:tcW w:w="4368" w:type="dxa"/>
            <w:vAlign w:val="center"/>
          </w:tcPr>
          <w:p w14:paraId="0A0535A0">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机加工油雾</w:t>
            </w:r>
          </w:p>
        </w:tc>
      </w:tr>
      <w:tr w14:paraId="1867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214C58EA">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vAlign w:val="center"/>
          </w:tcPr>
          <w:p w14:paraId="3BAF8D42">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清洗</w:t>
            </w:r>
          </w:p>
        </w:tc>
        <w:tc>
          <w:tcPr>
            <w:tcW w:w="4368" w:type="dxa"/>
            <w:vAlign w:val="center"/>
          </w:tcPr>
          <w:p w14:paraId="1105E01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清洗废气</w:t>
            </w:r>
          </w:p>
        </w:tc>
      </w:tr>
      <w:tr w14:paraId="7F14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41AA0FDC">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vAlign w:val="center"/>
          </w:tcPr>
          <w:p w14:paraId="35DE76D7">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光饰</w:t>
            </w:r>
          </w:p>
        </w:tc>
        <w:tc>
          <w:tcPr>
            <w:tcW w:w="4368" w:type="dxa"/>
            <w:vAlign w:val="center"/>
          </w:tcPr>
          <w:p w14:paraId="4D1FBE6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光饰废气</w:t>
            </w:r>
          </w:p>
        </w:tc>
      </w:tr>
      <w:tr w14:paraId="3095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Align w:val="center"/>
          </w:tcPr>
          <w:p w14:paraId="3CD49488">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废水</w:t>
            </w:r>
          </w:p>
        </w:tc>
        <w:tc>
          <w:tcPr>
            <w:tcW w:w="2460" w:type="dxa"/>
            <w:shd w:val="clear" w:color="auto" w:fill="auto"/>
            <w:vAlign w:val="center"/>
          </w:tcPr>
          <w:p w14:paraId="3A73376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员工生活</w:t>
            </w:r>
          </w:p>
        </w:tc>
        <w:tc>
          <w:tcPr>
            <w:tcW w:w="4368" w:type="dxa"/>
            <w:shd w:val="clear" w:color="auto" w:fill="auto"/>
            <w:vAlign w:val="center"/>
          </w:tcPr>
          <w:p w14:paraId="033C0C8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生活污水</w:t>
            </w:r>
          </w:p>
        </w:tc>
      </w:tr>
      <w:tr w14:paraId="4F52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restart"/>
            <w:vAlign w:val="center"/>
          </w:tcPr>
          <w:p w14:paraId="1A366866">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固废</w:t>
            </w:r>
          </w:p>
        </w:tc>
        <w:tc>
          <w:tcPr>
            <w:tcW w:w="2460" w:type="dxa"/>
            <w:vAlign w:val="center"/>
          </w:tcPr>
          <w:p w14:paraId="0B5CC849">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eastAsia" w:ascii="Arial" w:hAnsi="Arial" w:eastAsia="宋体" w:cs="Arial"/>
                <w:color w:val="auto"/>
                <w:szCs w:val="21"/>
                <w:lang w:val="en-US" w:eastAsia="zh-CN"/>
              </w:rPr>
              <w:t>原料使用</w:t>
            </w:r>
          </w:p>
        </w:tc>
        <w:tc>
          <w:tcPr>
            <w:tcW w:w="4368" w:type="dxa"/>
            <w:shd w:val="clear" w:color="auto" w:fill="auto"/>
            <w:vAlign w:val="center"/>
          </w:tcPr>
          <w:p w14:paraId="4C7CAFE0">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lang w:val="en-US" w:eastAsia="zh-CN"/>
              </w:rPr>
              <w:t>废一般包装材料</w:t>
            </w:r>
            <w:r>
              <w:rPr>
                <w:rFonts w:hint="eastAsia" w:ascii="Arial" w:hAnsi="Arial" w:eastAsia="宋体" w:cs="Arial"/>
                <w:color w:val="auto"/>
                <w:szCs w:val="21"/>
                <w:lang w:val="en-US" w:eastAsia="zh-CN"/>
              </w:rPr>
              <w:t>S1</w:t>
            </w:r>
          </w:p>
        </w:tc>
      </w:tr>
      <w:tr w14:paraId="361B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3D47B363">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vAlign w:val="center"/>
          </w:tcPr>
          <w:p w14:paraId="2BD6D851">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eastAsia" w:ascii="Arial" w:hAnsi="Arial" w:eastAsia="宋体" w:cs="Arial"/>
                <w:color w:val="auto"/>
                <w:szCs w:val="21"/>
                <w:lang w:val="en-US" w:eastAsia="zh-CN"/>
              </w:rPr>
              <w:t>机加工</w:t>
            </w:r>
          </w:p>
        </w:tc>
        <w:tc>
          <w:tcPr>
            <w:tcW w:w="4368" w:type="dxa"/>
            <w:shd w:val="clear" w:color="auto" w:fill="auto"/>
            <w:vAlign w:val="center"/>
          </w:tcPr>
          <w:p w14:paraId="7030ED7E">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lang w:val="en-US" w:eastAsia="zh-CN"/>
              </w:rPr>
              <w:t>废</w:t>
            </w:r>
            <w:r>
              <w:rPr>
                <w:rFonts w:hint="eastAsia" w:ascii="Arial" w:hAnsi="Arial" w:eastAsia="宋体" w:cs="Arial"/>
                <w:color w:val="auto"/>
                <w:szCs w:val="21"/>
                <w:lang w:val="en-US" w:eastAsia="zh-CN"/>
              </w:rPr>
              <w:t>金属S2</w:t>
            </w:r>
          </w:p>
        </w:tc>
      </w:tr>
      <w:tr w14:paraId="4CE6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07A04176">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vAlign w:val="center"/>
          </w:tcPr>
          <w:p w14:paraId="6D19A54F">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eastAsia" w:ascii="Arial" w:hAnsi="Arial" w:eastAsia="宋体" w:cs="Arial"/>
                <w:color w:val="auto"/>
                <w:szCs w:val="21"/>
                <w:lang w:val="en-US" w:eastAsia="zh-CN"/>
              </w:rPr>
              <w:t>废气处理</w:t>
            </w:r>
          </w:p>
        </w:tc>
        <w:tc>
          <w:tcPr>
            <w:tcW w:w="4368" w:type="dxa"/>
            <w:shd w:val="clear" w:color="auto" w:fill="auto"/>
            <w:vAlign w:val="center"/>
          </w:tcPr>
          <w:p w14:paraId="31517EF0">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szCs w:val="21"/>
                <w:lang w:val="en-US" w:eastAsia="zh-CN"/>
              </w:rPr>
              <w:t>布袋收尘S3</w:t>
            </w:r>
          </w:p>
        </w:tc>
      </w:tr>
      <w:tr w14:paraId="6C0C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1FDEA2DA">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6BBFF6C0">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抛丸</w:t>
            </w:r>
          </w:p>
        </w:tc>
        <w:tc>
          <w:tcPr>
            <w:tcW w:w="4368" w:type="dxa"/>
            <w:shd w:val="clear" w:color="auto" w:fill="auto"/>
            <w:vAlign w:val="center"/>
          </w:tcPr>
          <w:p w14:paraId="138A3FDF">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szCs w:val="21"/>
                <w:lang w:val="en-US" w:eastAsia="zh-CN"/>
              </w:rPr>
            </w:pPr>
            <w:r>
              <w:rPr>
                <w:rFonts w:hint="eastAsia" w:ascii="Arial" w:hAnsi="Arial" w:eastAsia="宋体" w:cs="Arial"/>
                <w:color w:val="auto"/>
                <w:szCs w:val="21"/>
                <w:lang w:val="en-US" w:eastAsia="zh-CN"/>
              </w:rPr>
              <w:t>废钢丸S4</w:t>
            </w:r>
          </w:p>
        </w:tc>
      </w:tr>
      <w:tr w14:paraId="11FB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6D6B1DA6">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3AE3B3B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探伤</w:t>
            </w:r>
          </w:p>
        </w:tc>
        <w:tc>
          <w:tcPr>
            <w:tcW w:w="4368" w:type="dxa"/>
            <w:shd w:val="clear" w:color="auto" w:fill="auto"/>
            <w:vAlign w:val="center"/>
          </w:tcPr>
          <w:p w14:paraId="1BE3154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废探伤液S5</w:t>
            </w:r>
          </w:p>
        </w:tc>
      </w:tr>
      <w:tr w14:paraId="6207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62276998">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2BE30197">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机加工</w:t>
            </w:r>
          </w:p>
        </w:tc>
        <w:tc>
          <w:tcPr>
            <w:tcW w:w="4368" w:type="dxa"/>
            <w:shd w:val="clear" w:color="auto" w:fill="auto"/>
            <w:vAlign w:val="center"/>
          </w:tcPr>
          <w:p w14:paraId="34FB0F5F">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lang w:val="en-US" w:eastAsia="zh-CN"/>
              </w:rPr>
              <w:t>废含油金属屑</w:t>
            </w:r>
            <w:r>
              <w:rPr>
                <w:rFonts w:hint="eastAsia" w:ascii="Arial" w:hAnsi="Arial" w:eastAsia="宋体" w:cs="Arial"/>
                <w:color w:val="auto"/>
                <w:szCs w:val="21"/>
                <w:lang w:val="en-US" w:eastAsia="zh-CN"/>
              </w:rPr>
              <w:t>S6</w:t>
            </w:r>
          </w:p>
        </w:tc>
      </w:tr>
      <w:tr w14:paraId="0B6C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7244ADDD">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58FDADEF">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szCs w:val="21"/>
                <w:lang w:val="en-US" w:eastAsia="zh-CN"/>
              </w:rPr>
              <w:t>机加工</w:t>
            </w:r>
          </w:p>
        </w:tc>
        <w:tc>
          <w:tcPr>
            <w:tcW w:w="4368" w:type="dxa"/>
            <w:shd w:val="clear" w:color="auto" w:fill="auto"/>
            <w:vAlign w:val="center"/>
          </w:tcPr>
          <w:p w14:paraId="7C8EC892">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szCs w:val="21"/>
                <w:lang w:val="en-US" w:eastAsia="zh-CN"/>
              </w:rPr>
              <w:t>废切削液S7</w:t>
            </w:r>
          </w:p>
        </w:tc>
      </w:tr>
      <w:tr w14:paraId="5D85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5F7EC1DF">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6231114B">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原料使用</w:t>
            </w:r>
          </w:p>
        </w:tc>
        <w:tc>
          <w:tcPr>
            <w:tcW w:w="4368" w:type="dxa"/>
            <w:shd w:val="clear" w:color="auto" w:fill="auto"/>
            <w:vAlign w:val="center"/>
          </w:tcPr>
          <w:p w14:paraId="11500CAD">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lang w:val="en-US" w:eastAsia="zh-CN"/>
              </w:rPr>
              <w:t>废化学品包装</w:t>
            </w:r>
            <w:r>
              <w:rPr>
                <w:rFonts w:hint="eastAsia" w:ascii="Arial" w:hAnsi="Arial" w:eastAsia="宋体" w:cs="Arial"/>
                <w:color w:val="auto"/>
                <w:szCs w:val="21"/>
                <w:lang w:val="en-US" w:eastAsia="zh-CN"/>
              </w:rPr>
              <w:t>S8</w:t>
            </w:r>
          </w:p>
        </w:tc>
      </w:tr>
      <w:tr w14:paraId="2E22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37A54BCA">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5396D9F1">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清洗</w:t>
            </w:r>
          </w:p>
        </w:tc>
        <w:tc>
          <w:tcPr>
            <w:tcW w:w="4368" w:type="dxa"/>
            <w:shd w:val="clear" w:color="auto" w:fill="auto"/>
            <w:vAlign w:val="center"/>
          </w:tcPr>
          <w:p w14:paraId="0170A8BB">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清洗废液</w:t>
            </w:r>
            <w:r>
              <w:rPr>
                <w:rFonts w:hint="eastAsia" w:ascii="Arial" w:hAnsi="Arial" w:eastAsia="宋体" w:cs="Arial"/>
                <w:szCs w:val="21"/>
                <w:lang w:val="en-US" w:eastAsia="zh-CN"/>
              </w:rPr>
              <w:t>S9</w:t>
            </w:r>
          </w:p>
        </w:tc>
      </w:tr>
      <w:tr w14:paraId="0792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3B0251C2">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74EF7BB7">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光饰</w:t>
            </w:r>
          </w:p>
        </w:tc>
        <w:tc>
          <w:tcPr>
            <w:tcW w:w="4368" w:type="dxa"/>
            <w:shd w:val="clear" w:color="auto" w:fill="auto"/>
            <w:vAlign w:val="center"/>
          </w:tcPr>
          <w:p w14:paraId="381DD922">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光饰机清灰S10</w:t>
            </w:r>
          </w:p>
        </w:tc>
      </w:tr>
      <w:tr w14:paraId="64CC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667606B4">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p>
        </w:tc>
        <w:tc>
          <w:tcPr>
            <w:tcW w:w="2460" w:type="dxa"/>
            <w:shd w:val="clear" w:color="auto" w:fill="auto"/>
            <w:vAlign w:val="center"/>
          </w:tcPr>
          <w:p w14:paraId="40684F5E">
            <w:pPr>
              <w:keepNext w:val="0"/>
              <w:keepLines w:val="0"/>
              <w:suppressLineNumbers w:val="0"/>
              <w:spacing w:before="0" w:beforeAutospacing="0" w:after="0" w:afterAutospacing="0"/>
              <w:ind w:left="0" w:leftChars="0" w:right="0" w:rightChars="0"/>
              <w:jc w:val="center"/>
              <w:rPr>
                <w:rFonts w:hint="eastAsia"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光饰</w:t>
            </w:r>
          </w:p>
        </w:tc>
        <w:tc>
          <w:tcPr>
            <w:tcW w:w="4368" w:type="dxa"/>
            <w:shd w:val="clear" w:color="auto" w:fill="auto"/>
            <w:vAlign w:val="center"/>
          </w:tcPr>
          <w:p w14:paraId="02533BD8">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废磨料S11</w:t>
            </w:r>
          </w:p>
        </w:tc>
      </w:tr>
      <w:tr w14:paraId="1879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Merge w:val="continue"/>
            <w:vAlign w:val="center"/>
          </w:tcPr>
          <w:p w14:paraId="0D7F7715">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2460" w:type="dxa"/>
            <w:vAlign w:val="center"/>
          </w:tcPr>
          <w:p w14:paraId="0A07B26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员工生活</w:t>
            </w:r>
          </w:p>
        </w:tc>
        <w:tc>
          <w:tcPr>
            <w:tcW w:w="4368" w:type="dxa"/>
            <w:vAlign w:val="center"/>
          </w:tcPr>
          <w:p w14:paraId="1FC6CBDE">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生活垃圾</w:t>
            </w:r>
            <w:r>
              <w:rPr>
                <w:rFonts w:hint="eastAsia" w:ascii="Arial" w:hAnsi="Arial" w:eastAsia="宋体" w:cs="Arial"/>
                <w:szCs w:val="21"/>
                <w:lang w:val="en-US" w:eastAsia="zh-CN"/>
              </w:rPr>
              <w:t>S12</w:t>
            </w:r>
          </w:p>
        </w:tc>
      </w:tr>
      <w:tr w14:paraId="005B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9" w:type="dxa"/>
            <w:vAlign w:val="center"/>
          </w:tcPr>
          <w:p w14:paraId="1AB3F7B1">
            <w:pPr>
              <w:keepNext w:val="0"/>
              <w:keepLines w:val="0"/>
              <w:widowControl/>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噪声</w:t>
            </w:r>
          </w:p>
        </w:tc>
        <w:tc>
          <w:tcPr>
            <w:tcW w:w="2460" w:type="dxa"/>
            <w:vAlign w:val="center"/>
          </w:tcPr>
          <w:p w14:paraId="237F04C2">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各生产工序</w:t>
            </w:r>
          </w:p>
        </w:tc>
        <w:tc>
          <w:tcPr>
            <w:tcW w:w="4368" w:type="dxa"/>
            <w:vAlign w:val="center"/>
          </w:tcPr>
          <w:p w14:paraId="657D9F6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机械噪声</w:t>
            </w:r>
          </w:p>
        </w:tc>
      </w:tr>
    </w:tbl>
    <w:p w14:paraId="29B71787">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493" w:leftChars="0" w:hanging="283" w:firstLineChars="0"/>
        <w:jc w:val="left"/>
        <w:textAlignment w:val="auto"/>
        <w:outlineLvl w:val="1"/>
        <w:rPr>
          <w:rFonts w:hint="default" w:ascii="Arial" w:hAnsi="Arial" w:eastAsia="宋体" w:cs="Arial"/>
          <w:b/>
          <w:bCs/>
          <w:sz w:val="24"/>
          <w:szCs w:val="24"/>
        </w:rPr>
        <w:sectPr>
          <w:headerReference r:id="rId14"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71B317F7">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493" w:leftChars="0" w:hanging="283" w:firstLineChars="0"/>
        <w:jc w:val="left"/>
        <w:textAlignment w:val="auto"/>
        <w:outlineLvl w:val="1"/>
        <w:rPr>
          <w:rFonts w:hint="default" w:ascii="Arial" w:hAnsi="Arial" w:eastAsia="宋体" w:cs="Arial"/>
          <w:b/>
          <w:bCs/>
          <w:sz w:val="24"/>
          <w:szCs w:val="24"/>
        </w:rPr>
      </w:pPr>
      <w:r>
        <w:rPr>
          <w:rFonts w:hint="default" w:ascii="Arial" w:hAnsi="Arial" w:eastAsia="宋体" w:cs="Arial"/>
          <w:b/>
          <w:bCs/>
          <w:sz w:val="24"/>
          <w:szCs w:val="24"/>
          <w:lang w:val="en-US" w:eastAsia="zh-CN"/>
        </w:rPr>
        <w:t>水平衡</w:t>
      </w:r>
    </w:p>
    <w:p w14:paraId="0801874F">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jc w:val="center"/>
        <w:textAlignment w:val="auto"/>
        <w:outlineLvl w:val="1"/>
        <w:rPr>
          <w:rFonts w:hint="eastAsia" w:ascii="Arial" w:hAnsi="Arial" w:eastAsia="宋体" w:cs="Arial"/>
          <w:b/>
          <w:bCs/>
          <w:sz w:val="24"/>
          <w:szCs w:val="24"/>
          <w:lang w:eastAsia="zh-CN"/>
        </w:rPr>
      </w:pPr>
      <w:r>
        <w:drawing>
          <wp:inline distT="0" distB="0" distL="114300" distR="114300">
            <wp:extent cx="5878830" cy="3691255"/>
            <wp:effectExtent l="0" t="0" r="7620" b="4445"/>
            <wp:docPr id="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6"/>
                    <pic:cNvPicPr>
                      <a:picLocks noChangeAspect="1"/>
                    </pic:cNvPicPr>
                  </pic:nvPicPr>
                  <pic:blipFill>
                    <a:blip r:embed="rId37"/>
                    <a:srcRect l="2828" t="4764" b="11765"/>
                    <a:stretch>
                      <a:fillRect/>
                    </a:stretch>
                  </pic:blipFill>
                  <pic:spPr>
                    <a:xfrm>
                      <a:off x="0" y="0"/>
                      <a:ext cx="5878830" cy="3691255"/>
                    </a:xfrm>
                    <a:prstGeom prst="rect">
                      <a:avLst/>
                    </a:prstGeom>
                    <a:noFill/>
                    <a:ln>
                      <a:noFill/>
                    </a:ln>
                  </pic:spPr>
                </pic:pic>
              </a:graphicData>
            </a:graphic>
          </wp:inline>
        </w:drawing>
      </w:r>
    </w:p>
    <w:p w14:paraId="324E7B54">
      <w:pPr>
        <w:numPr>
          <w:ilvl w:val="0"/>
          <w:numId w:val="0"/>
        </w:numPr>
        <w:autoSpaceDE w:val="0"/>
        <w:autoSpaceDN w:val="0"/>
        <w:spacing w:line="360" w:lineRule="auto"/>
        <w:ind w:left="775" w:leftChars="0"/>
        <w:jc w:val="center"/>
        <w:rPr>
          <w:rFonts w:hint="default" w:ascii="Arial" w:hAnsi="Arial" w:eastAsia="宋体" w:cs="Arial"/>
        </w:rPr>
        <w:sectPr>
          <w:headerReference r:id="rId15" w:type="default"/>
          <w:pgSz w:w="16838" w:h="11906" w:orient="landscape"/>
          <w:pgMar w:top="2381" w:right="1440" w:bottom="1287" w:left="1440" w:header="851" w:footer="992" w:gutter="0"/>
          <w:pgBorders>
            <w:top w:val="single" w:color="auto" w:sz="4" w:space="1"/>
            <w:left w:val="single" w:color="auto" w:sz="4" w:space="4"/>
            <w:bottom w:val="single" w:color="auto" w:sz="4" w:space="1"/>
            <w:right w:val="single" w:color="auto" w:sz="4" w:space="4"/>
          </w:pgBorders>
          <w:cols w:space="425" w:num="1"/>
          <w:docGrid w:type="lines" w:linePitch="340" w:charSpace="0"/>
        </w:sectPr>
      </w:pPr>
      <w:r>
        <w:rPr>
          <w:rFonts w:hint="default" w:ascii="Arial" w:hAnsi="Arial" w:eastAsia="宋体" w:cs="Arial"/>
          <w:b/>
          <w:bCs/>
          <w:sz w:val="24"/>
          <w:szCs w:val="24"/>
          <w:lang w:val="en-US" w:eastAsia="zh-CN"/>
        </w:rPr>
        <w:t xml:space="preserve">图2-6 </w:t>
      </w:r>
      <w:r>
        <w:rPr>
          <w:rFonts w:hint="default" w:ascii="Arial" w:hAnsi="Arial" w:eastAsia="宋体" w:cs="Arial"/>
          <w:b/>
          <w:bCs/>
          <w:sz w:val="24"/>
          <w:szCs w:val="24"/>
        </w:rPr>
        <w:t xml:space="preserve"> </w:t>
      </w:r>
      <w:r>
        <w:rPr>
          <w:rFonts w:hint="default" w:ascii="Arial" w:hAnsi="Arial" w:eastAsia="宋体" w:cs="Arial"/>
          <w:b/>
          <w:bCs/>
          <w:sz w:val="24"/>
          <w:szCs w:val="24"/>
          <w:lang w:val="en-US" w:eastAsia="zh-CN"/>
        </w:rPr>
        <w:t>水平衡图</w:t>
      </w:r>
    </w:p>
    <w:p w14:paraId="4BFF7FD8">
      <w:pPr>
        <w:pStyle w:val="76"/>
        <w:keepNext w:val="0"/>
        <w:keepLines w:val="0"/>
        <w:pageBreakBefore w:val="0"/>
        <w:widowControl w:val="0"/>
        <w:numPr>
          <w:ilvl w:val="1"/>
          <w:numId w:val="5"/>
        </w:numPr>
        <w:kinsoku/>
        <w:wordWrap/>
        <w:overflowPunct/>
        <w:topLinePunct w:val="0"/>
        <w:autoSpaceDE/>
        <w:autoSpaceDN/>
        <w:bidi w:val="0"/>
        <w:adjustRightInd/>
        <w:snapToGrid/>
        <w:spacing w:line="360" w:lineRule="auto"/>
        <w:ind w:left="283" w:firstLineChars="0"/>
        <w:jc w:val="left"/>
        <w:textAlignment w:val="auto"/>
        <w:outlineLvl w:val="1"/>
        <w:rPr>
          <w:rFonts w:hint="default" w:ascii="Arial" w:hAnsi="Arial" w:eastAsia="宋体" w:cs="Arial"/>
          <w:b/>
          <w:bCs/>
          <w:sz w:val="24"/>
          <w:szCs w:val="24"/>
        </w:rPr>
      </w:pPr>
      <w:r>
        <w:rPr>
          <w:rFonts w:hint="default" w:ascii="Arial" w:hAnsi="Arial" w:eastAsia="宋体" w:cs="Arial"/>
          <w:b/>
          <w:bCs/>
          <w:sz w:val="24"/>
          <w:szCs w:val="24"/>
        </w:rPr>
        <w:t>与项目有关的原有污染问题</w:t>
      </w:r>
    </w:p>
    <w:p w14:paraId="09B8245B">
      <w:pPr>
        <w:pStyle w:val="76"/>
        <w:numPr>
          <w:ilvl w:val="2"/>
          <w:numId w:val="5"/>
        </w:numPr>
        <w:spacing w:line="360" w:lineRule="auto"/>
        <w:ind w:left="568" w:hanging="284" w:firstLineChars="0"/>
        <w:outlineLvl w:val="2"/>
        <w:rPr>
          <w:rFonts w:hint="default" w:ascii="Arial" w:hAnsi="Arial" w:eastAsia="宋体" w:cs="Arial"/>
          <w:b/>
          <w:bCs/>
          <w:sz w:val="24"/>
          <w:szCs w:val="24"/>
        </w:rPr>
      </w:pPr>
      <w:r>
        <w:rPr>
          <w:rFonts w:hint="default" w:ascii="Arial" w:hAnsi="Arial" w:eastAsia="宋体" w:cs="Arial"/>
          <w:b/>
          <w:bCs/>
          <w:sz w:val="24"/>
          <w:szCs w:val="24"/>
        </w:rPr>
        <w:t>现有工程环境影响评价及竣工环境保护验收情况</w:t>
      </w:r>
    </w:p>
    <w:p w14:paraId="06A340CB">
      <w:pPr>
        <w:pStyle w:val="76"/>
        <w:spacing w:line="360" w:lineRule="auto"/>
        <w:ind w:left="105" w:leftChars="50" w:right="105" w:rightChars="50" w:firstLine="480"/>
        <w:rPr>
          <w:rFonts w:hint="default" w:ascii="Arial" w:hAnsi="Arial" w:eastAsia="宋体" w:cs="Arial"/>
          <w:sz w:val="24"/>
          <w:szCs w:val="24"/>
        </w:rPr>
      </w:pPr>
      <w:r>
        <w:rPr>
          <w:rFonts w:hint="default" w:ascii="Arial" w:hAnsi="Arial" w:eastAsia="宋体" w:cs="Arial"/>
          <w:sz w:val="24"/>
          <w:szCs w:val="24"/>
          <w:lang w:val="en-US" w:eastAsia="zh-CN"/>
        </w:rPr>
        <w:t>浙江海科汽车部件有限公司</w:t>
      </w:r>
      <w:r>
        <w:rPr>
          <w:rFonts w:hint="default" w:ascii="Arial" w:hAnsi="Arial" w:eastAsia="宋体" w:cs="Arial"/>
          <w:sz w:val="24"/>
          <w:szCs w:val="24"/>
        </w:rPr>
        <w:t>，位于</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w:t>
      </w:r>
      <w:r>
        <w:rPr>
          <w:rFonts w:hint="default" w:ascii="Arial" w:hAnsi="Arial" w:eastAsia="宋体" w:cs="Arial"/>
          <w:sz w:val="24"/>
          <w:szCs w:val="24"/>
          <w:lang w:val="en-US" w:eastAsia="zh-CN"/>
        </w:rPr>
        <w:t>项目为新建，租用厂房目前为空厂房，无与项目有关的原有污染问题</w:t>
      </w:r>
      <w:r>
        <w:rPr>
          <w:rFonts w:hint="default" w:ascii="Arial" w:hAnsi="Arial" w:eastAsia="宋体" w:cs="Arial"/>
          <w:sz w:val="24"/>
          <w:szCs w:val="24"/>
        </w:rPr>
        <w:t>。</w:t>
      </w:r>
    </w:p>
    <w:p w14:paraId="0CEF7699">
      <w:pPr>
        <w:pStyle w:val="1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Arial" w:hAnsi="Arial" w:eastAsia="宋体" w:cs="Arial"/>
          <w:lang w:val="en-US" w:eastAsia="zh-CN"/>
        </w:rPr>
        <w:sectPr>
          <w:headerReference r:id="rId16"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2A412B91">
      <w:pPr>
        <w:pStyle w:val="76"/>
        <w:keepNext w:val="0"/>
        <w:keepLines w:val="0"/>
        <w:pageBreakBefore w:val="0"/>
        <w:widowControl w:val="0"/>
        <w:numPr>
          <w:ilvl w:val="0"/>
          <w:numId w:val="7"/>
        </w:numPr>
        <w:kinsoku/>
        <w:wordWrap/>
        <w:overflowPunct/>
        <w:topLinePunct w:val="0"/>
        <w:autoSpaceDE/>
        <w:autoSpaceDN/>
        <w:bidi w:val="0"/>
        <w:adjustRightInd/>
        <w:snapToGrid/>
        <w:spacing w:line="0" w:lineRule="atLeast"/>
        <w:ind w:left="777" w:leftChars="0" w:hanging="567" w:firstLineChars="0"/>
        <w:jc w:val="left"/>
        <w:textAlignment w:val="auto"/>
        <w:outlineLvl w:val="0"/>
        <w:rPr>
          <w:rFonts w:hint="default" w:ascii="Arial" w:hAnsi="Arial" w:eastAsia="宋体" w:cs="Arial"/>
          <w:b/>
          <w:bCs/>
          <w:color w:val="FFFFFF" w:themeColor="background1"/>
          <w:sz w:val="2"/>
          <w:szCs w:val="2"/>
          <w:vertAlign w:val="subscript"/>
          <w14:textFill>
            <w14:solidFill>
              <w14:schemeClr w14:val="bg1"/>
            </w14:solidFill>
          </w14:textFill>
        </w:rPr>
      </w:pPr>
      <w:bookmarkStart w:id="3" w:name="_Toc104732980"/>
      <w:r>
        <w:rPr>
          <w:rFonts w:hint="default" w:ascii="Arial" w:hAnsi="Arial" w:eastAsia="宋体" w:cs="Arial"/>
          <w:b/>
          <w:bCs/>
          <w:color w:val="FFFFFF" w:themeColor="background1"/>
          <w:sz w:val="2"/>
          <w:szCs w:val="2"/>
          <w:vertAlign w:val="subscript"/>
          <w14:textFill>
            <w14:solidFill>
              <w14:schemeClr w14:val="bg1"/>
            </w14:solidFill>
          </w14:textFill>
        </w:rPr>
        <w:t>区域环境质量现状、环境保护目标及评价标准</w:t>
      </w:r>
      <w:bookmarkEnd w:id="3"/>
    </w:p>
    <w:p w14:paraId="6FD26879">
      <w:pPr>
        <w:pStyle w:val="76"/>
        <w:keepNext w:val="0"/>
        <w:keepLines w:val="0"/>
        <w:pageBreakBefore w:val="0"/>
        <w:widowControl w:val="0"/>
        <w:numPr>
          <w:ilvl w:val="1"/>
          <w:numId w:val="5"/>
        </w:numPr>
        <w:kinsoku/>
        <w:wordWrap/>
        <w:overflowPunct/>
        <w:topLinePunct w:val="0"/>
        <w:autoSpaceDE/>
        <w:autoSpaceDN/>
        <w:bidi w:val="0"/>
        <w:adjustRightInd/>
        <w:snapToGrid/>
        <w:spacing w:line="360" w:lineRule="auto"/>
        <w:ind w:left="105" w:leftChars="50" w:firstLineChars="0"/>
        <w:textAlignment w:val="auto"/>
        <w:outlineLvl w:val="1"/>
        <w:rPr>
          <w:rFonts w:hint="default" w:ascii="Arial" w:hAnsi="Arial" w:eastAsia="宋体" w:cs="Arial"/>
          <w:b/>
          <w:bCs/>
          <w:sz w:val="24"/>
          <w:szCs w:val="24"/>
        </w:rPr>
      </w:pPr>
      <w:r>
        <w:rPr>
          <w:rFonts w:hint="default" w:ascii="Arial" w:hAnsi="Arial" w:eastAsia="宋体" w:cs="Arial"/>
          <w:b/>
          <w:bCs/>
          <w:sz w:val="24"/>
          <w:szCs w:val="24"/>
        </w:rPr>
        <w:t>区域环境质量现状</w:t>
      </w:r>
    </w:p>
    <w:p w14:paraId="488EC42E">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大气环境质量现状</w:t>
      </w:r>
    </w:p>
    <w:p w14:paraId="08F9D102">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lang w:val="en-US" w:eastAsia="zh-CN"/>
        </w:rPr>
        <w:t>1、</w:t>
      </w:r>
      <w:r>
        <w:rPr>
          <w:rFonts w:hint="default" w:ascii="Arial" w:hAnsi="Arial" w:eastAsia="宋体" w:cs="Arial"/>
          <w:b/>
          <w:bCs/>
          <w:sz w:val="24"/>
          <w:szCs w:val="24"/>
        </w:rPr>
        <w:t>基本污染物环境质量现状数据及现状评价</w:t>
      </w:r>
    </w:p>
    <w:p w14:paraId="5D1EF70C">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b/>
          <w:bCs/>
          <w:sz w:val="24"/>
          <w:szCs w:val="24"/>
        </w:rPr>
      </w:pPr>
      <w:r>
        <w:rPr>
          <w:rFonts w:hint="default" w:ascii="Arial" w:hAnsi="Arial" w:eastAsia="宋体" w:cs="Arial"/>
          <w:b/>
          <w:bCs/>
          <w:sz w:val="24"/>
          <w:szCs w:val="24"/>
          <w:lang w:eastAsia="zh-CN"/>
        </w:rPr>
        <w:t>（</w:t>
      </w:r>
      <w:r>
        <w:rPr>
          <w:rFonts w:hint="default" w:ascii="Arial" w:hAnsi="Arial" w:eastAsia="宋体" w:cs="Arial"/>
          <w:b/>
          <w:bCs/>
          <w:sz w:val="24"/>
          <w:szCs w:val="24"/>
          <w:lang w:val="en-US" w:eastAsia="zh-CN"/>
        </w:rPr>
        <w:t>1</w:t>
      </w:r>
      <w:r>
        <w:rPr>
          <w:rFonts w:hint="default" w:ascii="Arial" w:hAnsi="Arial" w:eastAsia="宋体" w:cs="Arial"/>
          <w:b/>
          <w:bCs/>
          <w:sz w:val="24"/>
          <w:szCs w:val="24"/>
          <w:lang w:eastAsia="zh-CN"/>
        </w:rPr>
        <w:t>）</w:t>
      </w:r>
      <w:r>
        <w:rPr>
          <w:rFonts w:hint="default" w:ascii="Arial" w:hAnsi="Arial" w:eastAsia="宋体" w:cs="Arial"/>
          <w:b/>
          <w:bCs/>
          <w:sz w:val="24"/>
          <w:szCs w:val="24"/>
        </w:rPr>
        <w:t>环境空气区域达标性判断</w:t>
      </w:r>
    </w:p>
    <w:p w14:paraId="1D4246A9">
      <w:pPr>
        <w:pStyle w:val="76"/>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FF0000"/>
          <w:sz w:val="24"/>
          <w:szCs w:val="24"/>
          <w:lang w:val="en-US"/>
        </w:rPr>
      </w:pPr>
      <w:bookmarkStart w:id="4" w:name="_Hlk167113737"/>
      <w:r>
        <w:rPr>
          <w:rFonts w:hint="default" w:ascii="Arial" w:hAnsi="Arial" w:eastAsia="宋体" w:cs="Arial"/>
          <w:bCs/>
          <w:color w:val="000000"/>
          <w:sz w:val="24"/>
        </w:rPr>
        <w:t>建设项目所在地根据环境空气质量功能区分类划分为二类区，执行《环境空气质量标准》(GB 3095</w:t>
      </w:r>
      <w:r>
        <w:rPr>
          <w:rFonts w:hint="default" w:ascii="Arial" w:hAnsi="Arial" w:eastAsia="宋体" w:cs="Arial"/>
          <w:bCs/>
          <w:color w:val="000000"/>
          <w:sz w:val="24"/>
          <w:lang w:eastAsia="zh-CN"/>
        </w:rPr>
        <w:t>-</w:t>
      </w:r>
      <w:r>
        <w:rPr>
          <w:rFonts w:hint="default" w:ascii="Arial" w:hAnsi="Arial" w:eastAsia="宋体" w:cs="Arial"/>
          <w:bCs/>
          <w:color w:val="000000"/>
          <w:sz w:val="24"/>
        </w:rPr>
        <w:t>2026)中二级标准。项目所在区域涉及平湖市钟埭街道，为了解项目所在区域的环境空气的达标性，本评价引用嘉兴市生态环境局提供的《平湖市环境监测年鉴（2025年度）》中空气质量监测结果进行评价。</w:t>
      </w:r>
      <w:bookmarkEnd w:id="4"/>
      <w:r>
        <w:rPr>
          <w:rFonts w:hint="default" w:ascii="Arial" w:hAnsi="Arial" w:eastAsia="宋体" w:cs="Arial"/>
          <w:bCs/>
          <w:color w:val="auto"/>
          <w:sz w:val="24"/>
          <w:szCs w:val="24"/>
          <w:lang w:val="en-US" w:eastAsia="zh-CN"/>
        </w:rPr>
        <w:t>具体数据见表3-1。</w:t>
      </w:r>
    </w:p>
    <w:p w14:paraId="75EFBACA">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平湖市202</w:t>
      </w:r>
      <w:r>
        <w:rPr>
          <w:rFonts w:hint="eastAsia" w:ascii="Arial" w:hAnsi="Arial" w:eastAsia="宋体" w:cs="Arial"/>
          <w:b/>
          <w:bCs/>
          <w:sz w:val="24"/>
          <w:szCs w:val="24"/>
          <w:lang w:val="en-US" w:eastAsia="zh-CN"/>
        </w:rPr>
        <w:t>5</w:t>
      </w:r>
      <w:r>
        <w:rPr>
          <w:rFonts w:hint="default" w:ascii="Arial" w:hAnsi="Arial" w:eastAsia="宋体" w:cs="Arial"/>
          <w:b/>
          <w:bCs/>
          <w:sz w:val="24"/>
          <w:szCs w:val="24"/>
        </w:rPr>
        <w:t>年环境质量数据汇总表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922"/>
        <w:gridCol w:w="1751"/>
        <w:gridCol w:w="871"/>
        <w:gridCol w:w="1109"/>
        <w:gridCol w:w="1017"/>
        <w:gridCol w:w="1202"/>
        <w:gridCol w:w="1065"/>
      </w:tblGrid>
      <w:tr w14:paraId="1DE4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Align w:val="center"/>
          </w:tcPr>
          <w:p w14:paraId="2E24F77D">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污染物</w:t>
            </w:r>
          </w:p>
        </w:tc>
        <w:tc>
          <w:tcPr>
            <w:tcW w:w="1794" w:type="dxa"/>
            <w:vAlign w:val="center"/>
          </w:tcPr>
          <w:p w14:paraId="28FA971C">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年评价指标</w:t>
            </w:r>
          </w:p>
        </w:tc>
        <w:tc>
          <w:tcPr>
            <w:tcW w:w="889" w:type="dxa"/>
            <w:vAlign w:val="center"/>
          </w:tcPr>
          <w:p w14:paraId="427C91B0">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单位</w:t>
            </w:r>
          </w:p>
        </w:tc>
        <w:tc>
          <w:tcPr>
            <w:tcW w:w="1134" w:type="dxa"/>
            <w:vAlign w:val="center"/>
          </w:tcPr>
          <w:p w14:paraId="2236F8FC">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现状浓度</w:t>
            </w:r>
          </w:p>
        </w:tc>
        <w:tc>
          <w:tcPr>
            <w:tcW w:w="1039" w:type="dxa"/>
            <w:vAlign w:val="center"/>
          </w:tcPr>
          <w:p w14:paraId="6657CE27">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标准值</w:t>
            </w:r>
          </w:p>
        </w:tc>
        <w:tc>
          <w:tcPr>
            <w:tcW w:w="1229" w:type="dxa"/>
            <w:vAlign w:val="center"/>
          </w:tcPr>
          <w:p w14:paraId="4EDCD52F">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占标率（%）</w:t>
            </w:r>
          </w:p>
        </w:tc>
        <w:tc>
          <w:tcPr>
            <w:tcW w:w="1089" w:type="dxa"/>
            <w:vAlign w:val="center"/>
          </w:tcPr>
          <w:p w14:paraId="3B99BE98">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达标情况</w:t>
            </w:r>
          </w:p>
        </w:tc>
      </w:tr>
      <w:tr w14:paraId="0E41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restart"/>
            <w:vAlign w:val="center"/>
          </w:tcPr>
          <w:p w14:paraId="25DF60F2">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PM</w:t>
            </w:r>
            <w:r>
              <w:rPr>
                <w:rFonts w:hint="default" w:ascii="Arial" w:hAnsi="Arial" w:eastAsia="宋体" w:cs="Arial"/>
                <w:kern w:val="0"/>
                <w:szCs w:val="21"/>
                <w:vertAlign w:val="subscript"/>
              </w:rPr>
              <w:t>2.5</w:t>
            </w:r>
          </w:p>
        </w:tc>
        <w:tc>
          <w:tcPr>
            <w:tcW w:w="1794" w:type="dxa"/>
            <w:vAlign w:val="center"/>
          </w:tcPr>
          <w:p w14:paraId="57A60F2E">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年平均质量浓度</w:t>
            </w:r>
          </w:p>
        </w:tc>
        <w:tc>
          <w:tcPr>
            <w:tcW w:w="889" w:type="dxa"/>
            <w:vMerge w:val="restart"/>
            <w:vAlign w:val="center"/>
          </w:tcPr>
          <w:p w14:paraId="2BA3FD8E">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μg/m</w:t>
            </w:r>
            <w:r>
              <w:rPr>
                <w:rFonts w:hint="default" w:ascii="Arial" w:hAnsi="Arial" w:eastAsia="宋体" w:cs="Arial"/>
                <w:szCs w:val="21"/>
                <w:vertAlign w:val="superscript"/>
              </w:rPr>
              <w:t>3</w:t>
            </w:r>
          </w:p>
        </w:tc>
        <w:tc>
          <w:tcPr>
            <w:tcW w:w="1134" w:type="dxa"/>
            <w:vAlign w:val="center"/>
          </w:tcPr>
          <w:p w14:paraId="1B76F9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2</w:t>
            </w:r>
            <w:r>
              <w:rPr>
                <w:rFonts w:hint="default" w:ascii="Arial" w:hAnsi="Arial" w:eastAsia="宋体" w:cs="Arial"/>
                <w:color w:val="000000"/>
                <w:sz w:val="21"/>
                <w:szCs w:val="21"/>
                <w:lang w:val="en-US" w:eastAsia="zh-CN"/>
              </w:rPr>
              <w:t>6</w:t>
            </w:r>
          </w:p>
        </w:tc>
        <w:tc>
          <w:tcPr>
            <w:tcW w:w="1039" w:type="dxa"/>
            <w:vAlign w:val="center"/>
          </w:tcPr>
          <w:p w14:paraId="21E93A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35</w:t>
            </w:r>
          </w:p>
        </w:tc>
        <w:tc>
          <w:tcPr>
            <w:tcW w:w="1229" w:type="dxa"/>
            <w:vAlign w:val="center"/>
          </w:tcPr>
          <w:p w14:paraId="38645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kern w:val="0"/>
                <w:sz w:val="21"/>
                <w:szCs w:val="21"/>
                <w:lang w:val="en-US" w:eastAsia="zh-CN"/>
              </w:rPr>
              <w:t>74.3</w:t>
            </w:r>
          </w:p>
        </w:tc>
        <w:tc>
          <w:tcPr>
            <w:tcW w:w="1089" w:type="dxa"/>
            <w:vAlign w:val="center"/>
          </w:tcPr>
          <w:p w14:paraId="5AF923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2660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continue"/>
            <w:vAlign w:val="center"/>
          </w:tcPr>
          <w:p w14:paraId="52099042">
            <w:pPr>
              <w:keepNext w:val="0"/>
              <w:keepLines w:val="0"/>
              <w:widowControl/>
              <w:suppressLineNumbers w:val="0"/>
              <w:spacing w:before="0" w:beforeAutospacing="0" w:after="0" w:afterAutospacing="0"/>
              <w:ind w:left="0" w:right="0"/>
              <w:jc w:val="left"/>
              <w:rPr>
                <w:rFonts w:hint="default" w:ascii="Arial" w:hAnsi="Arial" w:eastAsia="宋体" w:cs="Arial"/>
                <w:kern w:val="0"/>
                <w:szCs w:val="21"/>
              </w:rPr>
            </w:pPr>
          </w:p>
        </w:tc>
        <w:tc>
          <w:tcPr>
            <w:tcW w:w="1794" w:type="dxa"/>
            <w:vAlign w:val="center"/>
          </w:tcPr>
          <w:p w14:paraId="514056F2">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第95百分位数日平均质量浓度</w:t>
            </w:r>
          </w:p>
        </w:tc>
        <w:tc>
          <w:tcPr>
            <w:tcW w:w="889" w:type="dxa"/>
            <w:vMerge w:val="continue"/>
            <w:vAlign w:val="center"/>
          </w:tcPr>
          <w:p w14:paraId="4A429F91">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690A2B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kern w:val="0"/>
                <w:sz w:val="21"/>
                <w:szCs w:val="21"/>
                <w:lang w:val="en-US" w:eastAsia="zh-CN"/>
              </w:rPr>
              <w:t>70</w:t>
            </w:r>
          </w:p>
        </w:tc>
        <w:tc>
          <w:tcPr>
            <w:tcW w:w="1039" w:type="dxa"/>
            <w:vAlign w:val="center"/>
          </w:tcPr>
          <w:p w14:paraId="7705FB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75</w:t>
            </w:r>
          </w:p>
        </w:tc>
        <w:tc>
          <w:tcPr>
            <w:tcW w:w="1229" w:type="dxa"/>
            <w:vAlign w:val="center"/>
          </w:tcPr>
          <w:p w14:paraId="6A522D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kern w:val="0"/>
                <w:sz w:val="21"/>
                <w:szCs w:val="21"/>
                <w:lang w:val="en-US" w:eastAsia="zh-CN"/>
              </w:rPr>
              <w:t>93.3</w:t>
            </w:r>
          </w:p>
        </w:tc>
        <w:tc>
          <w:tcPr>
            <w:tcW w:w="1089" w:type="dxa"/>
            <w:vAlign w:val="center"/>
          </w:tcPr>
          <w:p w14:paraId="4542D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7A4C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restart"/>
            <w:vAlign w:val="center"/>
          </w:tcPr>
          <w:p w14:paraId="54185152">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PM</w:t>
            </w:r>
            <w:r>
              <w:rPr>
                <w:rFonts w:hint="default" w:ascii="Arial" w:hAnsi="Arial" w:eastAsia="宋体" w:cs="Arial"/>
                <w:kern w:val="0"/>
                <w:szCs w:val="21"/>
                <w:vertAlign w:val="subscript"/>
              </w:rPr>
              <w:t>10</w:t>
            </w:r>
          </w:p>
        </w:tc>
        <w:tc>
          <w:tcPr>
            <w:tcW w:w="1794" w:type="dxa"/>
            <w:vAlign w:val="center"/>
          </w:tcPr>
          <w:p w14:paraId="381481F2">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年平均质量浓度</w:t>
            </w:r>
          </w:p>
        </w:tc>
        <w:tc>
          <w:tcPr>
            <w:tcW w:w="889" w:type="dxa"/>
            <w:vMerge w:val="continue"/>
            <w:vAlign w:val="center"/>
          </w:tcPr>
          <w:p w14:paraId="5B52E90C">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458AC5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4</w:t>
            </w:r>
            <w:r>
              <w:rPr>
                <w:rFonts w:hint="default" w:ascii="Arial" w:hAnsi="Arial" w:eastAsia="宋体" w:cs="Arial"/>
                <w:color w:val="000000"/>
                <w:sz w:val="21"/>
                <w:szCs w:val="21"/>
                <w:lang w:val="en-US" w:eastAsia="zh-CN"/>
              </w:rPr>
              <w:t>3</w:t>
            </w:r>
          </w:p>
        </w:tc>
        <w:tc>
          <w:tcPr>
            <w:tcW w:w="1039" w:type="dxa"/>
            <w:vAlign w:val="center"/>
          </w:tcPr>
          <w:p w14:paraId="0FF562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70</w:t>
            </w:r>
          </w:p>
        </w:tc>
        <w:tc>
          <w:tcPr>
            <w:tcW w:w="1229" w:type="dxa"/>
            <w:vAlign w:val="center"/>
          </w:tcPr>
          <w:p w14:paraId="1A9DA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61.4</w:t>
            </w:r>
          </w:p>
        </w:tc>
        <w:tc>
          <w:tcPr>
            <w:tcW w:w="1089" w:type="dxa"/>
            <w:vAlign w:val="center"/>
          </w:tcPr>
          <w:p w14:paraId="385579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0BBB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continue"/>
            <w:vAlign w:val="center"/>
          </w:tcPr>
          <w:p w14:paraId="31E13B67">
            <w:pPr>
              <w:keepNext w:val="0"/>
              <w:keepLines w:val="0"/>
              <w:widowControl/>
              <w:suppressLineNumbers w:val="0"/>
              <w:spacing w:before="0" w:beforeAutospacing="0" w:after="0" w:afterAutospacing="0"/>
              <w:ind w:left="0" w:right="0"/>
              <w:jc w:val="left"/>
              <w:rPr>
                <w:rFonts w:hint="default" w:ascii="Arial" w:hAnsi="Arial" w:eastAsia="宋体" w:cs="Arial"/>
                <w:kern w:val="0"/>
                <w:szCs w:val="21"/>
              </w:rPr>
            </w:pPr>
          </w:p>
        </w:tc>
        <w:tc>
          <w:tcPr>
            <w:tcW w:w="1794" w:type="dxa"/>
            <w:vAlign w:val="center"/>
          </w:tcPr>
          <w:p w14:paraId="64439E69">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第95百分位数日平均质量浓度</w:t>
            </w:r>
          </w:p>
        </w:tc>
        <w:tc>
          <w:tcPr>
            <w:tcW w:w="889" w:type="dxa"/>
            <w:vMerge w:val="continue"/>
            <w:vAlign w:val="center"/>
          </w:tcPr>
          <w:p w14:paraId="71AF8A75">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60AC12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10</w:t>
            </w:r>
            <w:r>
              <w:rPr>
                <w:rFonts w:hint="default" w:ascii="Arial" w:hAnsi="Arial" w:eastAsia="宋体" w:cs="Arial"/>
                <w:color w:val="000000"/>
                <w:sz w:val="21"/>
                <w:szCs w:val="21"/>
                <w:lang w:val="en-US" w:eastAsia="zh-CN"/>
              </w:rPr>
              <w:t>0</w:t>
            </w:r>
          </w:p>
        </w:tc>
        <w:tc>
          <w:tcPr>
            <w:tcW w:w="1039" w:type="dxa"/>
            <w:vAlign w:val="center"/>
          </w:tcPr>
          <w:p w14:paraId="61F56B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150</w:t>
            </w:r>
          </w:p>
        </w:tc>
        <w:tc>
          <w:tcPr>
            <w:tcW w:w="1229" w:type="dxa"/>
            <w:vAlign w:val="center"/>
          </w:tcPr>
          <w:p w14:paraId="6529A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66.7</w:t>
            </w:r>
          </w:p>
        </w:tc>
        <w:tc>
          <w:tcPr>
            <w:tcW w:w="1089" w:type="dxa"/>
            <w:vAlign w:val="center"/>
          </w:tcPr>
          <w:p w14:paraId="47FAE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1C6E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restart"/>
            <w:vAlign w:val="center"/>
          </w:tcPr>
          <w:p w14:paraId="0B976192">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NO</w:t>
            </w:r>
            <w:r>
              <w:rPr>
                <w:rFonts w:hint="default" w:ascii="Arial" w:hAnsi="Arial" w:eastAsia="宋体" w:cs="Arial"/>
                <w:kern w:val="0"/>
                <w:szCs w:val="21"/>
                <w:vertAlign w:val="subscript"/>
              </w:rPr>
              <w:t>2</w:t>
            </w:r>
          </w:p>
        </w:tc>
        <w:tc>
          <w:tcPr>
            <w:tcW w:w="1794" w:type="dxa"/>
            <w:vAlign w:val="center"/>
          </w:tcPr>
          <w:p w14:paraId="5E73C6C5">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年平均质量浓度</w:t>
            </w:r>
          </w:p>
        </w:tc>
        <w:tc>
          <w:tcPr>
            <w:tcW w:w="889" w:type="dxa"/>
            <w:vMerge w:val="continue"/>
            <w:vAlign w:val="center"/>
          </w:tcPr>
          <w:p w14:paraId="09AF38F7">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7ADD79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lang w:val="en-US" w:eastAsia="zh-CN"/>
              </w:rPr>
              <w:t>23</w:t>
            </w:r>
          </w:p>
        </w:tc>
        <w:tc>
          <w:tcPr>
            <w:tcW w:w="1039" w:type="dxa"/>
            <w:vAlign w:val="center"/>
          </w:tcPr>
          <w:p w14:paraId="7D06DC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40</w:t>
            </w:r>
          </w:p>
        </w:tc>
        <w:tc>
          <w:tcPr>
            <w:tcW w:w="1229" w:type="dxa"/>
            <w:vAlign w:val="center"/>
          </w:tcPr>
          <w:p w14:paraId="333324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57.5</w:t>
            </w:r>
          </w:p>
        </w:tc>
        <w:tc>
          <w:tcPr>
            <w:tcW w:w="1089" w:type="dxa"/>
            <w:vAlign w:val="center"/>
          </w:tcPr>
          <w:p w14:paraId="2FD25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375D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continue"/>
            <w:vAlign w:val="center"/>
          </w:tcPr>
          <w:p w14:paraId="7EE5492D">
            <w:pPr>
              <w:keepNext w:val="0"/>
              <w:keepLines w:val="0"/>
              <w:widowControl/>
              <w:suppressLineNumbers w:val="0"/>
              <w:spacing w:before="0" w:beforeAutospacing="0" w:after="0" w:afterAutospacing="0"/>
              <w:ind w:left="0" w:right="0"/>
              <w:jc w:val="left"/>
              <w:rPr>
                <w:rFonts w:hint="default" w:ascii="Arial" w:hAnsi="Arial" w:eastAsia="宋体" w:cs="Arial"/>
                <w:kern w:val="0"/>
                <w:szCs w:val="21"/>
              </w:rPr>
            </w:pPr>
          </w:p>
        </w:tc>
        <w:tc>
          <w:tcPr>
            <w:tcW w:w="1794" w:type="dxa"/>
            <w:vAlign w:val="center"/>
          </w:tcPr>
          <w:p w14:paraId="6C51E4CC">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第98百分位数日平均质量浓度</w:t>
            </w:r>
          </w:p>
        </w:tc>
        <w:tc>
          <w:tcPr>
            <w:tcW w:w="889" w:type="dxa"/>
            <w:vMerge w:val="continue"/>
            <w:vAlign w:val="center"/>
          </w:tcPr>
          <w:p w14:paraId="39AE7DE8">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0DC86B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lang w:val="en-US" w:eastAsia="zh-CN"/>
              </w:rPr>
              <w:t>61</w:t>
            </w:r>
          </w:p>
        </w:tc>
        <w:tc>
          <w:tcPr>
            <w:tcW w:w="1039" w:type="dxa"/>
            <w:vAlign w:val="center"/>
          </w:tcPr>
          <w:p w14:paraId="20347E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80</w:t>
            </w:r>
          </w:p>
        </w:tc>
        <w:tc>
          <w:tcPr>
            <w:tcW w:w="1229" w:type="dxa"/>
            <w:vAlign w:val="center"/>
          </w:tcPr>
          <w:p w14:paraId="6E2432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76.3</w:t>
            </w:r>
          </w:p>
        </w:tc>
        <w:tc>
          <w:tcPr>
            <w:tcW w:w="1089" w:type="dxa"/>
            <w:vAlign w:val="center"/>
          </w:tcPr>
          <w:p w14:paraId="48278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01D7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restart"/>
            <w:vAlign w:val="center"/>
          </w:tcPr>
          <w:p w14:paraId="6A1B1A5C">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SO</w:t>
            </w:r>
            <w:r>
              <w:rPr>
                <w:rFonts w:hint="default" w:ascii="Arial" w:hAnsi="Arial" w:eastAsia="宋体" w:cs="Arial"/>
                <w:kern w:val="0"/>
                <w:szCs w:val="21"/>
                <w:vertAlign w:val="subscript"/>
              </w:rPr>
              <w:t>2</w:t>
            </w:r>
          </w:p>
        </w:tc>
        <w:tc>
          <w:tcPr>
            <w:tcW w:w="1794" w:type="dxa"/>
            <w:vAlign w:val="center"/>
          </w:tcPr>
          <w:p w14:paraId="21425897">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年平均质量浓度</w:t>
            </w:r>
          </w:p>
        </w:tc>
        <w:tc>
          <w:tcPr>
            <w:tcW w:w="889" w:type="dxa"/>
            <w:vMerge w:val="continue"/>
            <w:vAlign w:val="center"/>
          </w:tcPr>
          <w:p w14:paraId="418C30AB">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14671A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kern w:val="0"/>
                <w:sz w:val="21"/>
                <w:szCs w:val="21"/>
                <w:lang w:val="en-US" w:eastAsia="zh-CN"/>
              </w:rPr>
              <w:t>8</w:t>
            </w:r>
          </w:p>
        </w:tc>
        <w:tc>
          <w:tcPr>
            <w:tcW w:w="1039" w:type="dxa"/>
            <w:vAlign w:val="center"/>
          </w:tcPr>
          <w:p w14:paraId="0A8CC6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60</w:t>
            </w:r>
          </w:p>
        </w:tc>
        <w:tc>
          <w:tcPr>
            <w:tcW w:w="1229" w:type="dxa"/>
            <w:vAlign w:val="center"/>
          </w:tcPr>
          <w:p w14:paraId="592B6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13.3</w:t>
            </w:r>
          </w:p>
        </w:tc>
        <w:tc>
          <w:tcPr>
            <w:tcW w:w="1089" w:type="dxa"/>
            <w:vAlign w:val="center"/>
          </w:tcPr>
          <w:p w14:paraId="1CA94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3799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Merge w:val="continue"/>
            <w:vAlign w:val="center"/>
          </w:tcPr>
          <w:p w14:paraId="46D9D054">
            <w:pPr>
              <w:keepNext w:val="0"/>
              <w:keepLines w:val="0"/>
              <w:widowControl/>
              <w:suppressLineNumbers w:val="0"/>
              <w:spacing w:before="0" w:beforeAutospacing="0" w:after="0" w:afterAutospacing="0"/>
              <w:ind w:left="0" w:right="0"/>
              <w:jc w:val="left"/>
              <w:rPr>
                <w:rFonts w:hint="default" w:ascii="Arial" w:hAnsi="Arial" w:eastAsia="宋体" w:cs="Arial"/>
                <w:kern w:val="0"/>
                <w:szCs w:val="21"/>
              </w:rPr>
            </w:pPr>
          </w:p>
        </w:tc>
        <w:tc>
          <w:tcPr>
            <w:tcW w:w="1794" w:type="dxa"/>
            <w:vAlign w:val="center"/>
          </w:tcPr>
          <w:p w14:paraId="7627BC91">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第98百分位数日平均质量浓度</w:t>
            </w:r>
          </w:p>
        </w:tc>
        <w:tc>
          <w:tcPr>
            <w:tcW w:w="889" w:type="dxa"/>
            <w:vMerge w:val="continue"/>
            <w:vAlign w:val="center"/>
          </w:tcPr>
          <w:p w14:paraId="66C3FE50">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43E035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lang w:val="en-US" w:eastAsia="zh-CN"/>
              </w:rPr>
              <w:t>12</w:t>
            </w:r>
          </w:p>
        </w:tc>
        <w:tc>
          <w:tcPr>
            <w:tcW w:w="1039" w:type="dxa"/>
            <w:vAlign w:val="center"/>
          </w:tcPr>
          <w:p w14:paraId="7079F6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kern w:val="0"/>
                <w:szCs w:val="21"/>
              </w:rPr>
            </w:pPr>
            <w:r>
              <w:rPr>
                <w:rFonts w:hint="default" w:ascii="Arial" w:hAnsi="Arial" w:eastAsia="宋体" w:cs="Arial"/>
                <w:color w:val="000000"/>
                <w:sz w:val="21"/>
                <w:szCs w:val="21"/>
              </w:rPr>
              <w:t>150</w:t>
            </w:r>
          </w:p>
        </w:tc>
        <w:tc>
          <w:tcPr>
            <w:tcW w:w="1229" w:type="dxa"/>
            <w:vAlign w:val="center"/>
          </w:tcPr>
          <w:p w14:paraId="2036B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8.0</w:t>
            </w:r>
          </w:p>
        </w:tc>
        <w:tc>
          <w:tcPr>
            <w:tcW w:w="1089" w:type="dxa"/>
            <w:vAlign w:val="center"/>
          </w:tcPr>
          <w:p w14:paraId="0F596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62DC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Align w:val="center"/>
          </w:tcPr>
          <w:p w14:paraId="3F03D21F">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O</w:t>
            </w:r>
            <w:r>
              <w:rPr>
                <w:rFonts w:hint="default" w:ascii="Arial" w:hAnsi="Arial" w:eastAsia="宋体" w:cs="Arial"/>
                <w:kern w:val="0"/>
                <w:szCs w:val="21"/>
                <w:vertAlign w:val="subscript"/>
              </w:rPr>
              <w:t>3</w:t>
            </w:r>
          </w:p>
        </w:tc>
        <w:tc>
          <w:tcPr>
            <w:tcW w:w="1794" w:type="dxa"/>
            <w:vAlign w:val="center"/>
          </w:tcPr>
          <w:p w14:paraId="397C23D6">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第90百分位数日最大8h平均质量浓度</w:t>
            </w:r>
          </w:p>
        </w:tc>
        <w:tc>
          <w:tcPr>
            <w:tcW w:w="889" w:type="dxa"/>
            <w:vMerge w:val="continue"/>
            <w:vAlign w:val="center"/>
          </w:tcPr>
          <w:p w14:paraId="232E629C">
            <w:pPr>
              <w:keepNext w:val="0"/>
              <w:keepLines w:val="0"/>
              <w:widowControl/>
              <w:suppressLineNumbers w:val="0"/>
              <w:spacing w:before="0" w:beforeAutospacing="0" w:after="0" w:afterAutospacing="0"/>
              <w:ind w:left="0" w:right="0"/>
              <w:jc w:val="left"/>
              <w:rPr>
                <w:rFonts w:hint="default" w:ascii="Arial" w:hAnsi="Arial" w:eastAsia="宋体" w:cs="Arial"/>
                <w:szCs w:val="21"/>
              </w:rPr>
            </w:pPr>
          </w:p>
        </w:tc>
        <w:tc>
          <w:tcPr>
            <w:tcW w:w="1134" w:type="dxa"/>
            <w:vAlign w:val="center"/>
          </w:tcPr>
          <w:p w14:paraId="64CC7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kern w:val="0"/>
                <w:szCs w:val="21"/>
              </w:rPr>
            </w:pPr>
            <w:r>
              <w:rPr>
                <w:rFonts w:hint="default" w:ascii="Arial" w:hAnsi="Arial" w:eastAsia="宋体" w:cs="Arial"/>
                <w:color w:val="000000"/>
                <w:kern w:val="0"/>
                <w:sz w:val="21"/>
                <w:szCs w:val="21"/>
                <w:lang w:val="en-US" w:eastAsia="zh-CN"/>
              </w:rPr>
              <w:t>155</w:t>
            </w:r>
          </w:p>
        </w:tc>
        <w:tc>
          <w:tcPr>
            <w:tcW w:w="1039" w:type="dxa"/>
            <w:vAlign w:val="center"/>
          </w:tcPr>
          <w:p w14:paraId="7BA77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kern w:val="0"/>
                <w:szCs w:val="21"/>
              </w:rPr>
            </w:pPr>
            <w:r>
              <w:rPr>
                <w:rFonts w:hint="default" w:ascii="Arial" w:hAnsi="Arial" w:eastAsia="宋体" w:cs="Arial"/>
                <w:color w:val="000000"/>
                <w:kern w:val="0"/>
                <w:sz w:val="21"/>
                <w:szCs w:val="21"/>
              </w:rPr>
              <w:t>160</w:t>
            </w:r>
          </w:p>
        </w:tc>
        <w:tc>
          <w:tcPr>
            <w:tcW w:w="1229" w:type="dxa"/>
            <w:vAlign w:val="center"/>
          </w:tcPr>
          <w:p w14:paraId="52671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96.9</w:t>
            </w:r>
          </w:p>
        </w:tc>
        <w:tc>
          <w:tcPr>
            <w:tcW w:w="1089" w:type="dxa"/>
            <w:vAlign w:val="center"/>
          </w:tcPr>
          <w:p w14:paraId="5B60A2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r w14:paraId="1C72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42" w:type="dxa"/>
            <w:vAlign w:val="center"/>
          </w:tcPr>
          <w:p w14:paraId="252FDF39">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CO</w:t>
            </w:r>
          </w:p>
        </w:tc>
        <w:tc>
          <w:tcPr>
            <w:tcW w:w="1794" w:type="dxa"/>
            <w:vAlign w:val="center"/>
          </w:tcPr>
          <w:p w14:paraId="0C795463">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kern w:val="0"/>
                <w:szCs w:val="21"/>
              </w:rPr>
              <w:t>第95百分位数日平均质量浓度</w:t>
            </w:r>
          </w:p>
        </w:tc>
        <w:tc>
          <w:tcPr>
            <w:tcW w:w="889" w:type="dxa"/>
            <w:vAlign w:val="center"/>
          </w:tcPr>
          <w:p w14:paraId="2870BCC6">
            <w:pPr>
              <w:keepNext w:val="0"/>
              <w:keepLines w:val="0"/>
              <w:widowControl/>
              <w:suppressLineNumbers w:val="0"/>
              <w:spacing w:before="0" w:beforeAutospacing="0" w:after="0" w:afterAutospacing="0"/>
              <w:ind w:left="0" w:right="0"/>
              <w:contextualSpacing/>
              <w:jc w:val="center"/>
              <w:rPr>
                <w:rFonts w:hint="default" w:ascii="Arial" w:hAnsi="Arial" w:eastAsia="宋体" w:cs="Arial"/>
                <w:kern w:val="0"/>
                <w:szCs w:val="21"/>
              </w:rPr>
            </w:pPr>
            <w:r>
              <w:rPr>
                <w:rFonts w:hint="default" w:ascii="Arial" w:hAnsi="Arial" w:eastAsia="宋体" w:cs="Arial"/>
                <w:szCs w:val="21"/>
              </w:rPr>
              <w:t>mg/m</w:t>
            </w:r>
            <w:r>
              <w:rPr>
                <w:rFonts w:hint="default" w:ascii="Arial" w:hAnsi="Arial" w:eastAsia="宋体" w:cs="Arial"/>
                <w:szCs w:val="21"/>
                <w:vertAlign w:val="superscript"/>
              </w:rPr>
              <w:t>3</w:t>
            </w:r>
          </w:p>
        </w:tc>
        <w:tc>
          <w:tcPr>
            <w:tcW w:w="1134" w:type="dxa"/>
            <w:vAlign w:val="center"/>
          </w:tcPr>
          <w:p w14:paraId="0F2BD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kern w:val="0"/>
                <w:szCs w:val="21"/>
              </w:rPr>
            </w:pPr>
            <w:r>
              <w:rPr>
                <w:rFonts w:hint="default" w:ascii="Arial" w:hAnsi="Arial" w:eastAsia="宋体" w:cs="Arial"/>
                <w:kern w:val="0"/>
                <w:sz w:val="21"/>
                <w:szCs w:val="21"/>
                <w:lang w:val="en-US" w:eastAsia="zh-CN"/>
              </w:rPr>
              <w:t>0.8</w:t>
            </w:r>
          </w:p>
        </w:tc>
        <w:tc>
          <w:tcPr>
            <w:tcW w:w="1039" w:type="dxa"/>
            <w:vAlign w:val="center"/>
          </w:tcPr>
          <w:p w14:paraId="07AA3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kern w:val="0"/>
                <w:szCs w:val="21"/>
              </w:rPr>
            </w:pPr>
            <w:r>
              <w:rPr>
                <w:rFonts w:hint="default" w:ascii="Arial" w:hAnsi="Arial" w:eastAsia="宋体" w:cs="Arial"/>
                <w:color w:val="000000"/>
                <w:kern w:val="0"/>
                <w:sz w:val="21"/>
                <w:szCs w:val="21"/>
              </w:rPr>
              <w:t>4</w:t>
            </w:r>
          </w:p>
        </w:tc>
        <w:tc>
          <w:tcPr>
            <w:tcW w:w="1229" w:type="dxa"/>
            <w:vAlign w:val="center"/>
          </w:tcPr>
          <w:p w14:paraId="505A8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Arial" w:hAnsi="Arial" w:eastAsia="宋体" w:cs="Arial"/>
                <w:kern w:val="0"/>
                <w:szCs w:val="21"/>
              </w:rPr>
            </w:pPr>
            <w:r>
              <w:rPr>
                <w:rFonts w:hint="default" w:ascii="Arial" w:hAnsi="Arial" w:eastAsia="宋体" w:cs="Arial"/>
                <w:i w:val="0"/>
                <w:iCs w:val="0"/>
                <w:color w:val="000000"/>
                <w:kern w:val="0"/>
                <w:sz w:val="21"/>
                <w:szCs w:val="21"/>
                <w:u w:val="none"/>
                <w:lang w:val="en-US" w:eastAsia="zh-CN" w:bidi="ar"/>
              </w:rPr>
              <w:t>20.0</w:t>
            </w:r>
          </w:p>
        </w:tc>
        <w:tc>
          <w:tcPr>
            <w:tcW w:w="1089" w:type="dxa"/>
            <w:vAlign w:val="center"/>
          </w:tcPr>
          <w:p w14:paraId="465BA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contextualSpacing/>
              <w:jc w:val="center"/>
              <w:rPr>
                <w:rFonts w:hint="default" w:ascii="Arial" w:hAnsi="Arial" w:eastAsia="宋体" w:cs="Arial"/>
                <w:kern w:val="0"/>
                <w:szCs w:val="21"/>
              </w:rPr>
            </w:pPr>
            <w:r>
              <w:rPr>
                <w:rFonts w:hint="default" w:ascii="Arial" w:hAnsi="Arial" w:cs="Arial"/>
                <w:b w:val="0"/>
                <w:color w:val="000000"/>
                <w:kern w:val="0"/>
                <w:szCs w:val="21"/>
                <w:highlight w:val="none"/>
              </w:rPr>
              <w:t>达标</w:t>
            </w:r>
          </w:p>
        </w:tc>
      </w:tr>
    </w:tbl>
    <w:p w14:paraId="6F783612">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auto"/>
          <w:sz w:val="24"/>
          <w:szCs w:val="24"/>
        </w:rPr>
      </w:pPr>
      <w:r>
        <w:rPr>
          <w:rFonts w:hint="default" w:ascii="Arial" w:hAnsi="Arial" w:eastAsia="宋体" w:cs="Arial"/>
          <w:bCs/>
          <w:color w:val="auto"/>
          <w:sz w:val="24"/>
          <w:szCs w:val="24"/>
        </w:rPr>
        <w:t>根据环境质量数据可知，平湖市202</w:t>
      </w:r>
      <w:r>
        <w:rPr>
          <w:rFonts w:hint="eastAsia" w:ascii="Arial" w:hAnsi="Arial" w:eastAsia="宋体" w:cs="Arial"/>
          <w:bCs/>
          <w:color w:val="auto"/>
          <w:sz w:val="24"/>
          <w:szCs w:val="24"/>
          <w:lang w:val="en-US" w:eastAsia="zh-CN"/>
        </w:rPr>
        <w:t>5</w:t>
      </w:r>
      <w:r>
        <w:rPr>
          <w:rFonts w:hint="default" w:ascii="Arial" w:hAnsi="Arial" w:eastAsia="宋体" w:cs="Arial"/>
          <w:bCs/>
          <w:color w:val="auto"/>
          <w:sz w:val="24"/>
          <w:szCs w:val="24"/>
        </w:rPr>
        <w:t>年各项污染物指标均符合《环境空气质量标准》（GB 3095—2012）及其修改单中的相关要求（生态环境部公告2018年第29号）中二级标准。</w:t>
      </w:r>
    </w:p>
    <w:p w14:paraId="6ADF1F11">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auto"/>
          <w:sz w:val="24"/>
          <w:szCs w:val="24"/>
          <w:lang w:val="en-US" w:eastAsia="zh-CN"/>
        </w:rPr>
      </w:pPr>
      <w:r>
        <w:rPr>
          <w:rFonts w:hint="default" w:ascii="Arial" w:hAnsi="Arial" w:eastAsia="宋体" w:cs="Arial"/>
          <w:bCs/>
          <w:color w:val="000000"/>
          <w:sz w:val="24"/>
        </w:rPr>
        <w:t>目前《环境空气质量标准》（GB3095-2026）已经替代“GB3095-2012”，由上表可见，</w:t>
      </w:r>
      <w:r>
        <w:rPr>
          <w:rFonts w:hint="default" w:ascii="Arial" w:hAnsi="Arial" w:eastAsia="宋体" w:cs="Arial"/>
          <w:bCs/>
          <w:color w:val="000000"/>
          <w:sz w:val="24"/>
          <w:lang w:val="en-US" w:eastAsia="zh-CN"/>
        </w:rPr>
        <w:t>平湖市</w:t>
      </w:r>
      <w:r>
        <w:rPr>
          <w:rFonts w:hint="default" w:ascii="Arial" w:hAnsi="Arial" w:eastAsia="宋体" w:cs="Arial"/>
          <w:bCs/>
          <w:color w:val="000000"/>
          <w:sz w:val="24"/>
        </w:rPr>
        <w:t>2025年大气环境中 PM</w:t>
      </w:r>
      <w:r>
        <w:rPr>
          <w:rFonts w:hint="default" w:ascii="Arial" w:hAnsi="Arial" w:eastAsia="宋体" w:cs="Arial"/>
          <w:bCs/>
          <w:color w:val="000000"/>
          <w:sz w:val="24"/>
          <w:vertAlign w:val="subscript"/>
        </w:rPr>
        <w:t>2.5</w:t>
      </w:r>
      <w:r>
        <w:rPr>
          <w:rFonts w:hint="default" w:ascii="Arial" w:hAnsi="Arial" w:eastAsia="宋体" w:cs="Arial"/>
          <w:bCs/>
          <w:color w:val="000000"/>
          <w:sz w:val="24"/>
        </w:rPr>
        <w:t>的日平均第95百分位数质量浓度超标准中的“过渡阶段二级浓度限值”。根据“省美丽浙江建设领导小组办公室印发《浙江省2026年空气持续改善行动计划》的通知”，政府部门将持续推进能源、产业和交通运输等三大结构优化调整与大气环境治理能力提升，迭代实施治气攻坚15条工作举措，城市细颗粒物（PM</w:t>
      </w:r>
      <w:r>
        <w:rPr>
          <w:rFonts w:hint="default" w:ascii="Arial" w:hAnsi="Arial" w:eastAsia="宋体" w:cs="Arial"/>
          <w:bCs/>
          <w:color w:val="000000"/>
          <w:sz w:val="24"/>
          <w:vertAlign w:val="subscript"/>
        </w:rPr>
        <w:t>2.5</w:t>
      </w:r>
      <w:r>
        <w:rPr>
          <w:rFonts w:hint="default" w:ascii="Arial" w:hAnsi="Arial" w:eastAsia="宋体" w:cs="Arial"/>
          <w:bCs/>
          <w:color w:val="000000"/>
          <w:sz w:val="24"/>
        </w:rPr>
        <w:t>）平均浓度、优良天数比率和重污染天数将得到持续改善，并逐步达到《环境空气质量标准》（GB3095-2026），完成国家下达的年度空气质量考核目标。</w:t>
      </w:r>
    </w:p>
    <w:p w14:paraId="29CED9BF">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地表水环境质量现状</w:t>
      </w:r>
    </w:p>
    <w:p w14:paraId="126FB86B">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lang w:val="en-US" w:eastAsia="zh-CN"/>
        </w:rPr>
        <w:t>1、</w:t>
      </w:r>
      <w:r>
        <w:rPr>
          <w:rFonts w:hint="default" w:ascii="Arial" w:hAnsi="Arial" w:eastAsia="宋体" w:cs="Arial"/>
          <w:b/>
          <w:bCs/>
          <w:sz w:val="24"/>
          <w:szCs w:val="24"/>
        </w:rPr>
        <w:t>污水处理厂受纳水体环境质量现状</w:t>
      </w:r>
    </w:p>
    <w:p w14:paraId="0E756536">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szCs w:val="20"/>
          <w:highlight w:val="none"/>
        </w:rPr>
      </w:pPr>
      <w:r>
        <w:rPr>
          <w:rFonts w:hint="default" w:ascii="Arial" w:hAnsi="Arial" w:eastAsia="宋体" w:cs="Arial"/>
          <w:color w:val="auto"/>
          <w:sz w:val="24"/>
          <w:highlight w:val="none"/>
        </w:rPr>
        <w:t>建设项目废水由市政污水管网排入嘉兴市联合污水处理厂，处理达标后排入杭州湾，纳污水体为东海。根据《平湖市生态环境监测年鉴（202</w:t>
      </w:r>
      <w:r>
        <w:rPr>
          <w:rFonts w:hint="eastAsia" w:ascii="Arial" w:hAnsi="Arial" w:eastAsia="宋体" w:cs="Arial"/>
          <w:color w:val="auto"/>
          <w:sz w:val="24"/>
          <w:highlight w:val="none"/>
          <w:lang w:val="en-US" w:eastAsia="zh-CN"/>
        </w:rPr>
        <w:t>5</w:t>
      </w:r>
      <w:r>
        <w:rPr>
          <w:rFonts w:hint="default" w:ascii="Arial" w:hAnsi="Arial" w:eastAsia="宋体" w:cs="Arial"/>
          <w:color w:val="auto"/>
          <w:sz w:val="24"/>
          <w:highlight w:val="none"/>
        </w:rPr>
        <w:t>年度）》，202</w:t>
      </w:r>
      <w:r>
        <w:rPr>
          <w:rFonts w:hint="eastAsia" w:ascii="Arial" w:hAnsi="Arial" w:eastAsia="宋体" w:cs="Arial"/>
          <w:color w:val="auto"/>
          <w:sz w:val="24"/>
          <w:highlight w:val="none"/>
          <w:lang w:val="en-US" w:eastAsia="zh-CN"/>
        </w:rPr>
        <w:t>5</w:t>
      </w:r>
      <w:r>
        <w:rPr>
          <w:rFonts w:hint="default" w:ascii="Arial" w:hAnsi="Arial" w:eastAsia="宋体" w:cs="Arial"/>
          <w:color w:val="auto"/>
          <w:sz w:val="24"/>
          <w:highlight w:val="none"/>
        </w:rPr>
        <w:t>年平湖海域</w:t>
      </w:r>
      <w:r>
        <w:rPr>
          <w:rFonts w:hint="default" w:ascii="Arial" w:hAnsi="Arial" w:eastAsia="宋体" w:cs="Arial"/>
          <w:color w:val="auto"/>
          <w:sz w:val="24"/>
          <w:szCs w:val="20"/>
          <w:highlight w:val="none"/>
        </w:rPr>
        <w:t>水质情况如下：</w:t>
      </w:r>
    </w:p>
    <w:p w14:paraId="674FA3F8">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highlight w:val="none"/>
        </w:rPr>
      </w:pPr>
      <w:r>
        <w:rPr>
          <w:rFonts w:hint="default" w:ascii="Arial" w:hAnsi="Arial" w:eastAsia="宋体" w:cs="Arial"/>
          <w:color w:val="auto"/>
          <w:sz w:val="24"/>
          <w:highlight w:val="none"/>
        </w:rPr>
        <w:t>平湖市设两个近岸海域监测断面，分别009号断面和013号断面。009号断面（121.2282°E，30.651°N）所在海域属于独山四类功能区，执行《海水水质标准》（GB3097-1997）第四类标准；013号断面（121.1524°E，30.5832°N）所在海域属于九龙山三类功能区，执行《海水水质标准》（GB3097-1997）第三类标准。</w:t>
      </w:r>
    </w:p>
    <w:p w14:paraId="75524532">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highlight w:val="none"/>
        </w:rPr>
      </w:pPr>
      <w:r>
        <w:rPr>
          <w:rFonts w:hint="default" w:ascii="Arial" w:hAnsi="Arial" w:eastAsia="宋体" w:cs="Arial"/>
          <w:color w:val="auto"/>
          <w:sz w:val="24"/>
          <w:highlight w:val="none"/>
        </w:rPr>
        <w:t>202</w:t>
      </w:r>
      <w:r>
        <w:rPr>
          <w:rFonts w:hint="eastAsia" w:ascii="Arial" w:hAnsi="Arial" w:eastAsia="宋体" w:cs="Arial"/>
          <w:color w:val="auto"/>
          <w:sz w:val="24"/>
          <w:highlight w:val="none"/>
          <w:lang w:val="en-US" w:eastAsia="zh-CN"/>
        </w:rPr>
        <w:t>5</w:t>
      </w:r>
      <w:r>
        <w:rPr>
          <w:rFonts w:hint="default" w:ascii="Arial" w:hAnsi="Arial" w:eastAsia="宋体" w:cs="Arial"/>
          <w:color w:val="auto"/>
          <w:sz w:val="24"/>
          <w:highlight w:val="none"/>
        </w:rPr>
        <w:t>年</w:t>
      </w:r>
      <w:r>
        <w:rPr>
          <w:rFonts w:hint="default" w:ascii="Arial" w:hAnsi="Arial" w:eastAsia="宋体" w:cs="Arial"/>
          <w:color w:val="auto"/>
          <w:sz w:val="24"/>
          <w:highlight w:val="none"/>
          <w:lang w:val="en-US" w:eastAsia="zh-CN"/>
        </w:rPr>
        <w:t>平湖</w:t>
      </w:r>
      <w:r>
        <w:rPr>
          <w:rFonts w:hint="default" w:ascii="Arial" w:hAnsi="Arial" w:eastAsia="宋体" w:cs="Arial"/>
          <w:color w:val="auto"/>
          <w:sz w:val="24"/>
          <w:highlight w:val="none"/>
        </w:rPr>
        <w:t>市两个近岸海域监测断面水质均为劣Ⅳ类，均未达到所在海域功能区要求。两个断面定类指标均为无机氮。</w:t>
      </w:r>
    </w:p>
    <w:p w14:paraId="703582C7">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highlight w:val="none"/>
        </w:rPr>
      </w:pPr>
      <w:r>
        <w:rPr>
          <w:rFonts w:hint="default" w:ascii="Arial" w:hAnsi="Arial" w:eastAsia="宋体" w:cs="Arial"/>
          <w:color w:val="auto"/>
          <w:sz w:val="24"/>
          <w:highlight w:val="none"/>
        </w:rPr>
        <w:t>009号断面无机氮平均浓度为</w:t>
      </w:r>
      <w:r>
        <w:rPr>
          <w:rFonts w:hint="default" w:ascii="Arial" w:hAnsi="Arial" w:eastAsia="宋体" w:cs="Arial"/>
          <w:color w:val="auto"/>
          <w:sz w:val="24"/>
          <w:highlight w:val="none"/>
          <w:lang w:val="en-US" w:eastAsia="zh-CN"/>
        </w:rPr>
        <w:t>0.991</w:t>
      </w:r>
      <w:r>
        <w:rPr>
          <w:rFonts w:hint="default" w:ascii="Arial" w:hAnsi="Arial" w:eastAsia="宋体" w:cs="Arial"/>
          <w:color w:val="auto"/>
          <w:sz w:val="24"/>
          <w:highlight w:val="none"/>
        </w:rPr>
        <w:t>毫克/升，比上年</w:t>
      </w:r>
      <w:r>
        <w:rPr>
          <w:rFonts w:hint="default" w:ascii="Arial" w:hAnsi="Arial" w:eastAsia="宋体" w:cs="Arial"/>
          <w:color w:val="auto"/>
          <w:sz w:val="24"/>
          <w:highlight w:val="none"/>
          <w:lang w:val="en-US" w:eastAsia="zh-CN"/>
        </w:rPr>
        <w:t>下降</w:t>
      </w:r>
      <w:r>
        <w:rPr>
          <w:rFonts w:hint="default" w:ascii="Arial" w:hAnsi="Arial" w:eastAsia="宋体" w:cs="Arial"/>
          <w:color w:val="auto"/>
          <w:sz w:val="24"/>
          <w:highlight w:val="none"/>
        </w:rPr>
        <w:t>2</w:t>
      </w:r>
      <w:r>
        <w:rPr>
          <w:rFonts w:hint="default" w:ascii="Arial" w:hAnsi="Arial" w:eastAsia="宋体" w:cs="Arial"/>
          <w:color w:val="auto"/>
          <w:sz w:val="24"/>
          <w:highlight w:val="none"/>
          <w:lang w:val="en-US" w:eastAsia="zh-CN"/>
        </w:rPr>
        <w:t>4.4</w:t>
      </w:r>
      <w:r>
        <w:rPr>
          <w:rFonts w:hint="default" w:ascii="Arial" w:hAnsi="Arial" w:eastAsia="宋体" w:cs="Arial"/>
          <w:color w:val="auto"/>
          <w:sz w:val="24"/>
          <w:highlight w:val="none"/>
        </w:rPr>
        <w:t>%。</w:t>
      </w:r>
    </w:p>
    <w:p w14:paraId="4DEA4330">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outlineLvl w:val="3"/>
        <w:rPr>
          <w:rFonts w:hint="default" w:ascii="Arial" w:hAnsi="Arial" w:eastAsia="宋体" w:cs="Arial"/>
          <w:color w:val="auto"/>
          <w:sz w:val="24"/>
          <w:highlight w:val="none"/>
        </w:rPr>
      </w:pPr>
      <w:r>
        <w:rPr>
          <w:rFonts w:hint="default" w:ascii="Arial" w:hAnsi="Arial" w:eastAsia="宋体" w:cs="Arial"/>
          <w:color w:val="auto"/>
          <w:sz w:val="24"/>
          <w:highlight w:val="none"/>
        </w:rPr>
        <w:t>013号断面无机氮平均浓度为</w:t>
      </w:r>
      <w:r>
        <w:rPr>
          <w:rFonts w:hint="default" w:ascii="Arial" w:hAnsi="Arial" w:eastAsia="宋体" w:cs="Arial"/>
          <w:color w:val="auto"/>
          <w:sz w:val="24"/>
          <w:highlight w:val="none"/>
          <w:lang w:val="en-US" w:eastAsia="zh-CN"/>
        </w:rPr>
        <w:t>0.532</w:t>
      </w:r>
      <w:r>
        <w:rPr>
          <w:rFonts w:hint="default" w:ascii="Arial" w:hAnsi="Arial" w:eastAsia="宋体" w:cs="Arial"/>
          <w:color w:val="auto"/>
          <w:sz w:val="24"/>
          <w:highlight w:val="none"/>
        </w:rPr>
        <w:t>毫克/升，比上年</w:t>
      </w:r>
      <w:r>
        <w:rPr>
          <w:rFonts w:hint="default" w:ascii="Arial" w:hAnsi="Arial" w:eastAsia="宋体" w:cs="Arial"/>
          <w:color w:val="auto"/>
          <w:sz w:val="24"/>
          <w:highlight w:val="none"/>
          <w:lang w:val="en-US" w:eastAsia="zh-CN"/>
        </w:rPr>
        <w:t>下降71.7</w:t>
      </w:r>
      <w:r>
        <w:rPr>
          <w:rFonts w:hint="default" w:ascii="Arial" w:hAnsi="Arial" w:eastAsia="宋体" w:cs="Arial"/>
          <w:color w:val="auto"/>
          <w:sz w:val="24"/>
          <w:highlight w:val="none"/>
        </w:rPr>
        <w:t>%。</w:t>
      </w:r>
    </w:p>
    <w:p w14:paraId="7EEF00EF">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lang w:val="en-US" w:eastAsia="zh-CN"/>
        </w:rPr>
        <w:t>2、</w:t>
      </w:r>
      <w:r>
        <w:rPr>
          <w:rFonts w:hint="default" w:ascii="Arial" w:hAnsi="Arial" w:eastAsia="宋体" w:cs="Arial"/>
          <w:b/>
          <w:bCs/>
          <w:sz w:val="24"/>
          <w:szCs w:val="24"/>
        </w:rPr>
        <w:t>项目周围地表水环境质量现状评价</w:t>
      </w:r>
    </w:p>
    <w:p w14:paraId="6B4B6AE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为了解项目附近地表水环境现状质量，本环评引用</w:t>
      </w:r>
      <w:r>
        <w:rPr>
          <w:rFonts w:hint="default" w:ascii="Arial" w:hAnsi="Arial" w:eastAsia="宋体" w:cs="Arial"/>
          <w:bCs/>
          <w:sz w:val="24"/>
          <w:szCs w:val="24"/>
        </w:rPr>
        <w:t>嘉兴市生态环境局平湖分局提供的《平湖市生态环境监测年鉴（202</w:t>
      </w:r>
      <w:r>
        <w:rPr>
          <w:rFonts w:hint="eastAsia" w:ascii="Arial" w:hAnsi="Arial" w:eastAsia="宋体" w:cs="Arial"/>
          <w:bCs/>
          <w:sz w:val="24"/>
          <w:szCs w:val="24"/>
          <w:lang w:val="en-US" w:eastAsia="zh-CN"/>
        </w:rPr>
        <w:t>5</w:t>
      </w:r>
      <w:r>
        <w:rPr>
          <w:rFonts w:hint="default" w:ascii="Arial" w:hAnsi="Arial" w:eastAsia="宋体" w:cs="Arial"/>
          <w:bCs/>
          <w:sz w:val="24"/>
          <w:szCs w:val="24"/>
        </w:rPr>
        <w:t>年度）》</w:t>
      </w:r>
      <w:r>
        <w:rPr>
          <w:rFonts w:hint="default" w:ascii="Arial" w:hAnsi="Arial" w:eastAsia="宋体" w:cs="Arial"/>
          <w:sz w:val="24"/>
          <w:szCs w:val="24"/>
        </w:rPr>
        <w:t>中荒田浜（万盛桥）断面的地表水水质监测数据（仅选取与本项目相关指标）进行评价，具体监测数据及评价结果见表3-</w:t>
      </w:r>
      <w:r>
        <w:rPr>
          <w:rFonts w:hint="eastAsia" w:ascii="Arial" w:hAnsi="Arial" w:eastAsia="宋体" w:cs="Arial"/>
          <w:sz w:val="24"/>
          <w:szCs w:val="24"/>
          <w:lang w:val="en-US" w:eastAsia="zh-CN"/>
        </w:rPr>
        <w:t>2</w:t>
      </w:r>
      <w:r>
        <w:rPr>
          <w:rFonts w:hint="default" w:ascii="Arial" w:hAnsi="Arial" w:eastAsia="宋体" w:cs="Arial"/>
          <w:sz w:val="24"/>
          <w:szCs w:val="24"/>
        </w:rPr>
        <w:t>。</w:t>
      </w:r>
    </w:p>
    <w:p w14:paraId="4108CDB2">
      <w:pPr>
        <w:pStyle w:val="76"/>
        <w:numPr>
          <w:ilvl w:val="3"/>
          <w:numId w:val="5"/>
        </w:numPr>
        <w:ind w:left="777" w:leftChars="0" w:firstLine="482"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地表水监测点位水质监测结果  单位：mg/L</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86"/>
        <w:gridCol w:w="738"/>
        <w:gridCol w:w="1370"/>
        <w:gridCol w:w="1054"/>
        <w:gridCol w:w="957"/>
        <w:gridCol w:w="957"/>
        <w:gridCol w:w="958"/>
      </w:tblGrid>
      <w:tr w14:paraId="6A52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Align w:val="center"/>
          </w:tcPr>
          <w:p w14:paraId="05E1C7C0">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河流</w:t>
            </w:r>
          </w:p>
        </w:tc>
        <w:tc>
          <w:tcPr>
            <w:tcW w:w="969" w:type="dxa"/>
            <w:vAlign w:val="center"/>
          </w:tcPr>
          <w:p w14:paraId="49F9E61A">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监测断面</w:t>
            </w:r>
          </w:p>
        </w:tc>
        <w:tc>
          <w:tcPr>
            <w:tcW w:w="659" w:type="dxa"/>
            <w:vAlign w:val="center"/>
          </w:tcPr>
          <w:p w14:paraId="6C27E471">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年份</w:t>
            </w:r>
          </w:p>
        </w:tc>
        <w:tc>
          <w:tcPr>
            <w:tcW w:w="1223" w:type="dxa"/>
            <w:tcBorders>
              <w:tl2br w:val="nil"/>
            </w:tcBorders>
            <w:vAlign w:val="center"/>
          </w:tcPr>
          <w:p w14:paraId="1864A809">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类别</w:t>
            </w:r>
          </w:p>
        </w:tc>
        <w:tc>
          <w:tcPr>
            <w:tcW w:w="941" w:type="dxa"/>
            <w:vAlign w:val="center"/>
          </w:tcPr>
          <w:p w14:paraId="2F914E61">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Cs/>
                <w:szCs w:val="21"/>
              </w:rPr>
              <w:t>COD</w:t>
            </w:r>
            <w:r>
              <w:rPr>
                <w:rFonts w:hint="default" w:ascii="Arial" w:hAnsi="Arial" w:eastAsia="宋体" w:cs="Arial"/>
                <w:bCs/>
                <w:szCs w:val="21"/>
                <w:vertAlign w:val="subscript"/>
              </w:rPr>
              <w:t>Mn</w:t>
            </w:r>
          </w:p>
        </w:tc>
        <w:tc>
          <w:tcPr>
            <w:tcW w:w="854" w:type="dxa"/>
            <w:vAlign w:val="center"/>
          </w:tcPr>
          <w:p w14:paraId="1A7525CC">
            <w:pPr>
              <w:keepNext w:val="0"/>
              <w:keepLines w:val="0"/>
              <w:suppressLineNumbers w:val="0"/>
              <w:snapToGrid w:val="0"/>
              <w:spacing w:before="0" w:beforeAutospacing="0" w:after="0" w:afterAutospacing="0"/>
              <w:ind w:left="0" w:right="0"/>
              <w:jc w:val="center"/>
              <w:rPr>
                <w:rFonts w:hint="default" w:ascii="Arial" w:hAnsi="Arial" w:eastAsia="宋体" w:cs="Arial"/>
                <w:bCs/>
                <w:szCs w:val="21"/>
              </w:rPr>
            </w:pPr>
            <w:r>
              <w:rPr>
                <w:rFonts w:hint="default" w:ascii="Arial" w:hAnsi="Arial" w:eastAsia="宋体" w:cs="Arial"/>
                <w:bCs/>
                <w:szCs w:val="21"/>
              </w:rPr>
              <w:t>NH</w:t>
            </w:r>
            <w:r>
              <w:rPr>
                <w:rFonts w:hint="default" w:ascii="Arial" w:hAnsi="Arial" w:eastAsia="宋体" w:cs="Arial"/>
                <w:bCs/>
                <w:szCs w:val="21"/>
                <w:vertAlign w:val="subscript"/>
              </w:rPr>
              <w:t>3</w:t>
            </w:r>
            <w:r>
              <w:rPr>
                <w:rFonts w:hint="default" w:ascii="Arial" w:hAnsi="Arial" w:eastAsia="宋体" w:cs="Arial"/>
                <w:bCs/>
                <w:szCs w:val="21"/>
              </w:rPr>
              <w:t>-N</w:t>
            </w:r>
          </w:p>
        </w:tc>
        <w:tc>
          <w:tcPr>
            <w:tcW w:w="854" w:type="dxa"/>
            <w:vAlign w:val="center"/>
          </w:tcPr>
          <w:p w14:paraId="4512756A">
            <w:pPr>
              <w:keepNext w:val="0"/>
              <w:keepLines w:val="0"/>
              <w:suppressLineNumbers w:val="0"/>
              <w:snapToGrid w:val="0"/>
              <w:spacing w:before="0" w:beforeAutospacing="0" w:after="0" w:afterAutospacing="0"/>
              <w:ind w:left="0" w:right="0"/>
              <w:jc w:val="center"/>
              <w:rPr>
                <w:rFonts w:hint="default" w:ascii="Arial" w:hAnsi="Arial" w:eastAsia="宋体" w:cs="Arial"/>
                <w:bCs/>
                <w:szCs w:val="21"/>
              </w:rPr>
            </w:pPr>
            <w:r>
              <w:rPr>
                <w:rFonts w:hint="default" w:ascii="Arial" w:hAnsi="Arial" w:eastAsia="宋体" w:cs="Arial"/>
                <w:bCs/>
                <w:szCs w:val="21"/>
              </w:rPr>
              <w:t>TP</w:t>
            </w:r>
          </w:p>
        </w:tc>
        <w:tc>
          <w:tcPr>
            <w:tcW w:w="854" w:type="dxa"/>
            <w:vAlign w:val="center"/>
          </w:tcPr>
          <w:p w14:paraId="051F8444">
            <w:pPr>
              <w:keepNext w:val="0"/>
              <w:keepLines w:val="0"/>
              <w:suppressLineNumbers w:val="0"/>
              <w:snapToGrid w:val="0"/>
              <w:spacing w:before="0" w:beforeAutospacing="0" w:after="0" w:afterAutospacing="0"/>
              <w:ind w:left="0" w:right="0"/>
              <w:jc w:val="center"/>
              <w:rPr>
                <w:rFonts w:hint="default" w:ascii="Arial" w:hAnsi="Arial" w:eastAsia="宋体" w:cs="Arial"/>
                <w:bCs/>
                <w:szCs w:val="21"/>
              </w:rPr>
            </w:pPr>
            <w:r>
              <w:rPr>
                <w:rFonts w:hint="default" w:ascii="Arial" w:hAnsi="Arial" w:eastAsia="宋体" w:cs="Arial"/>
                <w:bCs/>
                <w:szCs w:val="21"/>
              </w:rPr>
              <w:t>BOD</w:t>
            </w:r>
            <w:r>
              <w:rPr>
                <w:rFonts w:hint="default" w:ascii="Arial" w:hAnsi="Arial" w:eastAsia="宋体" w:cs="Arial"/>
                <w:bCs/>
                <w:szCs w:val="21"/>
                <w:vertAlign w:val="subscript"/>
              </w:rPr>
              <w:t>5</w:t>
            </w:r>
          </w:p>
        </w:tc>
      </w:tr>
      <w:tr w14:paraId="59B5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restart"/>
            <w:vAlign w:val="center"/>
          </w:tcPr>
          <w:p w14:paraId="7D641E82">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嘉兴塘</w:t>
            </w:r>
          </w:p>
        </w:tc>
        <w:tc>
          <w:tcPr>
            <w:tcW w:w="969" w:type="dxa"/>
            <w:vMerge w:val="restart"/>
            <w:vAlign w:val="center"/>
          </w:tcPr>
          <w:p w14:paraId="5958EA5F">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荒田浜（万盛桥）</w:t>
            </w:r>
          </w:p>
        </w:tc>
        <w:tc>
          <w:tcPr>
            <w:tcW w:w="659" w:type="dxa"/>
            <w:vMerge w:val="restart"/>
            <w:vAlign w:val="center"/>
          </w:tcPr>
          <w:p w14:paraId="40BDAF6F">
            <w:pPr>
              <w:keepNext w:val="0"/>
              <w:keepLines w:val="0"/>
              <w:suppressLineNumbers w:val="0"/>
              <w:spacing w:before="0" w:beforeAutospacing="0" w:after="0" w:afterAutospacing="0"/>
              <w:ind w:left="0" w:right="0"/>
              <w:jc w:val="center"/>
              <w:outlineLvl w:val="3"/>
              <w:rPr>
                <w:rFonts w:hint="default" w:ascii="Arial" w:hAnsi="Arial" w:eastAsia="宋体" w:cs="Arial"/>
                <w:bCs/>
                <w:szCs w:val="21"/>
              </w:rPr>
            </w:pPr>
            <w:r>
              <w:rPr>
                <w:rFonts w:hint="default" w:ascii="Arial" w:hAnsi="Arial" w:eastAsia="宋体" w:cs="Arial"/>
                <w:bCs/>
                <w:szCs w:val="21"/>
              </w:rPr>
              <w:t>202</w:t>
            </w:r>
            <w:r>
              <w:rPr>
                <w:rFonts w:hint="eastAsia" w:ascii="Arial" w:hAnsi="Arial" w:eastAsia="宋体" w:cs="Arial"/>
                <w:bCs/>
                <w:szCs w:val="21"/>
                <w:lang w:val="en-US" w:eastAsia="zh-CN"/>
              </w:rPr>
              <w:t>5</w:t>
            </w:r>
            <w:r>
              <w:rPr>
                <w:rFonts w:hint="default" w:ascii="Arial" w:hAnsi="Arial" w:eastAsia="宋体" w:cs="Arial"/>
                <w:bCs/>
                <w:szCs w:val="21"/>
              </w:rPr>
              <w:t>年</w:t>
            </w:r>
          </w:p>
        </w:tc>
        <w:tc>
          <w:tcPr>
            <w:tcW w:w="1223" w:type="dxa"/>
            <w:vAlign w:val="center"/>
          </w:tcPr>
          <w:p w14:paraId="79429C4E">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年均值</w:t>
            </w:r>
          </w:p>
        </w:tc>
        <w:tc>
          <w:tcPr>
            <w:tcW w:w="941" w:type="dxa"/>
            <w:vAlign w:val="center"/>
          </w:tcPr>
          <w:p w14:paraId="2829022E">
            <w:pPr>
              <w:keepNext w:val="0"/>
              <w:keepLines w:val="0"/>
              <w:suppressLineNumbers w:val="0"/>
              <w:spacing w:before="0" w:beforeAutospacing="0" w:after="0" w:afterAutospacing="0"/>
              <w:ind w:left="0" w:leftChars="0" w:right="0" w:rightChars="0"/>
              <w:jc w:val="center"/>
              <w:rPr>
                <w:rFonts w:hint="default" w:ascii="Arial" w:hAnsi="Arial" w:eastAsia="宋体" w:cs="Arial"/>
                <w:szCs w:val="21"/>
                <w:lang w:val="en-US" w:eastAsia="zh-CN"/>
              </w:rPr>
            </w:pPr>
            <w:r>
              <w:rPr>
                <w:rFonts w:hint="default" w:ascii="Arial" w:hAnsi="Arial" w:eastAsia="宋体" w:cs="Arial"/>
                <w:szCs w:val="21"/>
              </w:rPr>
              <w:t>4.</w:t>
            </w:r>
            <w:r>
              <w:rPr>
                <w:rFonts w:hint="default" w:ascii="Arial" w:hAnsi="Arial" w:eastAsia="宋体" w:cs="Arial"/>
                <w:szCs w:val="21"/>
                <w:lang w:val="en-US" w:eastAsia="zh-CN"/>
              </w:rPr>
              <w:t>0</w:t>
            </w:r>
          </w:p>
        </w:tc>
        <w:tc>
          <w:tcPr>
            <w:tcW w:w="854" w:type="dxa"/>
            <w:vAlign w:val="center"/>
          </w:tcPr>
          <w:p w14:paraId="0196CF78">
            <w:pPr>
              <w:keepNext w:val="0"/>
              <w:keepLines w:val="0"/>
              <w:suppressLineNumbers w:val="0"/>
              <w:spacing w:before="0" w:beforeAutospacing="0" w:after="0" w:afterAutospacing="0"/>
              <w:ind w:left="0" w:leftChars="0" w:right="0" w:rightChars="0"/>
              <w:jc w:val="center"/>
              <w:rPr>
                <w:rFonts w:hint="default" w:ascii="Arial" w:hAnsi="Arial" w:eastAsia="宋体" w:cs="Arial"/>
                <w:szCs w:val="21"/>
                <w:lang w:val="en-US" w:eastAsia="zh-CN"/>
              </w:rPr>
            </w:pPr>
            <w:r>
              <w:rPr>
                <w:rFonts w:hint="default" w:ascii="Arial" w:hAnsi="Arial" w:eastAsia="宋体" w:cs="Arial"/>
                <w:szCs w:val="21"/>
              </w:rPr>
              <w:t>0.</w:t>
            </w:r>
            <w:r>
              <w:rPr>
                <w:rFonts w:hint="default" w:ascii="Arial" w:hAnsi="Arial" w:eastAsia="宋体" w:cs="Arial"/>
                <w:szCs w:val="21"/>
                <w:lang w:val="en-US" w:eastAsia="zh-CN"/>
              </w:rPr>
              <w:t>26</w:t>
            </w:r>
          </w:p>
        </w:tc>
        <w:tc>
          <w:tcPr>
            <w:tcW w:w="854" w:type="dxa"/>
            <w:vAlign w:val="center"/>
          </w:tcPr>
          <w:p w14:paraId="13FCD409">
            <w:pPr>
              <w:keepNext w:val="0"/>
              <w:keepLines w:val="0"/>
              <w:suppressLineNumbers w:val="0"/>
              <w:spacing w:before="0" w:beforeAutospacing="0" w:after="0" w:afterAutospacing="0"/>
              <w:ind w:left="0" w:leftChars="0" w:right="0" w:rightChars="0"/>
              <w:jc w:val="center"/>
              <w:rPr>
                <w:rFonts w:hint="default" w:ascii="Arial" w:hAnsi="Arial" w:eastAsia="宋体" w:cs="Arial"/>
                <w:szCs w:val="21"/>
                <w:lang w:val="en-US" w:eastAsia="zh-CN"/>
              </w:rPr>
            </w:pPr>
            <w:r>
              <w:rPr>
                <w:rFonts w:hint="default" w:ascii="Arial" w:hAnsi="Arial" w:eastAsia="宋体" w:cs="Arial"/>
                <w:szCs w:val="21"/>
              </w:rPr>
              <w:t>0.1</w:t>
            </w:r>
            <w:r>
              <w:rPr>
                <w:rFonts w:hint="default" w:ascii="Arial" w:hAnsi="Arial" w:eastAsia="宋体" w:cs="Arial"/>
                <w:szCs w:val="21"/>
                <w:lang w:val="en-US" w:eastAsia="zh-CN"/>
              </w:rPr>
              <w:t>17</w:t>
            </w:r>
          </w:p>
        </w:tc>
        <w:tc>
          <w:tcPr>
            <w:tcW w:w="854" w:type="dxa"/>
            <w:vAlign w:val="center"/>
          </w:tcPr>
          <w:p w14:paraId="7E6CECE6">
            <w:pPr>
              <w:keepNext w:val="0"/>
              <w:keepLines w:val="0"/>
              <w:suppressLineNumbers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r>
      <w:tr w14:paraId="6801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vAlign w:val="center"/>
          </w:tcPr>
          <w:p w14:paraId="67D0C1E9">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969" w:type="dxa"/>
            <w:vMerge w:val="continue"/>
            <w:vAlign w:val="center"/>
          </w:tcPr>
          <w:p w14:paraId="6B8FA790">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659" w:type="dxa"/>
            <w:vMerge w:val="continue"/>
            <w:vAlign w:val="center"/>
          </w:tcPr>
          <w:p w14:paraId="0EAB1DCF">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223" w:type="dxa"/>
            <w:vAlign w:val="center"/>
          </w:tcPr>
          <w:p w14:paraId="4924FE56">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III类标准</w:t>
            </w:r>
          </w:p>
        </w:tc>
        <w:tc>
          <w:tcPr>
            <w:tcW w:w="941" w:type="dxa"/>
            <w:vAlign w:val="center"/>
          </w:tcPr>
          <w:p w14:paraId="3B7AF50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≤6</w:t>
            </w:r>
          </w:p>
        </w:tc>
        <w:tc>
          <w:tcPr>
            <w:tcW w:w="854" w:type="dxa"/>
            <w:vAlign w:val="center"/>
          </w:tcPr>
          <w:p w14:paraId="66B974D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≤1.0</w:t>
            </w:r>
          </w:p>
        </w:tc>
        <w:tc>
          <w:tcPr>
            <w:tcW w:w="854" w:type="dxa"/>
            <w:vAlign w:val="center"/>
          </w:tcPr>
          <w:p w14:paraId="699E468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≤0.2</w:t>
            </w:r>
          </w:p>
        </w:tc>
        <w:tc>
          <w:tcPr>
            <w:tcW w:w="854" w:type="dxa"/>
            <w:vAlign w:val="center"/>
          </w:tcPr>
          <w:p w14:paraId="53B07356">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≤4</w:t>
            </w:r>
          </w:p>
        </w:tc>
      </w:tr>
      <w:tr w14:paraId="2800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vAlign w:val="center"/>
          </w:tcPr>
          <w:p w14:paraId="22078DE5">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969" w:type="dxa"/>
            <w:vMerge w:val="continue"/>
            <w:vAlign w:val="center"/>
          </w:tcPr>
          <w:p w14:paraId="732206EF">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659" w:type="dxa"/>
            <w:vMerge w:val="continue"/>
            <w:vAlign w:val="center"/>
          </w:tcPr>
          <w:p w14:paraId="02F86A30">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223" w:type="dxa"/>
            <w:vAlign w:val="center"/>
          </w:tcPr>
          <w:p w14:paraId="028A836F">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达标情况</w:t>
            </w:r>
          </w:p>
        </w:tc>
        <w:tc>
          <w:tcPr>
            <w:tcW w:w="941" w:type="dxa"/>
            <w:vAlign w:val="center"/>
          </w:tcPr>
          <w:p w14:paraId="67E1AA80">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达标</w:t>
            </w:r>
          </w:p>
        </w:tc>
        <w:tc>
          <w:tcPr>
            <w:tcW w:w="854" w:type="dxa"/>
            <w:vAlign w:val="center"/>
          </w:tcPr>
          <w:p w14:paraId="0752F6EE">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达标</w:t>
            </w:r>
          </w:p>
        </w:tc>
        <w:tc>
          <w:tcPr>
            <w:tcW w:w="854" w:type="dxa"/>
            <w:vAlign w:val="center"/>
          </w:tcPr>
          <w:p w14:paraId="3FFA9D08">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达标</w:t>
            </w:r>
          </w:p>
        </w:tc>
        <w:tc>
          <w:tcPr>
            <w:tcW w:w="854" w:type="dxa"/>
            <w:vAlign w:val="center"/>
          </w:tcPr>
          <w:p w14:paraId="248FFE2D">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达标</w:t>
            </w:r>
          </w:p>
        </w:tc>
      </w:tr>
    </w:tbl>
    <w:p w14:paraId="56223DD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由表3-</w:t>
      </w:r>
      <w:r>
        <w:rPr>
          <w:rFonts w:hint="eastAsia" w:ascii="Arial" w:hAnsi="Arial" w:eastAsia="宋体" w:cs="Arial"/>
          <w:sz w:val="24"/>
          <w:szCs w:val="24"/>
          <w:lang w:val="en-US" w:eastAsia="zh-CN"/>
        </w:rPr>
        <w:t>2</w:t>
      </w:r>
      <w:r>
        <w:rPr>
          <w:rFonts w:hint="default" w:ascii="Arial" w:hAnsi="Arial" w:eastAsia="宋体" w:cs="Arial"/>
          <w:sz w:val="24"/>
          <w:szCs w:val="24"/>
        </w:rPr>
        <w:t>可见，202</w:t>
      </w:r>
      <w:r>
        <w:rPr>
          <w:rFonts w:hint="eastAsia" w:ascii="Arial" w:hAnsi="Arial" w:eastAsia="宋体" w:cs="Arial"/>
          <w:sz w:val="24"/>
          <w:szCs w:val="24"/>
          <w:lang w:val="en-US" w:eastAsia="zh-CN"/>
        </w:rPr>
        <w:t>5</w:t>
      </w:r>
      <w:r>
        <w:rPr>
          <w:rFonts w:hint="default" w:ascii="Arial" w:hAnsi="Arial" w:eastAsia="宋体" w:cs="Arial"/>
          <w:sz w:val="24"/>
          <w:szCs w:val="24"/>
        </w:rPr>
        <w:t>年度嘉兴塘荒田浜（万盛桥）断面水质能满足《地表水环境质量标准》（GB 3838-2002）中的Ⅲ类水质标准，本项目附近区域地表水水质较好。</w:t>
      </w:r>
    </w:p>
    <w:p w14:paraId="02E56127">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声环境质量现状</w:t>
      </w:r>
    </w:p>
    <w:p w14:paraId="57BEDD14">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项目厂界外周围50米范围内无声环境保护目标，根据《建设项目环境影响报告表编制技术指南（污染影响类）》相关要求，不进行声环境质量现状调查。</w:t>
      </w:r>
    </w:p>
    <w:p w14:paraId="03F2B1F1">
      <w:pPr>
        <w:pStyle w:val="76"/>
        <w:keepNext w:val="0"/>
        <w:keepLines w:val="0"/>
        <w:pageBreakBefore w:val="0"/>
        <w:widowControl w:val="0"/>
        <w:numPr>
          <w:ilvl w:val="2"/>
          <w:numId w:val="6"/>
        </w:numPr>
        <w:kinsoku/>
        <w:wordWrap/>
        <w:overflowPunct/>
        <w:topLinePunct w:val="0"/>
        <w:autoSpaceDE/>
        <w:autoSpaceDN/>
        <w:bidi w:val="0"/>
        <w:adjustRightInd/>
        <w:snapToGrid/>
        <w:spacing w:line="360" w:lineRule="auto"/>
        <w:ind w:left="105" w:leftChars="5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地下水及土壤环境质量现状</w:t>
      </w:r>
    </w:p>
    <w:p w14:paraId="15A5AECB">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将按要求设置专门的危废暂存场所并做好防腐防渗，生产过程不涉及重金属和持久性有机污染物。在正常工况企业设置有效的分区防控措施的前提下，不存在土壤、地下水污染途径。根据《建设项目环境影响报告表编制技术指南（污染影响类）》，原则上无需开展土壤、地下水现状调查。</w:t>
      </w:r>
    </w:p>
    <w:p w14:paraId="2BEF0DEE">
      <w:pPr>
        <w:pStyle w:val="76"/>
        <w:keepNext w:val="0"/>
        <w:keepLines w:val="0"/>
        <w:pageBreakBefore w:val="0"/>
        <w:widowControl w:val="0"/>
        <w:numPr>
          <w:ilvl w:val="2"/>
          <w:numId w:val="6"/>
        </w:numPr>
        <w:kinsoku/>
        <w:wordWrap/>
        <w:overflowPunct/>
        <w:topLinePunct w:val="0"/>
        <w:autoSpaceDE/>
        <w:autoSpaceDN/>
        <w:bidi w:val="0"/>
        <w:adjustRightInd/>
        <w:snapToGrid/>
        <w:spacing w:line="360" w:lineRule="auto"/>
        <w:ind w:left="105" w:leftChars="5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生态环境质量现状</w:t>
      </w:r>
    </w:p>
    <w:p w14:paraId="478BE12B">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本项目位于浙江省嘉兴市</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，属于工业</w:t>
      </w:r>
      <w:r>
        <w:rPr>
          <w:rFonts w:hint="default" w:ascii="Arial" w:hAnsi="Arial" w:eastAsia="宋体" w:cs="Arial"/>
          <w:sz w:val="24"/>
          <w:szCs w:val="24"/>
          <w:lang w:val="en-US" w:eastAsia="zh-CN"/>
        </w:rPr>
        <w:t>聚集区</w:t>
      </w:r>
      <w:r>
        <w:rPr>
          <w:rFonts w:hint="default" w:ascii="Arial" w:hAnsi="Arial" w:eastAsia="宋体" w:cs="Arial"/>
          <w:sz w:val="24"/>
          <w:szCs w:val="24"/>
        </w:rPr>
        <w:t>，周围主要为企业、城市道路以及耕田等，无大面积的自然植被群落及珍稀动植物资源等生态环境保护目标，故本环评不进行生态现状调查。</w:t>
      </w:r>
    </w:p>
    <w:p w14:paraId="6EF44810">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电磁辐射现状</w:t>
      </w:r>
    </w:p>
    <w:p w14:paraId="51D15978">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本项目不涉及新建或改建、扩建广播电台、差转台、电视塔台、卫星地球上行站、雷达等电磁辐射类项目，因此，无需进行电磁辐射现状监测与评价。</w:t>
      </w:r>
    </w:p>
    <w:p w14:paraId="2D4A4978">
      <w:pPr>
        <w:pStyle w:val="76"/>
        <w:spacing w:line="360" w:lineRule="auto"/>
        <w:ind w:firstLine="480" w:firstLineChars="200"/>
        <w:rPr>
          <w:rFonts w:hint="default" w:ascii="Arial" w:hAnsi="Arial" w:eastAsia="宋体" w:cs="Arial"/>
          <w:sz w:val="24"/>
          <w:szCs w:val="24"/>
        </w:rPr>
      </w:pPr>
    </w:p>
    <w:p w14:paraId="735A76E8">
      <w:pPr>
        <w:pStyle w:val="76"/>
        <w:spacing w:line="360" w:lineRule="auto"/>
        <w:ind w:left="105" w:leftChars="50" w:firstLine="482"/>
        <w:rPr>
          <w:rFonts w:hint="default" w:ascii="Arial" w:hAnsi="Arial" w:eastAsia="宋体" w:cs="Arial"/>
          <w:b/>
          <w:bCs/>
          <w:sz w:val="24"/>
          <w:szCs w:val="24"/>
        </w:rPr>
        <w:sectPr>
          <w:headerReference r:id="rId17"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0D95007E">
      <w:pPr>
        <w:pStyle w:val="76"/>
        <w:keepNext w:val="0"/>
        <w:keepLines w:val="0"/>
        <w:pageBreakBefore w:val="0"/>
        <w:widowControl w:val="0"/>
        <w:numPr>
          <w:ilvl w:val="1"/>
          <w:numId w:val="5"/>
        </w:numPr>
        <w:kinsoku/>
        <w:wordWrap/>
        <w:overflowPunct/>
        <w:topLinePunct w:val="0"/>
        <w:autoSpaceDE/>
        <w:autoSpaceDN/>
        <w:bidi w:val="0"/>
        <w:adjustRightInd/>
        <w:snapToGrid/>
        <w:spacing w:line="360" w:lineRule="auto"/>
        <w:ind w:left="105" w:leftChars="50" w:right="0" w:rightChars="0" w:firstLineChars="0"/>
        <w:textAlignment w:val="auto"/>
        <w:outlineLvl w:val="1"/>
        <w:rPr>
          <w:rFonts w:hint="default" w:ascii="Arial" w:hAnsi="Arial" w:eastAsia="宋体" w:cs="Arial"/>
          <w:b/>
          <w:bCs/>
          <w:sz w:val="24"/>
          <w:szCs w:val="24"/>
        </w:rPr>
      </w:pPr>
      <w:r>
        <w:rPr>
          <w:rFonts w:hint="default" w:ascii="Arial" w:hAnsi="Arial" w:eastAsia="宋体" w:cs="Arial"/>
          <w:b/>
          <w:bCs/>
          <w:sz w:val="24"/>
          <w:szCs w:val="24"/>
        </w:rPr>
        <w:t>环境保护目标</w:t>
      </w:r>
    </w:p>
    <w:p w14:paraId="66439C77">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right="0" w:righ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大气环境保护目标</w:t>
      </w:r>
    </w:p>
    <w:p w14:paraId="0F02CA69">
      <w:pPr>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b/>
          <w:bCs/>
          <w:sz w:val="24"/>
          <w:szCs w:val="24"/>
        </w:rPr>
      </w:pPr>
      <w:r>
        <w:rPr>
          <w:rFonts w:hint="default" w:ascii="Arial" w:hAnsi="Arial" w:eastAsia="宋体" w:cs="Arial"/>
          <w:sz w:val="24"/>
          <w:szCs w:val="24"/>
        </w:rPr>
        <w:t>本项目拟建地周边500m范围内</w:t>
      </w:r>
      <w:r>
        <w:rPr>
          <w:rFonts w:hint="default" w:ascii="Arial" w:hAnsi="Arial" w:eastAsia="宋体" w:cs="Arial"/>
          <w:sz w:val="24"/>
          <w:szCs w:val="24"/>
          <w:lang w:val="en-US" w:eastAsia="zh-CN"/>
        </w:rPr>
        <w:t>无</w:t>
      </w:r>
      <w:r>
        <w:rPr>
          <w:rFonts w:hint="default" w:ascii="Arial" w:hAnsi="Arial" w:eastAsia="宋体" w:cs="Arial"/>
          <w:sz w:val="24"/>
          <w:szCs w:val="24"/>
        </w:rPr>
        <w:t>大气环境保护目标</w:t>
      </w:r>
      <w:r>
        <w:rPr>
          <w:rFonts w:hint="default" w:ascii="Arial" w:hAnsi="Arial" w:eastAsia="宋体" w:cs="Arial"/>
          <w:sz w:val="24"/>
          <w:szCs w:val="24"/>
          <w:lang w:eastAsia="zh-CN"/>
        </w:rPr>
        <w:t>。</w:t>
      </w:r>
    </w:p>
    <w:p w14:paraId="779B54AA">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right="0" w:righ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声环境保护目标</w:t>
      </w:r>
    </w:p>
    <w:p w14:paraId="127B480C">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项目厂界外50m范围内无声环境保护目标。</w:t>
      </w:r>
    </w:p>
    <w:p w14:paraId="001C72CA">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right="0" w:righ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地下水环境保护目标</w:t>
      </w:r>
    </w:p>
    <w:p w14:paraId="350F11CB">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项目厂界外500m范围内无地下水集中式饮用水水源和热水、矿泉水、温泉等特殊地下水资源。</w:t>
      </w:r>
    </w:p>
    <w:p w14:paraId="735F375B">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right="0" w:righ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生态环境保护目标</w:t>
      </w:r>
    </w:p>
    <w:p w14:paraId="09641020">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本项目选址位于</w:t>
      </w:r>
      <w:r>
        <w:rPr>
          <w:rFonts w:hint="default" w:ascii="Arial" w:hAnsi="Arial" w:eastAsia="宋体" w:cs="Arial"/>
          <w:sz w:val="24"/>
          <w:szCs w:val="24"/>
        </w:rPr>
        <w:t>浙江省嘉兴市</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bCs/>
          <w:sz w:val="24"/>
          <w:szCs w:val="24"/>
        </w:rPr>
        <w:t>，租用已建生产厂房进行实施，不涉及生态环境保护目标。</w:t>
      </w:r>
    </w:p>
    <w:p w14:paraId="6E39F875">
      <w:pPr>
        <w:rPr>
          <w:rFonts w:hint="default" w:ascii="Arial" w:hAnsi="Arial" w:eastAsia="宋体" w:cs="Arial"/>
          <w:b/>
          <w:bCs/>
          <w:sz w:val="24"/>
          <w:szCs w:val="24"/>
        </w:rPr>
        <w:sectPr>
          <w:headerReference r:id="rId18"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28B634AB">
      <w:pPr>
        <w:pStyle w:val="76"/>
        <w:keepNext w:val="0"/>
        <w:keepLines w:val="0"/>
        <w:pageBreakBefore w:val="0"/>
        <w:widowControl w:val="0"/>
        <w:numPr>
          <w:ilvl w:val="1"/>
          <w:numId w:val="5"/>
        </w:numPr>
        <w:kinsoku/>
        <w:wordWrap/>
        <w:overflowPunct/>
        <w:topLinePunct w:val="0"/>
        <w:autoSpaceDE/>
        <w:autoSpaceDN/>
        <w:bidi w:val="0"/>
        <w:adjustRightInd/>
        <w:snapToGrid/>
        <w:spacing w:line="360" w:lineRule="auto"/>
        <w:ind w:left="105" w:leftChars="50" w:firstLineChars="0"/>
        <w:textAlignment w:val="auto"/>
        <w:outlineLvl w:val="1"/>
        <w:rPr>
          <w:rFonts w:hint="default" w:ascii="Arial" w:hAnsi="Arial" w:eastAsia="宋体" w:cs="Arial"/>
          <w:b/>
          <w:bCs/>
          <w:sz w:val="24"/>
          <w:szCs w:val="24"/>
        </w:rPr>
      </w:pPr>
      <w:r>
        <w:rPr>
          <w:rFonts w:hint="default" w:ascii="Arial" w:hAnsi="Arial" w:eastAsia="宋体" w:cs="Arial"/>
          <w:b/>
          <w:bCs/>
          <w:sz w:val="24"/>
          <w:szCs w:val="24"/>
        </w:rPr>
        <w:t>污染物排放控制标准</w:t>
      </w:r>
    </w:p>
    <w:p w14:paraId="43E7BF88">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废水污染物排放控制标准</w:t>
      </w:r>
    </w:p>
    <w:p w14:paraId="18AA12DD">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bCs/>
          <w:color w:val="auto"/>
          <w:sz w:val="24"/>
          <w:highlight w:val="none"/>
        </w:rPr>
        <w:t>项目废水为生活污水。废水纳管标准执行《污水排入城镇下水道水质标准》（GB</w:t>
      </w:r>
      <w:r>
        <w:rPr>
          <w:rFonts w:hint="eastAsia" w:ascii="Arial" w:hAnsi="Arial" w:eastAsia="宋体" w:cs="Arial"/>
          <w:bCs/>
          <w:color w:val="auto"/>
          <w:sz w:val="24"/>
          <w:highlight w:val="none"/>
          <w:lang w:val="en-US" w:eastAsia="zh-CN"/>
        </w:rPr>
        <w:t>/T</w:t>
      </w:r>
      <w:r>
        <w:rPr>
          <w:rFonts w:hint="default" w:ascii="Arial" w:hAnsi="Arial" w:eastAsia="宋体" w:cs="Arial"/>
          <w:bCs/>
          <w:color w:val="auto"/>
          <w:sz w:val="24"/>
          <w:highlight w:val="none"/>
        </w:rPr>
        <w:t xml:space="preserve"> </w:t>
      </w:r>
      <w:r>
        <w:rPr>
          <w:rFonts w:hint="eastAsia" w:ascii="Arial" w:hAnsi="Arial" w:eastAsia="宋体" w:cs="Arial"/>
          <w:bCs/>
          <w:color w:val="auto"/>
          <w:sz w:val="24"/>
          <w:highlight w:val="none"/>
          <w:lang w:val="en-US" w:eastAsia="zh-CN"/>
        </w:rPr>
        <w:t>31962</w:t>
      </w:r>
      <w:r>
        <w:rPr>
          <w:rFonts w:hint="default" w:ascii="Arial" w:hAnsi="Arial" w:eastAsia="宋体" w:cs="Arial"/>
          <w:bCs/>
          <w:color w:val="auto"/>
          <w:sz w:val="24"/>
          <w:highlight w:val="none"/>
        </w:rPr>
        <w:t>-</w:t>
      </w:r>
      <w:r>
        <w:rPr>
          <w:rFonts w:hint="eastAsia" w:ascii="Arial" w:hAnsi="Arial" w:eastAsia="宋体" w:cs="Arial"/>
          <w:bCs/>
          <w:color w:val="auto"/>
          <w:sz w:val="24"/>
          <w:highlight w:val="none"/>
          <w:lang w:val="en-US" w:eastAsia="zh-CN"/>
        </w:rPr>
        <w:t>2015</w:t>
      </w:r>
      <w:r>
        <w:rPr>
          <w:rFonts w:hint="default" w:ascii="Arial" w:hAnsi="Arial" w:eastAsia="宋体" w:cs="Arial"/>
          <w:bCs/>
          <w:color w:val="auto"/>
          <w:sz w:val="24"/>
          <w:highlight w:val="none"/>
        </w:rPr>
        <w:t>）</w:t>
      </w:r>
      <w:r>
        <w:rPr>
          <w:rFonts w:hint="eastAsia" w:ascii="Arial" w:hAnsi="Arial" w:eastAsia="宋体" w:cs="Arial"/>
          <w:bCs/>
          <w:color w:val="auto"/>
          <w:sz w:val="24"/>
          <w:highlight w:val="none"/>
          <w:lang w:val="en-US" w:eastAsia="zh-CN"/>
        </w:rPr>
        <w:t>B级</w:t>
      </w:r>
      <w:r>
        <w:rPr>
          <w:rFonts w:hint="default" w:ascii="Arial" w:hAnsi="Arial" w:eastAsia="宋体" w:cs="Arial"/>
          <w:bCs/>
          <w:color w:val="auto"/>
          <w:sz w:val="24"/>
          <w:highlight w:val="none"/>
        </w:rPr>
        <w:t>标准。目前，嘉兴联合污水处理厂出水执行</w:t>
      </w:r>
      <w:bookmarkStart w:id="5" w:name="_Hlk138646621"/>
      <w:r>
        <w:rPr>
          <w:rFonts w:hint="default" w:ascii="Arial" w:hAnsi="Arial" w:eastAsia="宋体" w:cs="Arial"/>
          <w:bCs/>
          <w:color w:val="auto"/>
          <w:sz w:val="24"/>
          <w:highlight w:val="none"/>
        </w:rPr>
        <w:t>《城镇污水处理厂主要水污染物排放标准》（DB 33/2169-2018）表1标准</w:t>
      </w:r>
      <w:bookmarkEnd w:id="5"/>
      <w:r>
        <w:rPr>
          <w:rFonts w:hint="default" w:ascii="Arial" w:hAnsi="Arial" w:eastAsia="宋体" w:cs="Arial"/>
          <w:bCs/>
          <w:color w:val="auto"/>
          <w:sz w:val="24"/>
          <w:highlight w:val="none"/>
          <w:lang w:eastAsia="zh-CN"/>
        </w:rPr>
        <w:t>，</w:t>
      </w:r>
      <w:r>
        <w:rPr>
          <w:rFonts w:hint="default" w:ascii="Arial" w:hAnsi="Arial" w:eastAsia="宋体" w:cs="Arial"/>
          <w:bCs/>
          <w:color w:val="auto"/>
          <w:sz w:val="24"/>
          <w:highlight w:val="none"/>
        </w:rPr>
        <w:t>省标未规定的执行《城镇污水处理厂污染物排放标准》（GB 18918-2002）中的一级A标准，具体标准值见</w:t>
      </w:r>
      <w:r>
        <w:rPr>
          <w:rFonts w:hint="default" w:ascii="Arial" w:hAnsi="Arial" w:eastAsia="宋体" w:cs="Arial"/>
          <w:bCs/>
          <w:color w:val="auto"/>
          <w:sz w:val="24"/>
          <w:highlight w:val="none"/>
          <w:lang w:val="en-US" w:eastAsia="zh-CN"/>
        </w:rPr>
        <w:t>下表</w:t>
      </w:r>
      <w:r>
        <w:rPr>
          <w:rFonts w:hint="default" w:ascii="Arial" w:hAnsi="Arial" w:eastAsia="宋体" w:cs="Arial"/>
          <w:bCs/>
          <w:color w:val="000000" w:themeColor="text1"/>
          <w:sz w:val="24"/>
          <w:szCs w:val="24"/>
          <w14:textFill>
            <w14:solidFill>
              <w14:schemeClr w14:val="tx1"/>
            </w14:solidFill>
          </w14:textFill>
        </w:rPr>
        <w:t>。</w:t>
      </w:r>
    </w:p>
    <w:p w14:paraId="054F6801">
      <w:pPr>
        <w:pStyle w:val="76"/>
        <w:numPr>
          <w:ilvl w:val="3"/>
          <w:numId w:val="5"/>
        </w:numPr>
        <w:ind w:left="777" w:leftChars="0" w:firstLine="482" w:firstLineChars="0"/>
        <w:jc w:val="center"/>
        <w:outlineLvl w:val="3"/>
        <w:rPr>
          <w:rFonts w:hint="default" w:ascii="Arial" w:hAnsi="Arial" w:eastAsia="宋体" w:cs="Arial"/>
          <w:b/>
          <w:bCs/>
          <w:color w:val="000000" w:themeColor="text1"/>
          <w:sz w:val="24"/>
          <w:szCs w:val="24"/>
          <w14:textFill>
            <w14:solidFill>
              <w14:schemeClr w14:val="tx1"/>
            </w14:solidFill>
          </w14:textFill>
        </w:rPr>
      </w:pPr>
      <w:r>
        <w:rPr>
          <w:rFonts w:hint="eastAsia" w:ascii="Arial" w:hAnsi="Arial" w:eastAsia="宋体" w:cs="Arial"/>
          <w:b/>
          <w:bCs/>
          <w:color w:val="000000" w:themeColor="text1"/>
          <w:sz w:val="24"/>
          <w:szCs w:val="24"/>
          <w:lang w:val="en-US" w:eastAsia="zh-CN"/>
          <w14:textFill>
            <w14:solidFill>
              <w14:schemeClr w14:val="tx1"/>
            </w14:solidFill>
          </w14:textFill>
        </w:rPr>
        <w:t xml:space="preserve">  </w:t>
      </w:r>
      <w:r>
        <w:rPr>
          <w:rFonts w:hint="default" w:ascii="Arial" w:hAnsi="Arial" w:eastAsia="宋体" w:cs="Arial"/>
          <w:b/>
          <w:bCs/>
          <w:color w:val="000000" w:themeColor="text1"/>
          <w:sz w:val="24"/>
          <w:szCs w:val="24"/>
          <w14:textFill>
            <w14:solidFill>
              <w14:schemeClr w14:val="tx1"/>
            </w14:solidFill>
          </w14:textFill>
        </w:rPr>
        <w:t>废水排放标准      单位:mg/L，除pH外</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21"/>
        <w:gridCol w:w="2951"/>
        <w:gridCol w:w="2700"/>
      </w:tblGrid>
      <w:tr w14:paraId="72FD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088CD6B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序号</w:t>
            </w:r>
          </w:p>
        </w:tc>
        <w:tc>
          <w:tcPr>
            <w:tcW w:w="1521" w:type="dxa"/>
            <w:vAlign w:val="center"/>
          </w:tcPr>
          <w:p w14:paraId="561ABF9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项目</w:t>
            </w:r>
          </w:p>
        </w:tc>
        <w:tc>
          <w:tcPr>
            <w:tcW w:w="2951" w:type="dxa"/>
            <w:vAlign w:val="center"/>
          </w:tcPr>
          <w:p w14:paraId="16A3F4E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DB 33/2169-2018表1及GB18918-2002一级A标准</w:t>
            </w:r>
          </w:p>
        </w:tc>
        <w:tc>
          <w:tcPr>
            <w:tcW w:w="2700" w:type="dxa"/>
            <w:vAlign w:val="center"/>
          </w:tcPr>
          <w:p w14:paraId="0A3401E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GB/T 31962-2015</w:t>
            </w:r>
            <w:r>
              <w:rPr>
                <w:rFonts w:hint="eastAsia" w:ascii="Arial" w:hAnsi="Arial" w:eastAsia="宋体" w:cs="Arial"/>
                <w:color w:val="000000" w:themeColor="text1"/>
                <w:szCs w:val="21"/>
                <w:lang w:val="en-US" w:eastAsia="zh-CN"/>
                <w14:textFill>
                  <w14:solidFill>
                    <w14:schemeClr w14:val="tx1"/>
                  </w14:solidFill>
                </w14:textFill>
              </w:rPr>
              <w:t xml:space="preserve"> B级标准</w:t>
            </w:r>
          </w:p>
        </w:tc>
      </w:tr>
      <w:tr w14:paraId="58DD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4B99F0F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1</w:t>
            </w:r>
          </w:p>
        </w:tc>
        <w:tc>
          <w:tcPr>
            <w:tcW w:w="1521" w:type="dxa"/>
            <w:vAlign w:val="center"/>
          </w:tcPr>
          <w:p w14:paraId="75CD17C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pH值</w:t>
            </w:r>
          </w:p>
        </w:tc>
        <w:tc>
          <w:tcPr>
            <w:tcW w:w="2951" w:type="dxa"/>
            <w:vAlign w:val="center"/>
          </w:tcPr>
          <w:p w14:paraId="790417D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6～9</w:t>
            </w:r>
          </w:p>
        </w:tc>
        <w:tc>
          <w:tcPr>
            <w:tcW w:w="2700" w:type="dxa"/>
            <w:vAlign w:val="center"/>
          </w:tcPr>
          <w:p w14:paraId="3D797F2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lang w:val="en-US" w:eastAsia="zh-CN"/>
                <w14:textFill>
                  <w14:solidFill>
                    <w14:schemeClr w14:val="tx1"/>
                  </w14:solidFill>
                </w14:textFill>
              </w:rPr>
            </w:pPr>
            <w:r>
              <w:rPr>
                <w:rFonts w:hint="eastAsia" w:ascii="Arial" w:hAnsi="Arial" w:eastAsia="宋体" w:cs="Arial"/>
                <w:color w:val="000000" w:themeColor="text1"/>
                <w:szCs w:val="21"/>
                <w:lang w:val="en-US" w:eastAsia="zh-CN"/>
                <w14:textFill>
                  <w14:solidFill>
                    <w14:schemeClr w14:val="tx1"/>
                  </w14:solidFill>
                </w14:textFill>
              </w:rPr>
              <w:t>6.5~9.5</w:t>
            </w:r>
          </w:p>
        </w:tc>
      </w:tr>
      <w:tr w14:paraId="6D42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5445F48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2</w:t>
            </w:r>
          </w:p>
        </w:tc>
        <w:tc>
          <w:tcPr>
            <w:tcW w:w="1521" w:type="dxa"/>
            <w:vAlign w:val="center"/>
          </w:tcPr>
          <w:p w14:paraId="6A29F8A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色度</w:t>
            </w:r>
          </w:p>
        </w:tc>
        <w:tc>
          <w:tcPr>
            <w:tcW w:w="2951" w:type="dxa"/>
            <w:vAlign w:val="center"/>
          </w:tcPr>
          <w:p w14:paraId="3F12E9A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0"/>
                <w14:textFill>
                  <w14:solidFill>
                    <w14:schemeClr w14:val="tx1"/>
                  </w14:solidFill>
                </w14:textFill>
              </w:rPr>
            </w:pPr>
            <w:r>
              <w:rPr>
                <w:rFonts w:hint="default" w:ascii="Arial" w:hAnsi="Arial" w:eastAsia="宋体" w:cs="Arial"/>
                <w:color w:val="000000" w:themeColor="text1"/>
                <w:szCs w:val="20"/>
                <w14:textFill>
                  <w14:solidFill>
                    <w14:schemeClr w14:val="tx1"/>
                  </w14:solidFill>
                </w14:textFill>
              </w:rPr>
              <w:t>30</w:t>
            </w:r>
          </w:p>
        </w:tc>
        <w:tc>
          <w:tcPr>
            <w:tcW w:w="2700" w:type="dxa"/>
            <w:vAlign w:val="center"/>
          </w:tcPr>
          <w:p w14:paraId="2445C447">
            <w:pPr>
              <w:keepNext w:val="0"/>
              <w:keepLines w:val="0"/>
              <w:suppressLineNumbers w:val="0"/>
              <w:adjustRightInd w:val="0"/>
              <w:snapToGrid w:val="0"/>
              <w:spacing w:before="0" w:beforeAutospacing="0" w:after="0" w:afterAutospacing="0"/>
              <w:ind w:left="0" w:right="0" w:firstLine="1155" w:firstLineChars="550"/>
              <w:rPr>
                <w:rFonts w:hint="default" w:ascii="Arial" w:hAnsi="Arial" w:eastAsia="宋体" w:cs="Arial"/>
                <w:color w:val="000000" w:themeColor="text1"/>
                <w:szCs w:val="20"/>
                <w:lang w:val="en-US" w:eastAsia="zh-CN"/>
                <w14:textFill>
                  <w14:solidFill>
                    <w14:schemeClr w14:val="tx1"/>
                  </w14:solidFill>
                </w14:textFill>
              </w:rPr>
            </w:pPr>
            <w:r>
              <w:rPr>
                <w:rFonts w:hint="eastAsia" w:ascii="Arial" w:hAnsi="Arial" w:eastAsia="宋体" w:cs="Arial"/>
                <w:color w:val="000000" w:themeColor="text1"/>
                <w:szCs w:val="20"/>
                <w:lang w:val="en-US" w:eastAsia="zh-CN"/>
                <w14:textFill>
                  <w14:solidFill>
                    <w14:schemeClr w14:val="tx1"/>
                  </w14:solidFill>
                </w14:textFill>
              </w:rPr>
              <w:t>64</w:t>
            </w:r>
          </w:p>
        </w:tc>
      </w:tr>
      <w:tr w14:paraId="0657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1CE3D97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3</w:t>
            </w:r>
          </w:p>
        </w:tc>
        <w:tc>
          <w:tcPr>
            <w:tcW w:w="1521" w:type="dxa"/>
            <w:vAlign w:val="center"/>
          </w:tcPr>
          <w:p w14:paraId="167B732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SS</w:t>
            </w:r>
          </w:p>
        </w:tc>
        <w:tc>
          <w:tcPr>
            <w:tcW w:w="2951" w:type="dxa"/>
            <w:vAlign w:val="center"/>
          </w:tcPr>
          <w:p w14:paraId="46C924D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10</w:t>
            </w:r>
          </w:p>
        </w:tc>
        <w:tc>
          <w:tcPr>
            <w:tcW w:w="2700" w:type="dxa"/>
            <w:vAlign w:val="center"/>
          </w:tcPr>
          <w:p w14:paraId="390F284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lang w:val="en-US" w:eastAsia="zh-CN"/>
                <w14:textFill>
                  <w14:solidFill>
                    <w14:schemeClr w14:val="tx1"/>
                  </w14:solidFill>
                </w14:textFill>
              </w:rPr>
            </w:pPr>
            <w:r>
              <w:rPr>
                <w:rFonts w:hint="eastAsia" w:ascii="Arial" w:hAnsi="Arial" w:eastAsia="宋体" w:cs="Arial"/>
                <w:color w:val="000000" w:themeColor="text1"/>
                <w:szCs w:val="21"/>
                <w:lang w:val="en-US" w:eastAsia="zh-CN"/>
                <w14:textFill>
                  <w14:solidFill>
                    <w14:schemeClr w14:val="tx1"/>
                  </w14:solidFill>
                </w14:textFill>
              </w:rPr>
              <w:t>400</w:t>
            </w:r>
          </w:p>
        </w:tc>
      </w:tr>
      <w:tr w14:paraId="3F5E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7348BA1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4</w:t>
            </w:r>
          </w:p>
        </w:tc>
        <w:tc>
          <w:tcPr>
            <w:tcW w:w="1521" w:type="dxa"/>
            <w:vAlign w:val="center"/>
          </w:tcPr>
          <w:p w14:paraId="1950201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BOD</w:t>
            </w:r>
            <w:r>
              <w:rPr>
                <w:rFonts w:hint="default" w:ascii="Arial" w:hAnsi="Arial" w:eastAsia="宋体" w:cs="Arial"/>
                <w:color w:val="000000" w:themeColor="text1"/>
                <w:szCs w:val="21"/>
                <w:vertAlign w:val="subscript"/>
                <w14:textFill>
                  <w14:solidFill>
                    <w14:schemeClr w14:val="tx1"/>
                  </w14:solidFill>
                </w14:textFill>
              </w:rPr>
              <w:t>5</w:t>
            </w:r>
          </w:p>
        </w:tc>
        <w:tc>
          <w:tcPr>
            <w:tcW w:w="2951" w:type="dxa"/>
            <w:vAlign w:val="center"/>
          </w:tcPr>
          <w:p w14:paraId="1B4A38C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10</w:t>
            </w:r>
          </w:p>
        </w:tc>
        <w:tc>
          <w:tcPr>
            <w:tcW w:w="2700" w:type="dxa"/>
            <w:vAlign w:val="center"/>
          </w:tcPr>
          <w:p w14:paraId="3B32FCA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color w:val="000000" w:themeColor="text1"/>
                <w:szCs w:val="21"/>
                <w:lang w:val="en-US" w:eastAsia="zh-CN"/>
                <w14:textFill>
                  <w14:solidFill>
                    <w14:schemeClr w14:val="tx1"/>
                  </w14:solidFill>
                </w14:textFill>
              </w:rPr>
            </w:pPr>
            <w:r>
              <w:rPr>
                <w:rFonts w:hint="eastAsia" w:ascii="Arial" w:hAnsi="Arial" w:eastAsia="宋体" w:cs="Arial"/>
                <w:color w:val="000000" w:themeColor="text1"/>
                <w:szCs w:val="21"/>
                <w:lang w:val="en-US" w:eastAsia="zh-CN"/>
                <w14:textFill>
                  <w14:solidFill>
                    <w14:schemeClr w14:val="tx1"/>
                  </w14:solidFill>
                </w14:textFill>
              </w:rPr>
              <w:t>350</w:t>
            </w:r>
          </w:p>
        </w:tc>
      </w:tr>
      <w:tr w14:paraId="0D4A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1601395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5</w:t>
            </w:r>
          </w:p>
        </w:tc>
        <w:tc>
          <w:tcPr>
            <w:tcW w:w="1521" w:type="dxa"/>
            <w:vAlign w:val="center"/>
          </w:tcPr>
          <w:p w14:paraId="436ADCC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COD</w:t>
            </w:r>
            <w:r>
              <w:rPr>
                <w:rFonts w:hint="default" w:ascii="Arial" w:hAnsi="Arial" w:eastAsia="宋体" w:cs="Arial"/>
                <w:szCs w:val="21"/>
                <w:vertAlign w:val="subscript"/>
              </w:rPr>
              <w:t>Cr</w:t>
            </w:r>
          </w:p>
        </w:tc>
        <w:tc>
          <w:tcPr>
            <w:tcW w:w="2951" w:type="dxa"/>
            <w:vAlign w:val="center"/>
          </w:tcPr>
          <w:p w14:paraId="6FF0A45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40※</w:t>
            </w:r>
          </w:p>
        </w:tc>
        <w:tc>
          <w:tcPr>
            <w:tcW w:w="2700" w:type="dxa"/>
            <w:vAlign w:val="center"/>
          </w:tcPr>
          <w:p w14:paraId="2BAC0D0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500</w:t>
            </w:r>
          </w:p>
        </w:tc>
      </w:tr>
      <w:tr w14:paraId="5099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6690706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6</w:t>
            </w:r>
          </w:p>
        </w:tc>
        <w:tc>
          <w:tcPr>
            <w:tcW w:w="1521" w:type="dxa"/>
            <w:vAlign w:val="center"/>
          </w:tcPr>
          <w:p w14:paraId="69E0D5C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氨氮</w:t>
            </w:r>
          </w:p>
        </w:tc>
        <w:tc>
          <w:tcPr>
            <w:tcW w:w="2951" w:type="dxa"/>
            <w:vAlign w:val="center"/>
          </w:tcPr>
          <w:p w14:paraId="221C474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2（4）※</w:t>
            </w:r>
          </w:p>
        </w:tc>
        <w:tc>
          <w:tcPr>
            <w:tcW w:w="2700" w:type="dxa"/>
            <w:vAlign w:val="center"/>
          </w:tcPr>
          <w:p w14:paraId="0E8823B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45</w:t>
            </w:r>
          </w:p>
        </w:tc>
      </w:tr>
      <w:tr w14:paraId="15DC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72D399E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7</w:t>
            </w:r>
          </w:p>
        </w:tc>
        <w:tc>
          <w:tcPr>
            <w:tcW w:w="1521" w:type="dxa"/>
            <w:vAlign w:val="center"/>
          </w:tcPr>
          <w:p w14:paraId="343B58D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总氮</w:t>
            </w:r>
          </w:p>
        </w:tc>
        <w:tc>
          <w:tcPr>
            <w:tcW w:w="2951" w:type="dxa"/>
            <w:vAlign w:val="center"/>
          </w:tcPr>
          <w:p w14:paraId="503A48C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12（15）※</w:t>
            </w:r>
          </w:p>
        </w:tc>
        <w:tc>
          <w:tcPr>
            <w:tcW w:w="2700" w:type="dxa"/>
            <w:vAlign w:val="center"/>
          </w:tcPr>
          <w:p w14:paraId="6A45EBE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70</w:t>
            </w:r>
          </w:p>
        </w:tc>
      </w:tr>
      <w:tr w14:paraId="64EC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5" w:type="dxa"/>
            <w:vAlign w:val="center"/>
          </w:tcPr>
          <w:p w14:paraId="5D6753C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8</w:t>
            </w:r>
          </w:p>
        </w:tc>
        <w:tc>
          <w:tcPr>
            <w:tcW w:w="1521" w:type="dxa"/>
            <w:vAlign w:val="center"/>
          </w:tcPr>
          <w:p w14:paraId="4B6623A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TP</w:t>
            </w:r>
          </w:p>
        </w:tc>
        <w:tc>
          <w:tcPr>
            <w:tcW w:w="2951" w:type="dxa"/>
            <w:vAlign w:val="center"/>
          </w:tcPr>
          <w:p w14:paraId="651A578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0.3※</w:t>
            </w:r>
          </w:p>
        </w:tc>
        <w:tc>
          <w:tcPr>
            <w:tcW w:w="2700" w:type="dxa"/>
            <w:vAlign w:val="center"/>
          </w:tcPr>
          <w:p w14:paraId="4604D5E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8</w:t>
            </w:r>
          </w:p>
        </w:tc>
      </w:tr>
      <w:tr w14:paraId="3413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37" w:type="dxa"/>
            <w:gridSpan w:val="4"/>
            <w:vAlign w:val="center"/>
          </w:tcPr>
          <w:p w14:paraId="79F92B12">
            <w:pPr>
              <w:keepNext w:val="0"/>
              <w:keepLines w:val="0"/>
              <w:suppressLineNumbers w:val="0"/>
              <w:adjustRightInd w:val="0"/>
              <w:snapToGrid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rPr>
              <w:t>注：括号内数值为每年11月1日至次年3月31日执行</w:t>
            </w:r>
          </w:p>
        </w:tc>
      </w:tr>
    </w:tbl>
    <w:p w14:paraId="75C66E78">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lang w:val="en-US" w:eastAsia="zh-CN"/>
        </w:rPr>
        <w:t>大气污染物排放控制标准</w:t>
      </w:r>
    </w:p>
    <w:p w14:paraId="61B81847">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outlineLvl w:val="2"/>
        <w:rPr>
          <w:rFonts w:hint="default" w:ascii="Arial" w:hAnsi="Arial" w:eastAsia="宋体" w:cs="Arial"/>
          <w:b w:val="0"/>
          <w:bCs w:val="0"/>
          <w:sz w:val="24"/>
          <w:szCs w:val="24"/>
          <w:lang w:eastAsia="zh-CN"/>
        </w:rPr>
      </w:pPr>
      <w:r>
        <w:rPr>
          <w:rFonts w:hint="default" w:ascii="Arial" w:hAnsi="Arial" w:eastAsia="宋体" w:cs="Arial"/>
          <w:b w:val="0"/>
          <w:bCs w:val="0"/>
          <w:sz w:val="24"/>
          <w:szCs w:val="24"/>
          <w:lang w:val="en-US" w:eastAsia="zh-CN"/>
        </w:rPr>
        <w:t>本项目抛丸粉尘经布袋除尘器处理后由排气筒DA001排放，颗粒物排放标准执行</w:t>
      </w:r>
      <w:r>
        <w:rPr>
          <w:rFonts w:hint="default" w:ascii="Arial" w:hAnsi="Arial" w:eastAsia="宋体" w:cs="Arial"/>
          <w:color w:val="auto"/>
          <w:sz w:val="24"/>
          <w:highlight w:val="none"/>
          <w:lang w:val="en-US" w:eastAsia="zh-CN"/>
        </w:rPr>
        <w:t>《大气污染物综合排放标准》（GB-16297-1996）二级标准；</w:t>
      </w:r>
      <w:r>
        <w:rPr>
          <w:rFonts w:hint="default" w:ascii="Arial" w:hAnsi="Arial" w:eastAsia="宋体" w:cs="Arial"/>
          <w:b w:val="0"/>
          <w:bCs w:val="0"/>
          <w:sz w:val="24"/>
          <w:szCs w:val="24"/>
        </w:rPr>
        <w:t>企业边界</w:t>
      </w:r>
      <w:r>
        <w:rPr>
          <w:rFonts w:hint="eastAsia" w:ascii="Arial" w:hAnsi="Arial" w:eastAsia="宋体" w:cs="Arial"/>
          <w:b w:val="0"/>
          <w:bCs w:val="0"/>
          <w:sz w:val="24"/>
          <w:szCs w:val="24"/>
          <w:lang w:val="en-US" w:eastAsia="zh-CN"/>
        </w:rPr>
        <w:t>企业边界非甲烷总烃、</w:t>
      </w:r>
      <w:r>
        <w:rPr>
          <w:rFonts w:hint="default" w:ascii="Arial" w:hAnsi="Arial" w:eastAsia="宋体" w:cs="Arial"/>
          <w:b w:val="0"/>
          <w:bCs w:val="0"/>
          <w:sz w:val="24"/>
          <w:szCs w:val="24"/>
        </w:rPr>
        <w:t>颗粒物无组织排放监控浓度限值执行《大气污染物综合排放标准》（GB 16297-1996）二级标准</w:t>
      </w:r>
      <w:r>
        <w:rPr>
          <w:rFonts w:hint="eastAsia" w:ascii="Arial" w:hAnsi="Arial" w:eastAsia="宋体" w:cs="Arial"/>
          <w:b w:val="0"/>
          <w:bCs w:val="0"/>
          <w:sz w:val="24"/>
          <w:szCs w:val="24"/>
          <w:lang w:eastAsia="zh-CN"/>
        </w:rPr>
        <w:t>；</w:t>
      </w:r>
      <w:r>
        <w:rPr>
          <w:rFonts w:hint="default" w:ascii="Arial" w:hAnsi="Arial" w:eastAsia="宋体" w:cs="Arial"/>
          <w:b w:val="0"/>
          <w:bCs w:val="0"/>
          <w:sz w:val="24"/>
          <w:szCs w:val="24"/>
        </w:rPr>
        <w:t>企业厂区内挥发性有机物无组织排放限值执行《挥发性有机物无组织排放控制标准》（GB37822-2019）</w:t>
      </w:r>
      <w:r>
        <w:rPr>
          <w:rFonts w:hint="default" w:ascii="Arial" w:hAnsi="Arial" w:eastAsia="宋体" w:cs="Arial"/>
          <w:b w:val="0"/>
          <w:bCs w:val="0"/>
          <w:sz w:val="24"/>
          <w:szCs w:val="24"/>
          <w:lang w:eastAsia="zh-CN"/>
        </w:rPr>
        <w:t>。</w:t>
      </w:r>
    </w:p>
    <w:p w14:paraId="56FB7E3F">
      <w:pPr>
        <w:pStyle w:val="76"/>
        <w:numPr>
          <w:ilvl w:val="3"/>
          <w:numId w:val="5"/>
        </w:numPr>
        <w:spacing w:line="360" w:lineRule="auto"/>
        <w:ind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w:t>
      </w:r>
      <w:r>
        <w:rPr>
          <w:rFonts w:hint="eastAsia" w:ascii="Arial" w:hAnsi="Arial" w:eastAsia="宋体" w:cs="Arial"/>
          <w:b/>
          <w:bCs/>
          <w:sz w:val="24"/>
          <w:szCs w:val="24"/>
          <w:lang w:val="en-US" w:eastAsia="zh-CN"/>
        </w:rPr>
        <w:t>有组织</w:t>
      </w:r>
      <w:r>
        <w:rPr>
          <w:rFonts w:hint="default" w:ascii="Arial" w:hAnsi="Arial" w:eastAsia="宋体" w:cs="Arial"/>
          <w:b/>
          <w:bCs/>
          <w:sz w:val="24"/>
          <w:szCs w:val="24"/>
        </w:rPr>
        <w:t>废气排放标准</w:t>
      </w:r>
    </w:p>
    <w:tbl>
      <w:tblPr>
        <w:tblStyle w:val="52"/>
        <w:tblW w:w="793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113" w:type="dxa"/>
          <w:bottom w:w="28" w:type="dxa"/>
          <w:right w:w="113" w:type="dxa"/>
        </w:tblCellMar>
      </w:tblPr>
      <w:tblGrid>
        <w:gridCol w:w="1032"/>
        <w:gridCol w:w="1025"/>
        <w:gridCol w:w="872"/>
        <w:gridCol w:w="3077"/>
        <w:gridCol w:w="1931"/>
      </w:tblGrid>
      <w:tr w14:paraId="60DC3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tblHeader/>
          <w:jc w:val="center"/>
        </w:trPr>
        <w:tc>
          <w:tcPr>
            <w:tcW w:w="1032" w:type="dxa"/>
            <w:tcBorders>
              <w:top w:val="single" w:color="auto" w:sz="6" w:space="0"/>
              <w:left w:val="single" w:color="auto" w:sz="6" w:space="0"/>
              <w:bottom w:val="single" w:color="auto" w:sz="6" w:space="0"/>
              <w:right w:val="single" w:color="auto" w:sz="6" w:space="0"/>
            </w:tcBorders>
            <w:noWrap w:val="0"/>
            <w:vAlign w:val="center"/>
          </w:tcPr>
          <w:p w14:paraId="4EA8D74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污染物</w:t>
            </w:r>
          </w:p>
        </w:tc>
        <w:tc>
          <w:tcPr>
            <w:tcW w:w="1025" w:type="dxa"/>
            <w:tcBorders>
              <w:top w:val="single" w:color="auto" w:sz="6" w:space="0"/>
              <w:left w:val="single" w:color="auto" w:sz="6" w:space="0"/>
              <w:bottom w:val="single" w:color="auto" w:sz="6" w:space="0"/>
              <w:right w:val="single" w:color="auto" w:sz="4" w:space="0"/>
            </w:tcBorders>
            <w:noWrap w:val="0"/>
            <w:vAlign w:val="center"/>
          </w:tcPr>
          <w:p w14:paraId="4785D98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单位</w:t>
            </w:r>
          </w:p>
        </w:tc>
        <w:tc>
          <w:tcPr>
            <w:tcW w:w="872" w:type="dxa"/>
            <w:tcBorders>
              <w:top w:val="single" w:color="auto" w:sz="6" w:space="0"/>
              <w:left w:val="nil"/>
              <w:bottom w:val="single" w:color="auto" w:sz="6" w:space="0"/>
              <w:right w:val="single" w:color="auto" w:sz="6" w:space="0"/>
            </w:tcBorders>
            <w:noWrap w:val="0"/>
            <w:vAlign w:val="center"/>
          </w:tcPr>
          <w:p w14:paraId="3255DB4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限值</w:t>
            </w:r>
          </w:p>
        </w:tc>
        <w:tc>
          <w:tcPr>
            <w:tcW w:w="3077" w:type="dxa"/>
            <w:tcBorders>
              <w:top w:val="single" w:color="auto" w:sz="6" w:space="0"/>
              <w:left w:val="single" w:color="auto" w:sz="6" w:space="0"/>
              <w:bottom w:val="single" w:color="auto" w:sz="6" w:space="0"/>
              <w:right w:val="single" w:color="auto" w:sz="4" w:space="0"/>
            </w:tcBorders>
            <w:noWrap w:val="0"/>
            <w:vAlign w:val="center"/>
          </w:tcPr>
          <w:p w14:paraId="5C6324B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监控位置</w:t>
            </w:r>
          </w:p>
        </w:tc>
        <w:tc>
          <w:tcPr>
            <w:tcW w:w="1931" w:type="dxa"/>
            <w:tcBorders>
              <w:top w:val="single" w:color="auto" w:sz="6" w:space="0"/>
              <w:left w:val="single" w:color="auto" w:sz="4" w:space="0"/>
              <w:bottom w:val="single" w:color="auto" w:sz="6" w:space="0"/>
              <w:right w:val="single" w:color="auto" w:sz="6" w:space="0"/>
            </w:tcBorders>
            <w:noWrap w:val="0"/>
            <w:vAlign w:val="center"/>
          </w:tcPr>
          <w:p w14:paraId="166A6BF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排放标准</w:t>
            </w:r>
          </w:p>
        </w:tc>
      </w:tr>
      <w:tr w14:paraId="43DCB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jc w:val="center"/>
        </w:trPr>
        <w:tc>
          <w:tcPr>
            <w:tcW w:w="1032" w:type="dxa"/>
            <w:vMerge w:val="restart"/>
            <w:tcBorders>
              <w:left w:val="single" w:color="auto" w:sz="6" w:space="0"/>
              <w:right w:val="single" w:color="auto" w:sz="6" w:space="0"/>
            </w:tcBorders>
            <w:noWrap w:val="0"/>
            <w:vAlign w:val="center"/>
          </w:tcPr>
          <w:p w14:paraId="3E2E265E">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szCs w:val="21"/>
                <w:lang w:val="en-US" w:eastAsia="zh-CN"/>
              </w:rPr>
            </w:pPr>
            <w:r>
              <w:rPr>
                <w:rFonts w:hint="eastAsia" w:ascii="Arial" w:hAnsi="Arial" w:eastAsia="宋体" w:cs="Arial"/>
                <w:szCs w:val="21"/>
                <w:lang w:val="en-US" w:eastAsia="zh-CN"/>
              </w:rPr>
              <w:t>颗粒物</w:t>
            </w:r>
          </w:p>
        </w:tc>
        <w:tc>
          <w:tcPr>
            <w:tcW w:w="1025" w:type="dxa"/>
            <w:tcBorders>
              <w:left w:val="single" w:color="auto" w:sz="6" w:space="0"/>
              <w:right w:val="single" w:color="auto" w:sz="4" w:space="0"/>
            </w:tcBorders>
            <w:noWrap w:val="0"/>
            <w:vAlign w:val="center"/>
          </w:tcPr>
          <w:p w14:paraId="240D602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mg/m³</w:t>
            </w:r>
          </w:p>
        </w:tc>
        <w:tc>
          <w:tcPr>
            <w:tcW w:w="872" w:type="dxa"/>
            <w:tcBorders>
              <w:top w:val="single" w:color="auto" w:sz="6" w:space="0"/>
              <w:left w:val="nil"/>
              <w:bottom w:val="single" w:color="auto" w:sz="6" w:space="0"/>
              <w:right w:val="single" w:color="auto" w:sz="6" w:space="0"/>
            </w:tcBorders>
            <w:noWrap w:val="0"/>
            <w:vAlign w:val="center"/>
          </w:tcPr>
          <w:p w14:paraId="60BEF42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120</w:t>
            </w:r>
          </w:p>
        </w:tc>
        <w:tc>
          <w:tcPr>
            <w:tcW w:w="3077" w:type="dxa"/>
            <w:vMerge w:val="restart"/>
            <w:tcBorders>
              <w:left w:val="single" w:color="auto" w:sz="6" w:space="0"/>
              <w:right w:val="single" w:color="auto" w:sz="4" w:space="0"/>
            </w:tcBorders>
            <w:noWrap w:val="0"/>
            <w:vAlign w:val="center"/>
          </w:tcPr>
          <w:p w14:paraId="016AA5C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排气筒（2</w:t>
            </w:r>
            <w:r>
              <w:rPr>
                <w:rFonts w:hint="eastAsia" w:ascii="Arial" w:hAnsi="Arial" w:eastAsia="宋体" w:cs="Arial"/>
                <w:szCs w:val="21"/>
                <w:lang w:val="en-US" w:eastAsia="zh-CN"/>
              </w:rPr>
              <w:t>6</w:t>
            </w:r>
            <w:r>
              <w:rPr>
                <w:rFonts w:hint="default" w:ascii="Arial" w:hAnsi="Arial" w:eastAsia="宋体" w:cs="Arial"/>
                <w:szCs w:val="21"/>
                <w:lang w:val="en-US" w:eastAsia="zh-CN"/>
              </w:rPr>
              <w:t>m）</w:t>
            </w:r>
          </w:p>
        </w:tc>
        <w:tc>
          <w:tcPr>
            <w:tcW w:w="1931" w:type="dxa"/>
            <w:vMerge w:val="restart"/>
            <w:tcBorders>
              <w:left w:val="single" w:color="auto" w:sz="4" w:space="0"/>
              <w:right w:val="single" w:color="auto" w:sz="6" w:space="0"/>
            </w:tcBorders>
            <w:noWrap w:val="0"/>
            <w:vAlign w:val="center"/>
          </w:tcPr>
          <w:p w14:paraId="1E0B34D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GB 16297-1996</w:t>
            </w:r>
          </w:p>
        </w:tc>
      </w:tr>
      <w:tr w14:paraId="6DB140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jc w:val="center"/>
        </w:trPr>
        <w:tc>
          <w:tcPr>
            <w:tcW w:w="1032" w:type="dxa"/>
            <w:vMerge w:val="continue"/>
            <w:tcBorders>
              <w:left w:val="single" w:color="auto" w:sz="6" w:space="0"/>
              <w:bottom w:val="single" w:color="auto" w:sz="6" w:space="0"/>
              <w:right w:val="single" w:color="auto" w:sz="6" w:space="0"/>
            </w:tcBorders>
            <w:noWrap w:val="0"/>
            <w:vAlign w:val="center"/>
          </w:tcPr>
          <w:p w14:paraId="6128429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p>
        </w:tc>
        <w:tc>
          <w:tcPr>
            <w:tcW w:w="1025" w:type="dxa"/>
            <w:tcBorders>
              <w:left w:val="single" w:color="auto" w:sz="6" w:space="0"/>
              <w:bottom w:val="single" w:color="auto" w:sz="6" w:space="0"/>
              <w:right w:val="single" w:color="auto" w:sz="4" w:space="0"/>
            </w:tcBorders>
            <w:noWrap w:val="0"/>
            <w:vAlign w:val="center"/>
          </w:tcPr>
          <w:p w14:paraId="0BE2F0B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kg/h</w:t>
            </w:r>
          </w:p>
        </w:tc>
        <w:tc>
          <w:tcPr>
            <w:tcW w:w="872" w:type="dxa"/>
            <w:tcBorders>
              <w:top w:val="single" w:color="auto" w:sz="6" w:space="0"/>
              <w:left w:val="nil"/>
              <w:bottom w:val="single" w:color="auto" w:sz="6" w:space="0"/>
              <w:right w:val="single" w:color="auto" w:sz="6" w:space="0"/>
            </w:tcBorders>
            <w:noWrap w:val="0"/>
            <w:vAlign w:val="center"/>
          </w:tcPr>
          <w:p w14:paraId="05A21B8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5.9</w:t>
            </w:r>
          </w:p>
        </w:tc>
        <w:tc>
          <w:tcPr>
            <w:tcW w:w="3077" w:type="dxa"/>
            <w:vMerge w:val="continue"/>
            <w:tcBorders>
              <w:left w:val="single" w:color="auto" w:sz="6" w:space="0"/>
              <w:right w:val="single" w:color="auto" w:sz="4" w:space="0"/>
            </w:tcBorders>
            <w:noWrap w:val="0"/>
            <w:vAlign w:val="center"/>
          </w:tcPr>
          <w:p w14:paraId="0E5B1EA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lang w:val="en-US" w:eastAsia="zh-CN"/>
              </w:rPr>
            </w:pPr>
          </w:p>
        </w:tc>
        <w:tc>
          <w:tcPr>
            <w:tcW w:w="1931" w:type="dxa"/>
            <w:vMerge w:val="continue"/>
            <w:tcBorders>
              <w:left w:val="single" w:color="auto" w:sz="4" w:space="0"/>
              <w:bottom w:val="single" w:color="auto" w:sz="6" w:space="0"/>
              <w:right w:val="single" w:color="auto" w:sz="6" w:space="0"/>
            </w:tcBorders>
            <w:noWrap w:val="0"/>
            <w:vAlign w:val="center"/>
          </w:tcPr>
          <w:p w14:paraId="039EDA2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p>
        </w:tc>
      </w:tr>
    </w:tbl>
    <w:p w14:paraId="08E2754D">
      <w:pPr>
        <w:pStyle w:val="76"/>
        <w:numPr>
          <w:ilvl w:val="0"/>
          <w:numId w:val="0"/>
        </w:numPr>
        <w:spacing w:line="360" w:lineRule="auto"/>
        <w:ind w:left="777" w:leftChars="0"/>
        <w:jc w:val="both"/>
        <w:outlineLvl w:val="2"/>
        <w:rPr>
          <w:rFonts w:hint="default" w:ascii="Arial" w:hAnsi="Arial" w:eastAsia="宋体" w:cs="Arial"/>
          <w:b/>
          <w:bCs/>
          <w:sz w:val="24"/>
          <w:szCs w:val="24"/>
        </w:rPr>
      </w:pPr>
    </w:p>
    <w:p w14:paraId="43D84378">
      <w:pPr>
        <w:pStyle w:val="76"/>
        <w:numPr>
          <w:ilvl w:val="3"/>
          <w:numId w:val="5"/>
        </w:numPr>
        <w:spacing w:line="360" w:lineRule="auto"/>
        <w:ind w:left="777" w:leftChars="0" w:firstLine="0" w:firstLineChars="0"/>
        <w:jc w:val="center"/>
        <w:outlineLvl w:val="2"/>
        <w:rPr>
          <w:rFonts w:hint="default" w:ascii="Arial" w:hAnsi="Arial" w:eastAsia="宋体" w:cs="Arial"/>
          <w:b/>
          <w:bCs/>
          <w:sz w:val="24"/>
          <w:szCs w:val="24"/>
        </w:rPr>
      </w:pPr>
      <w:r>
        <w:rPr>
          <w:rFonts w:hint="eastAsia" w:ascii="Arial" w:hAnsi="Arial" w:eastAsia="宋体" w:cs="Arial"/>
          <w:b/>
          <w:bCs/>
          <w:sz w:val="24"/>
          <w:szCs w:val="24"/>
          <w:lang w:val="en-US" w:eastAsia="zh-CN"/>
        </w:rPr>
        <w:t xml:space="preserve">  无组织废气排放标准</w:t>
      </w:r>
    </w:p>
    <w:tbl>
      <w:tblPr>
        <w:tblStyle w:val="52"/>
        <w:tblW w:w="793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113" w:type="dxa"/>
          <w:bottom w:w="28" w:type="dxa"/>
          <w:right w:w="113" w:type="dxa"/>
        </w:tblCellMar>
      </w:tblPr>
      <w:tblGrid>
        <w:gridCol w:w="1047"/>
        <w:gridCol w:w="1000"/>
        <w:gridCol w:w="897"/>
        <w:gridCol w:w="3080"/>
        <w:gridCol w:w="1913"/>
      </w:tblGrid>
      <w:tr w14:paraId="2D4335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tblHeader/>
          <w:jc w:val="center"/>
        </w:trPr>
        <w:tc>
          <w:tcPr>
            <w:tcW w:w="1047" w:type="dxa"/>
            <w:tcBorders>
              <w:top w:val="single" w:color="auto" w:sz="6" w:space="0"/>
              <w:left w:val="single" w:color="auto" w:sz="6" w:space="0"/>
              <w:bottom w:val="single" w:color="auto" w:sz="6" w:space="0"/>
              <w:right w:val="single" w:color="auto" w:sz="6" w:space="0"/>
            </w:tcBorders>
            <w:noWrap w:val="0"/>
            <w:vAlign w:val="center"/>
          </w:tcPr>
          <w:p w14:paraId="63B2E94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污染物</w:t>
            </w:r>
          </w:p>
        </w:tc>
        <w:tc>
          <w:tcPr>
            <w:tcW w:w="1000" w:type="dxa"/>
            <w:tcBorders>
              <w:top w:val="single" w:color="auto" w:sz="6" w:space="0"/>
              <w:left w:val="single" w:color="auto" w:sz="6" w:space="0"/>
              <w:bottom w:val="single" w:color="auto" w:sz="6" w:space="0"/>
              <w:right w:val="single" w:color="auto" w:sz="4" w:space="0"/>
            </w:tcBorders>
            <w:noWrap w:val="0"/>
            <w:vAlign w:val="center"/>
          </w:tcPr>
          <w:p w14:paraId="20DA2A5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单位</w:t>
            </w:r>
          </w:p>
        </w:tc>
        <w:tc>
          <w:tcPr>
            <w:tcW w:w="897" w:type="dxa"/>
            <w:tcBorders>
              <w:top w:val="single" w:color="auto" w:sz="6" w:space="0"/>
              <w:left w:val="nil"/>
              <w:bottom w:val="single" w:color="auto" w:sz="6" w:space="0"/>
              <w:right w:val="single" w:color="auto" w:sz="6" w:space="0"/>
            </w:tcBorders>
            <w:noWrap w:val="0"/>
            <w:vAlign w:val="center"/>
          </w:tcPr>
          <w:p w14:paraId="06B7B9A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限值</w:t>
            </w:r>
          </w:p>
        </w:tc>
        <w:tc>
          <w:tcPr>
            <w:tcW w:w="3080" w:type="dxa"/>
            <w:tcBorders>
              <w:top w:val="single" w:color="auto" w:sz="6" w:space="0"/>
              <w:left w:val="single" w:color="auto" w:sz="6" w:space="0"/>
              <w:bottom w:val="single" w:color="auto" w:sz="6" w:space="0"/>
              <w:right w:val="single" w:color="auto" w:sz="4" w:space="0"/>
            </w:tcBorders>
            <w:noWrap w:val="0"/>
            <w:vAlign w:val="center"/>
          </w:tcPr>
          <w:p w14:paraId="42FDF8D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监控位置</w:t>
            </w:r>
          </w:p>
        </w:tc>
        <w:tc>
          <w:tcPr>
            <w:tcW w:w="1913" w:type="dxa"/>
            <w:tcBorders>
              <w:top w:val="single" w:color="auto" w:sz="6" w:space="0"/>
              <w:left w:val="single" w:color="auto" w:sz="4" w:space="0"/>
              <w:bottom w:val="single" w:color="auto" w:sz="6" w:space="0"/>
              <w:right w:val="single" w:color="auto" w:sz="6" w:space="0"/>
            </w:tcBorders>
            <w:noWrap w:val="0"/>
            <w:vAlign w:val="center"/>
          </w:tcPr>
          <w:p w14:paraId="5F33EF4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排放标准</w:t>
            </w:r>
          </w:p>
        </w:tc>
      </w:tr>
      <w:tr w14:paraId="4C656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jc w:val="center"/>
        </w:trPr>
        <w:tc>
          <w:tcPr>
            <w:tcW w:w="1047" w:type="dxa"/>
            <w:tcBorders>
              <w:top w:val="single" w:color="auto" w:sz="6" w:space="0"/>
              <w:left w:val="single" w:color="auto" w:sz="6" w:space="0"/>
              <w:bottom w:val="single" w:color="auto" w:sz="6" w:space="0"/>
              <w:right w:val="single" w:color="auto" w:sz="6" w:space="0"/>
            </w:tcBorders>
            <w:noWrap w:val="0"/>
            <w:vAlign w:val="center"/>
          </w:tcPr>
          <w:p w14:paraId="7A184629">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颗粒物</w:t>
            </w:r>
          </w:p>
        </w:tc>
        <w:tc>
          <w:tcPr>
            <w:tcW w:w="1000" w:type="dxa"/>
            <w:tcBorders>
              <w:top w:val="single" w:color="auto" w:sz="6" w:space="0"/>
              <w:left w:val="single" w:color="auto" w:sz="6" w:space="0"/>
              <w:bottom w:val="single" w:color="auto" w:sz="6" w:space="0"/>
              <w:right w:val="single" w:color="auto" w:sz="4" w:space="0"/>
            </w:tcBorders>
            <w:noWrap w:val="0"/>
            <w:vAlign w:val="center"/>
          </w:tcPr>
          <w:p w14:paraId="59EF1E73">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mg/m³</w:t>
            </w:r>
          </w:p>
        </w:tc>
        <w:tc>
          <w:tcPr>
            <w:tcW w:w="897" w:type="dxa"/>
            <w:tcBorders>
              <w:top w:val="single" w:color="auto" w:sz="6" w:space="0"/>
              <w:left w:val="nil"/>
              <w:bottom w:val="single" w:color="auto" w:sz="6" w:space="0"/>
              <w:right w:val="single" w:color="auto" w:sz="6" w:space="0"/>
            </w:tcBorders>
            <w:noWrap w:val="0"/>
            <w:vAlign w:val="center"/>
          </w:tcPr>
          <w:p w14:paraId="50763C33">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1.0</w:t>
            </w:r>
          </w:p>
        </w:tc>
        <w:tc>
          <w:tcPr>
            <w:tcW w:w="3080" w:type="dxa"/>
            <w:tcBorders>
              <w:top w:val="single" w:color="auto" w:sz="6" w:space="0"/>
              <w:left w:val="single" w:color="auto" w:sz="6" w:space="0"/>
              <w:bottom w:val="single" w:color="auto" w:sz="6" w:space="0"/>
              <w:right w:val="single" w:color="auto" w:sz="4" w:space="0"/>
            </w:tcBorders>
            <w:noWrap w:val="0"/>
            <w:vAlign w:val="center"/>
          </w:tcPr>
          <w:p w14:paraId="5F3E54D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周界外浓度最高点</w:t>
            </w:r>
          </w:p>
        </w:tc>
        <w:tc>
          <w:tcPr>
            <w:tcW w:w="1913" w:type="dxa"/>
            <w:tcBorders>
              <w:left w:val="single" w:color="auto" w:sz="4" w:space="0"/>
              <w:right w:val="single" w:color="auto" w:sz="6" w:space="0"/>
            </w:tcBorders>
            <w:noWrap w:val="0"/>
            <w:vAlign w:val="center"/>
          </w:tcPr>
          <w:p w14:paraId="035FD3D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GB 16297-1996</w:t>
            </w:r>
          </w:p>
        </w:tc>
      </w:tr>
      <w:tr w14:paraId="662E2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jc w:val="center"/>
        </w:trPr>
        <w:tc>
          <w:tcPr>
            <w:tcW w:w="1047" w:type="dxa"/>
            <w:vMerge w:val="restart"/>
            <w:tcBorders>
              <w:top w:val="single" w:color="auto" w:sz="6" w:space="0"/>
              <w:left w:val="single" w:color="auto" w:sz="6" w:space="0"/>
              <w:right w:val="single" w:color="auto" w:sz="6" w:space="0"/>
            </w:tcBorders>
            <w:noWrap w:val="0"/>
            <w:vAlign w:val="center"/>
          </w:tcPr>
          <w:p w14:paraId="72405DAE">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szCs w:val="21"/>
                <w:lang w:val="en-US" w:eastAsia="zh-CN"/>
              </w:rPr>
            </w:pPr>
            <w:r>
              <w:rPr>
                <w:rFonts w:hint="eastAsia" w:ascii="Arial" w:hAnsi="Arial" w:eastAsia="宋体" w:cs="Arial"/>
                <w:szCs w:val="21"/>
                <w:lang w:val="en-US" w:eastAsia="zh-CN"/>
              </w:rPr>
              <w:t>非甲烷总烃</w:t>
            </w:r>
          </w:p>
        </w:tc>
        <w:tc>
          <w:tcPr>
            <w:tcW w:w="1000" w:type="dxa"/>
            <w:tcBorders>
              <w:top w:val="single" w:color="auto" w:sz="6" w:space="0"/>
              <w:left w:val="single" w:color="auto" w:sz="6" w:space="0"/>
              <w:bottom w:val="single" w:color="auto" w:sz="6" w:space="0"/>
              <w:right w:val="single" w:color="auto" w:sz="4" w:space="0"/>
            </w:tcBorders>
            <w:noWrap w:val="0"/>
            <w:vAlign w:val="center"/>
          </w:tcPr>
          <w:p w14:paraId="135AE671">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mg/m³</w:t>
            </w:r>
          </w:p>
        </w:tc>
        <w:tc>
          <w:tcPr>
            <w:tcW w:w="897" w:type="dxa"/>
            <w:tcBorders>
              <w:top w:val="single" w:color="auto" w:sz="6" w:space="0"/>
              <w:left w:val="nil"/>
              <w:bottom w:val="single" w:color="auto" w:sz="6" w:space="0"/>
              <w:right w:val="single" w:color="auto" w:sz="6" w:space="0"/>
            </w:tcBorders>
            <w:noWrap w:val="0"/>
            <w:vAlign w:val="center"/>
          </w:tcPr>
          <w:p w14:paraId="484F5648">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lang w:val="en-US" w:eastAsia="zh-CN"/>
              </w:rPr>
            </w:pPr>
            <w:r>
              <w:rPr>
                <w:rFonts w:hint="eastAsia" w:ascii="Arial" w:hAnsi="Arial" w:eastAsia="宋体" w:cs="Arial"/>
                <w:szCs w:val="21"/>
                <w:lang w:val="en-US" w:eastAsia="zh-CN"/>
              </w:rPr>
              <w:t>4.0</w:t>
            </w:r>
          </w:p>
        </w:tc>
        <w:tc>
          <w:tcPr>
            <w:tcW w:w="3080" w:type="dxa"/>
            <w:tcBorders>
              <w:top w:val="single" w:color="auto" w:sz="6" w:space="0"/>
              <w:left w:val="single" w:color="auto" w:sz="6" w:space="0"/>
              <w:bottom w:val="single" w:color="auto" w:sz="6" w:space="0"/>
              <w:right w:val="single" w:color="auto" w:sz="4" w:space="0"/>
            </w:tcBorders>
            <w:noWrap w:val="0"/>
            <w:vAlign w:val="center"/>
          </w:tcPr>
          <w:p w14:paraId="4972AB2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周界外浓度最高点</w:t>
            </w:r>
          </w:p>
        </w:tc>
        <w:tc>
          <w:tcPr>
            <w:tcW w:w="1913" w:type="dxa"/>
            <w:tcBorders>
              <w:left w:val="single" w:color="auto" w:sz="4" w:space="0"/>
              <w:right w:val="single" w:color="auto" w:sz="6" w:space="0"/>
            </w:tcBorders>
            <w:noWrap w:val="0"/>
            <w:vAlign w:val="center"/>
          </w:tcPr>
          <w:p w14:paraId="118F31B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GB 16297-1996</w:t>
            </w:r>
          </w:p>
        </w:tc>
      </w:tr>
      <w:tr w14:paraId="624E9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jc w:val="center"/>
        </w:trPr>
        <w:tc>
          <w:tcPr>
            <w:tcW w:w="1047" w:type="dxa"/>
            <w:vMerge w:val="continue"/>
            <w:tcBorders>
              <w:left w:val="single" w:color="auto" w:sz="6" w:space="0"/>
              <w:right w:val="single" w:color="auto" w:sz="6" w:space="0"/>
            </w:tcBorders>
            <w:noWrap w:val="0"/>
            <w:vAlign w:val="center"/>
          </w:tcPr>
          <w:p w14:paraId="49BE9B7C">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szCs w:val="21"/>
                <w:lang w:val="en-US" w:eastAsia="zh-CN"/>
              </w:rPr>
            </w:pPr>
          </w:p>
        </w:tc>
        <w:tc>
          <w:tcPr>
            <w:tcW w:w="1000" w:type="dxa"/>
            <w:tcBorders>
              <w:top w:val="single" w:color="auto" w:sz="6" w:space="0"/>
              <w:left w:val="single" w:color="auto" w:sz="6" w:space="0"/>
              <w:bottom w:val="single" w:color="auto" w:sz="6" w:space="0"/>
              <w:right w:val="single" w:color="auto" w:sz="4" w:space="0"/>
            </w:tcBorders>
            <w:noWrap w:val="0"/>
            <w:vAlign w:val="center"/>
          </w:tcPr>
          <w:p w14:paraId="32A3F3D5">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mg/m³</w:t>
            </w:r>
          </w:p>
        </w:tc>
        <w:tc>
          <w:tcPr>
            <w:tcW w:w="897" w:type="dxa"/>
            <w:tcBorders>
              <w:top w:val="single" w:color="auto" w:sz="6" w:space="0"/>
              <w:left w:val="nil"/>
              <w:bottom w:val="single" w:color="auto" w:sz="6" w:space="0"/>
              <w:right w:val="single" w:color="auto" w:sz="6" w:space="0"/>
            </w:tcBorders>
            <w:noWrap w:val="0"/>
            <w:vAlign w:val="center"/>
          </w:tcPr>
          <w:p w14:paraId="29DAF0E7">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lang w:val="en-US" w:eastAsia="zh-CN"/>
              </w:rPr>
            </w:pPr>
            <w:r>
              <w:rPr>
                <w:rFonts w:hint="eastAsia" w:ascii="Arial" w:hAnsi="Arial" w:eastAsia="宋体" w:cs="Arial"/>
                <w:szCs w:val="21"/>
                <w:lang w:val="en-US" w:eastAsia="zh-CN"/>
              </w:rPr>
              <w:t>6.0</w:t>
            </w:r>
          </w:p>
        </w:tc>
        <w:tc>
          <w:tcPr>
            <w:tcW w:w="3080" w:type="dxa"/>
            <w:tcBorders>
              <w:top w:val="single" w:color="auto" w:sz="6" w:space="0"/>
              <w:left w:val="single" w:color="auto" w:sz="6" w:space="0"/>
              <w:bottom w:val="single" w:color="auto" w:sz="6" w:space="0"/>
              <w:right w:val="single" w:color="auto" w:sz="4" w:space="0"/>
            </w:tcBorders>
            <w:noWrap w:val="0"/>
            <w:vAlign w:val="center"/>
          </w:tcPr>
          <w:p w14:paraId="10A44B0E">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szCs w:val="21"/>
                <w:lang w:eastAsia="zh-CN"/>
              </w:rPr>
            </w:pPr>
            <w:r>
              <w:rPr>
                <w:rFonts w:hint="default" w:ascii="Arial" w:hAnsi="Arial" w:eastAsia="宋体" w:cs="Arial"/>
                <w:szCs w:val="21"/>
              </w:rPr>
              <w:t>在厂房外设置监控点</w:t>
            </w:r>
            <w:r>
              <w:rPr>
                <w:rFonts w:hint="eastAsia" w:ascii="Arial" w:hAnsi="Arial" w:eastAsia="宋体" w:cs="Arial"/>
                <w:szCs w:val="21"/>
                <w:lang w:eastAsia="zh-CN"/>
              </w:rPr>
              <w:t>（</w:t>
            </w:r>
            <w:r>
              <w:rPr>
                <w:rFonts w:hint="default" w:ascii="Arial" w:hAnsi="Arial" w:eastAsia="宋体" w:cs="Arial"/>
                <w:szCs w:val="21"/>
              </w:rPr>
              <w:t>监控点处1小时平均浓度限值</w:t>
            </w:r>
            <w:r>
              <w:rPr>
                <w:rFonts w:hint="eastAsia" w:ascii="Arial" w:hAnsi="Arial" w:eastAsia="宋体" w:cs="Arial"/>
                <w:szCs w:val="21"/>
                <w:lang w:eastAsia="zh-CN"/>
              </w:rPr>
              <w:t>）</w:t>
            </w:r>
          </w:p>
        </w:tc>
        <w:tc>
          <w:tcPr>
            <w:tcW w:w="1913" w:type="dxa"/>
            <w:tcBorders>
              <w:left w:val="single" w:color="auto" w:sz="4" w:space="0"/>
              <w:right w:val="single" w:color="auto" w:sz="6" w:space="0"/>
            </w:tcBorders>
            <w:noWrap w:val="0"/>
            <w:vAlign w:val="center"/>
          </w:tcPr>
          <w:p w14:paraId="3A48D9C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GB37822-2019</w:t>
            </w:r>
          </w:p>
        </w:tc>
      </w:tr>
      <w:tr w14:paraId="7872A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13" w:type="dxa"/>
            <w:bottom w:w="28" w:type="dxa"/>
            <w:right w:w="113" w:type="dxa"/>
          </w:tblCellMar>
        </w:tblPrEx>
        <w:trPr>
          <w:cantSplit/>
          <w:jc w:val="center"/>
        </w:trPr>
        <w:tc>
          <w:tcPr>
            <w:tcW w:w="1047" w:type="dxa"/>
            <w:vMerge w:val="continue"/>
            <w:tcBorders>
              <w:left w:val="single" w:color="auto" w:sz="6" w:space="0"/>
              <w:bottom w:val="single" w:color="auto" w:sz="6" w:space="0"/>
              <w:right w:val="single" w:color="auto" w:sz="6" w:space="0"/>
            </w:tcBorders>
            <w:noWrap w:val="0"/>
            <w:vAlign w:val="center"/>
          </w:tcPr>
          <w:p w14:paraId="62499A78">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szCs w:val="21"/>
                <w:lang w:val="en-US" w:eastAsia="zh-CN"/>
              </w:rPr>
            </w:pPr>
          </w:p>
        </w:tc>
        <w:tc>
          <w:tcPr>
            <w:tcW w:w="1000" w:type="dxa"/>
            <w:tcBorders>
              <w:top w:val="single" w:color="auto" w:sz="6" w:space="0"/>
              <w:left w:val="single" w:color="auto" w:sz="6" w:space="0"/>
              <w:bottom w:val="single" w:color="auto" w:sz="6" w:space="0"/>
              <w:right w:val="single" w:color="auto" w:sz="4" w:space="0"/>
            </w:tcBorders>
            <w:noWrap w:val="0"/>
            <w:vAlign w:val="center"/>
          </w:tcPr>
          <w:p w14:paraId="0F9106D4">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rPr>
            </w:pPr>
            <w:r>
              <w:rPr>
                <w:rFonts w:hint="default" w:ascii="Arial" w:hAnsi="Arial" w:eastAsia="宋体" w:cs="Arial"/>
                <w:szCs w:val="21"/>
              </w:rPr>
              <w:t>mg/m³</w:t>
            </w:r>
          </w:p>
        </w:tc>
        <w:tc>
          <w:tcPr>
            <w:tcW w:w="897" w:type="dxa"/>
            <w:tcBorders>
              <w:top w:val="single" w:color="auto" w:sz="6" w:space="0"/>
              <w:left w:val="nil"/>
              <w:bottom w:val="single" w:color="auto" w:sz="6" w:space="0"/>
              <w:right w:val="single" w:color="auto" w:sz="6" w:space="0"/>
            </w:tcBorders>
            <w:noWrap w:val="0"/>
            <w:vAlign w:val="center"/>
          </w:tcPr>
          <w:p w14:paraId="2212D2AD">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szCs w:val="21"/>
                <w:lang w:val="en-US" w:eastAsia="zh-CN"/>
              </w:rPr>
            </w:pPr>
            <w:r>
              <w:rPr>
                <w:rFonts w:hint="eastAsia" w:ascii="Arial" w:hAnsi="Arial" w:eastAsia="宋体" w:cs="Arial"/>
                <w:szCs w:val="21"/>
                <w:lang w:val="en-US" w:eastAsia="zh-CN"/>
              </w:rPr>
              <w:t>20</w:t>
            </w:r>
          </w:p>
        </w:tc>
        <w:tc>
          <w:tcPr>
            <w:tcW w:w="3080" w:type="dxa"/>
            <w:tcBorders>
              <w:top w:val="single" w:color="auto" w:sz="6" w:space="0"/>
              <w:left w:val="single" w:color="auto" w:sz="6" w:space="0"/>
              <w:right w:val="single" w:color="auto" w:sz="4" w:space="0"/>
            </w:tcBorders>
            <w:noWrap w:val="0"/>
            <w:vAlign w:val="center"/>
          </w:tcPr>
          <w:p w14:paraId="6671ED0F">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szCs w:val="21"/>
                <w:lang w:eastAsia="zh-CN"/>
              </w:rPr>
            </w:pPr>
            <w:r>
              <w:rPr>
                <w:rFonts w:hint="default" w:ascii="Arial" w:hAnsi="Arial" w:eastAsia="宋体" w:cs="Arial"/>
                <w:szCs w:val="21"/>
              </w:rPr>
              <w:t>在厂房外设置监控点</w:t>
            </w:r>
            <w:r>
              <w:rPr>
                <w:rFonts w:hint="eastAsia" w:ascii="Arial" w:hAnsi="Arial" w:eastAsia="宋体" w:cs="Arial"/>
                <w:szCs w:val="21"/>
                <w:lang w:eastAsia="zh-CN"/>
              </w:rPr>
              <w:t>（</w:t>
            </w:r>
            <w:r>
              <w:rPr>
                <w:rFonts w:hint="default" w:ascii="Arial" w:hAnsi="Arial" w:eastAsia="宋体" w:cs="Arial"/>
                <w:szCs w:val="21"/>
              </w:rPr>
              <w:t>监控点处任意一次浓度值</w:t>
            </w:r>
            <w:r>
              <w:rPr>
                <w:rFonts w:hint="eastAsia" w:ascii="Arial" w:hAnsi="Arial" w:eastAsia="宋体" w:cs="Arial"/>
                <w:szCs w:val="21"/>
                <w:lang w:eastAsia="zh-CN"/>
              </w:rPr>
              <w:t>）</w:t>
            </w:r>
          </w:p>
        </w:tc>
        <w:tc>
          <w:tcPr>
            <w:tcW w:w="1913" w:type="dxa"/>
            <w:tcBorders>
              <w:left w:val="single" w:color="auto" w:sz="4" w:space="0"/>
              <w:right w:val="single" w:color="auto" w:sz="6" w:space="0"/>
            </w:tcBorders>
            <w:noWrap w:val="0"/>
            <w:vAlign w:val="center"/>
          </w:tcPr>
          <w:p w14:paraId="08A6425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GB37822-2019</w:t>
            </w:r>
          </w:p>
        </w:tc>
      </w:tr>
    </w:tbl>
    <w:p w14:paraId="64E69FEE">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噪声排放控制标准</w:t>
      </w:r>
    </w:p>
    <w:p w14:paraId="03D477F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sz w:val="24"/>
          <w:szCs w:val="24"/>
        </w:rPr>
        <w:t>根据《平湖市中心城区声环境功能区调整方案》（平政办发〔20</w:t>
      </w:r>
      <w:r>
        <w:rPr>
          <w:rFonts w:hint="eastAsia" w:ascii="Arial" w:hAnsi="Arial" w:eastAsia="宋体" w:cs="Arial"/>
          <w:sz w:val="24"/>
          <w:szCs w:val="24"/>
          <w:lang w:val="en-US" w:eastAsia="zh-CN"/>
        </w:rPr>
        <w:t>25</w:t>
      </w:r>
      <w:r>
        <w:rPr>
          <w:rFonts w:hint="default" w:ascii="Arial" w:hAnsi="Arial" w:eastAsia="宋体" w:cs="Arial"/>
          <w:sz w:val="24"/>
          <w:szCs w:val="24"/>
        </w:rPr>
        <w:t>〕5</w:t>
      </w:r>
      <w:r>
        <w:rPr>
          <w:rFonts w:hint="eastAsia" w:ascii="Arial" w:hAnsi="Arial" w:eastAsia="宋体" w:cs="Arial"/>
          <w:sz w:val="24"/>
          <w:szCs w:val="24"/>
          <w:lang w:val="en-US" w:eastAsia="zh-CN"/>
        </w:rPr>
        <w:t>5</w:t>
      </w:r>
      <w:r>
        <w:rPr>
          <w:rFonts w:hint="default" w:ascii="Arial" w:hAnsi="Arial" w:eastAsia="宋体" w:cs="Arial"/>
          <w:sz w:val="24"/>
          <w:szCs w:val="24"/>
        </w:rPr>
        <w:t>号），本项目位于3-01声环境功能区，属于3类声环境功能区，</w:t>
      </w:r>
      <w:r>
        <w:rPr>
          <w:rFonts w:hint="default" w:ascii="Arial" w:hAnsi="Arial" w:eastAsia="宋体" w:cs="Arial"/>
          <w:bCs/>
          <w:sz w:val="24"/>
          <w:szCs w:val="24"/>
        </w:rPr>
        <w:t>各侧厂界噪声执行《工业企业厂界噪声排放标准》（GB 12348-2008）中3类标准，具体标准值见表3-</w:t>
      </w:r>
      <w:r>
        <w:rPr>
          <w:rFonts w:hint="default" w:ascii="Arial" w:hAnsi="Arial" w:eastAsia="宋体" w:cs="Arial"/>
          <w:bCs/>
          <w:sz w:val="24"/>
          <w:szCs w:val="24"/>
          <w:lang w:val="en-US" w:eastAsia="zh-CN"/>
        </w:rPr>
        <w:t>6</w:t>
      </w:r>
      <w:r>
        <w:rPr>
          <w:rFonts w:hint="default" w:ascii="Arial" w:hAnsi="Arial" w:eastAsia="宋体" w:cs="Arial"/>
          <w:bCs/>
          <w:sz w:val="24"/>
          <w:szCs w:val="24"/>
        </w:rPr>
        <w:t>。</w:t>
      </w:r>
    </w:p>
    <w:p w14:paraId="454B5BED">
      <w:pPr>
        <w:pStyle w:val="76"/>
        <w:keepNext/>
        <w:keepLines w:val="0"/>
        <w:pageBreakBefore w:val="0"/>
        <w:widowControl w:val="0"/>
        <w:numPr>
          <w:ilvl w:val="3"/>
          <w:numId w:val="5"/>
        </w:numPr>
        <w:kinsoku/>
        <w:wordWrap/>
        <w:overflowPunct/>
        <w:topLinePunct w:val="0"/>
        <w:autoSpaceDE/>
        <w:autoSpaceDN/>
        <w:bidi w:val="0"/>
        <w:adjustRightInd/>
        <w:snapToGrid/>
        <w:ind w:left="777" w:leftChars="0" w:firstLine="482" w:firstLineChars="0"/>
        <w:jc w:val="center"/>
        <w:textAlignment w:val="auto"/>
        <w:outlineLvl w:val="3"/>
        <w:rPr>
          <w:rFonts w:hint="default" w:ascii="Arial" w:hAnsi="Arial" w:eastAsia="宋体" w:cs="Arial"/>
          <w:b/>
          <w:bCs/>
          <w:sz w:val="24"/>
          <w:szCs w:val="24"/>
        </w:rPr>
      </w:pPr>
      <w:r>
        <w:rPr>
          <w:rFonts w:hint="default" w:ascii="Arial" w:hAnsi="Arial" w:eastAsia="宋体" w:cs="Arial"/>
          <w:b/>
          <w:bCs/>
          <w:sz w:val="24"/>
          <w:szCs w:val="24"/>
        </w:rPr>
        <w:t xml:space="preserve">  《工业企业厂界环境噪声排放标准》（GB 12348—2008）</w:t>
      </w:r>
    </w:p>
    <w:p w14:paraId="603A16A0">
      <w:pPr>
        <w:pStyle w:val="76"/>
        <w:ind w:left="1049"/>
        <w:jc w:val="right"/>
        <w:outlineLvl w:val="3"/>
        <w:rPr>
          <w:rFonts w:hint="default" w:ascii="Arial" w:hAnsi="Arial" w:eastAsia="宋体" w:cs="Arial"/>
          <w:b/>
          <w:bCs/>
          <w:sz w:val="24"/>
          <w:szCs w:val="24"/>
        </w:rPr>
      </w:pPr>
      <w:r>
        <w:rPr>
          <w:rFonts w:hint="default" w:ascii="Arial" w:hAnsi="Arial" w:eastAsia="宋体" w:cs="Arial"/>
          <w:b/>
          <w:bCs/>
          <w:sz w:val="24"/>
          <w:szCs w:val="24"/>
        </w:rPr>
        <w:t>单位：dB(A)</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6"/>
        <w:gridCol w:w="2556"/>
        <w:gridCol w:w="2725"/>
      </w:tblGrid>
      <w:tr w14:paraId="027A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56" w:type="dxa"/>
            <w:tcBorders>
              <w:tl2br w:val="single" w:color="auto" w:sz="6" w:space="0"/>
            </w:tcBorders>
            <w:vAlign w:val="center"/>
          </w:tcPr>
          <w:p w14:paraId="4FE987FF">
            <w:pPr>
              <w:keepNext w:val="0"/>
              <w:keepLines w:val="0"/>
              <w:suppressLineNumbers w:val="0"/>
              <w:snapToGrid w:val="0"/>
              <w:spacing w:before="0" w:beforeAutospacing="0" w:after="0" w:afterAutospacing="0"/>
              <w:ind w:left="0" w:right="0"/>
              <w:jc w:val="right"/>
              <w:rPr>
                <w:rFonts w:hint="default" w:ascii="Arial" w:hAnsi="Arial" w:eastAsia="宋体" w:cs="Arial"/>
                <w:szCs w:val="21"/>
              </w:rPr>
            </w:pPr>
            <w:r>
              <w:rPr>
                <w:rFonts w:hint="default" w:ascii="Arial" w:hAnsi="Arial" w:eastAsia="宋体" w:cs="Arial"/>
                <w:szCs w:val="21"/>
              </w:rPr>
              <w:t>时段</w:t>
            </w:r>
          </w:p>
          <w:p w14:paraId="3EC9E0A1">
            <w:pPr>
              <w:keepNext w:val="0"/>
              <w:keepLines w:val="0"/>
              <w:suppressLineNumbers w:val="0"/>
              <w:snapToGrid w:val="0"/>
              <w:spacing w:before="0" w:beforeAutospacing="0" w:after="0" w:afterAutospacing="0"/>
              <w:ind w:left="0" w:right="0"/>
              <w:jc w:val="left"/>
              <w:rPr>
                <w:rFonts w:hint="default" w:ascii="Arial" w:hAnsi="Arial" w:eastAsia="宋体" w:cs="Arial"/>
                <w:szCs w:val="21"/>
              </w:rPr>
            </w:pPr>
            <w:r>
              <w:rPr>
                <w:rFonts w:hint="default" w:ascii="Arial" w:hAnsi="Arial" w:eastAsia="宋体" w:cs="Arial"/>
                <w:szCs w:val="21"/>
              </w:rPr>
              <w:t>声环境功能区类别</w:t>
            </w:r>
          </w:p>
        </w:tc>
        <w:tc>
          <w:tcPr>
            <w:tcW w:w="2556" w:type="dxa"/>
            <w:vAlign w:val="center"/>
          </w:tcPr>
          <w:p w14:paraId="75743CB5">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昼间</w:t>
            </w:r>
          </w:p>
        </w:tc>
        <w:tc>
          <w:tcPr>
            <w:tcW w:w="2725" w:type="dxa"/>
            <w:vAlign w:val="center"/>
          </w:tcPr>
          <w:p w14:paraId="2AF2765F">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夜间</w:t>
            </w:r>
          </w:p>
        </w:tc>
      </w:tr>
      <w:tr w14:paraId="46CE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56" w:type="dxa"/>
            <w:vAlign w:val="center"/>
          </w:tcPr>
          <w:p w14:paraId="5005DBFB">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3类</w:t>
            </w:r>
          </w:p>
        </w:tc>
        <w:tc>
          <w:tcPr>
            <w:tcW w:w="2556" w:type="dxa"/>
            <w:vAlign w:val="center"/>
          </w:tcPr>
          <w:p w14:paraId="32A8AA53">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65</w:t>
            </w:r>
          </w:p>
        </w:tc>
        <w:tc>
          <w:tcPr>
            <w:tcW w:w="2725" w:type="dxa"/>
            <w:vAlign w:val="center"/>
          </w:tcPr>
          <w:p w14:paraId="07CA6FA5">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55</w:t>
            </w:r>
          </w:p>
        </w:tc>
      </w:tr>
    </w:tbl>
    <w:p w14:paraId="19F0F695">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固体废物排放控制标准</w:t>
      </w:r>
    </w:p>
    <w:p w14:paraId="7FC5F815">
      <w:pPr>
        <w:keepNext w:val="0"/>
        <w:keepLines w:val="0"/>
        <w:pageBreakBefore w:val="0"/>
        <w:widowControl w:val="0"/>
        <w:kinsoku/>
        <w:wordWrap/>
        <w:overflowPunct/>
        <w:topLinePunct w:val="0"/>
        <w:autoSpaceDE/>
        <w:autoSpaceDN/>
        <w:bidi w:val="0"/>
        <w:adjustRightInd/>
        <w:snapToGrid/>
        <w:spacing w:line="360" w:lineRule="auto"/>
        <w:ind w:left="105" w:leftChars="50" w:firstLine="520" w:firstLineChars="200"/>
        <w:jc w:val="left"/>
        <w:textAlignment w:val="auto"/>
        <w:rPr>
          <w:rFonts w:hint="default" w:ascii="Arial" w:hAnsi="Arial" w:eastAsia="宋体" w:cs="Arial"/>
          <w:bCs/>
          <w:sz w:val="24"/>
          <w:szCs w:val="24"/>
        </w:rPr>
      </w:pPr>
      <w:r>
        <w:rPr>
          <w:rFonts w:hint="default" w:ascii="Arial" w:hAnsi="Arial" w:eastAsia="宋体" w:cs="Arial"/>
          <w:spacing w:val="10"/>
          <w:sz w:val="24"/>
          <w:szCs w:val="20"/>
          <w:lang w:val="en-US" w:eastAsia="zh-CN"/>
        </w:rPr>
        <w:t>固体废物依据《国家危险废物名录》（2025版）和《危险废物鉴别标准通则》（GB 5085.7-2019）来鉴别一般工业废物和危险废物。建设项目危险废物厂内暂存执行《危险废物贮存污染控制标准》（GB18597-2023）相关要求；一般工业固废厂内暂存参照《一般工业固体废物贮存和填埋污染控制标准》（GB18599-2020）相关要求，其贮存过程应满足相应防渗漏、防雨淋、防扬尘等环境保护要求</w:t>
      </w:r>
      <w:r>
        <w:rPr>
          <w:rFonts w:hint="default" w:ascii="Arial" w:hAnsi="Arial" w:eastAsia="宋体" w:cs="Arial"/>
          <w:bCs/>
          <w:sz w:val="24"/>
          <w:szCs w:val="24"/>
        </w:rPr>
        <w:t>。</w:t>
      </w:r>
    </w:p>
    <w:p w14:paraId="3CEC3B5E">
      <w:pPr>
        <w:pStyle w:val="76"/>
        <w:keepNext w:val="0"/>
        <w:keepLines w:val="0"/>
        <w:pageBreakBefore w:val="0"/>
        <w:widowControl w:val="0"/>
        <w:numPr>
          <w:ilvl w:val="1"/>
          <w:numId w:val="5"/>
        </w:numPr>
        <w:kinsoku/>
        <w:wordWrap/>
        <w:overflowPunct/>
        <w:topLinePunct w:val="0"/>
        <w:bidi w:val="0"/>
        <w:adjustRightInd/>
        <w:snapToGrid/>
        <w:spacing w:line="360" w:lineRule="auto"/>
        <w:ind w:left="105" w:leftChars="50" w:firstLineChars="0"/>
        <w:textAlignment w:val="auto"/>
        <w:outlineLvl w:val="1"/>
        <w:rPr>
          <w:rFonts w:hint="default" w:ascii="Arial" w:hAnsi="Arial" w:eastAsia="宋体" w:cs="Arial"/>
          <w:b/>
          <w:bCs/>
          <w:sz w:val="24"/>
          <w:szCs w:val="24"/>
        </w:rPr>
      </w:pPr>
      <w:r>
        <w:rPr>
          <w:rFonts w:hint="default" w:ascii="Arial" w:hAnsi="Arial" w:eastAsia="宋体" w:cs="Arial"/>
          <w:b/>
          <w:bCs/>
          <w:sz w:val="24"/>
          <w:szCs w:val="24"/>
        </w:rPr>
        <w:t>总量控制指标</w:t>
      </w:r>
    </w:p>
    <w:p w14:paraId="780F70B8">
      <w:pPr>
        <w:pStyle w:val="76"/>
        <w:keepNext w:val="0"/>
        <w:keepLines w:val="0"/>
        <w:pageBreakBefore w:val="0"/>
        <w:widowControl w:val="0"/>
        <w:numPr>
          <w:ilvl w:val="2"/>
          <w:numId w:val="5"/>
        </w:numPr>
        <w:kinsoku/>
        <w:wordWrap/>
        <w:overflowPunct/>
        <w:topLinePunct w:val="0"/>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lang w:val="en-GB"/>
        </w:rPr>
        <w:t>总量控制原则</w:t>
      </w:r>
    </w:p>
    <w:p w14:paraId="4FEC44F8">
      <w:pPr>
        <w:pStyle w:val="76"/>
        <w:keepNext w:val="0"/>
        <w:keepLines w:val="0"/>
        <w:pageBreakBefore w:val="0"/>
        <w:widowControl w:val="0"/>
        <w:kinsoku/>
        <w:wordWrap/>
        <w:overflowPunct/>
        <w:topLinePunct w:val="0"/>
        <w:autoSpaceDE w:val="0"/>
        <w:autoSpaceDN w:val="0"/>
        <w:bidi w:val="0"/>
        <w:adjustRightInd/>
        <w:snapToGrid/>
        <w:spacing w:line="360" w:lineRule="auto"/>
        <w:ind w:left="105" w:leftChars="50" w:firstLine="456" w:firstLineChars="200"/>
        <w:jc w:val="left"/>
        <w:textAlignment w:val="auto"/>
        <w:rPr>
          <w:rFonts w:hint="default" w:ascii="Arial" w:hAnsi="Arial" w:eastAsia="宋体" w:cs="Arial"/>
          <w:spacing w:val="-6"/>
          <w:sz w:val="24"/>
          <w:szCs w:val="24"/>
        </w:rPr>
      </w:pPr>
      <w:r>
        <w:rPr>
          <w:rFonts w:hint="default" w:ascii="Arial" w:hAnsi="Arial" w:eastAsia="宋体" w:cs="Arial"/>
          <w:spacing w:val="-6"/>
          <w:sz w:val="24"/>
          <w:szCs w:val="24"/>
        </w:rPr>
        <w:t>根据《建设项目主要污染物排放总量指标审核及管理暂行办法》（环发[2014]197号），现阶段主要污染物包括化学需氧量、氨氮、二氧化硫、氮氧化物、烟粉尘、挥发性有机物（VOCs）、五类重点重金属（铬、镉、铅、汞、砷）。</w:t>
      </w:r>
    </w:p>
    <w:p w14:paraId="26A4AC3D">
      <w:pPr>
        <w:pStyle w:val="76"/>
        <w:autoSpaceDE w:val="0"/>
        <w:autoSpaceDN w:val="0"/>
        <w:spacing w:line="360" w:lineRule="auto"/>
        <w:ind w:firstLine="456" w:firstLineChars="200"/>
        <w:jc w:val="left"/>
        <w:rPr>
          <w:rFonts w:hint="default" w:ascii="Arial" w:hAnsi="Arial" w:eastAsia="宋体" w:cs="Arial"/>
          <w:spacing w:val="-6"/>
          <w:sz w:val="24"/>
          <w:szCs w:val="24"/>
        </w:rPr>
      </w:pPr>
    </w:p>
    <w:p w14:paraId="3EC1309A">
      <w:pPr>
        <w:pStyle w:val="76"/>
        <w:numPr>
          <w:ilvl w:val="2"/>
          <w:numId w:val="5"/>
        </w:numPr>
        <w:spacing w:line="360" w:lineRule="auto"/>
        <w:ind w:left="210" w:leftChars="0" w:firstLine="0" w:firstLineChars="0"/>
        <w:outlineLvl w:val="2"/>
        <w:rPr>
          <w:rFonts w:hint="default" w:ascii="Arial" w:hAnsi="Arial" w:eastAsia="宋体" w:cs="Arial"/>
          <w:b/>
          <w:bCs/>
          <w:sz w:val="24"/>
          <w:szCs w:val="24"/>
        </w:rPr>
      </w:pPr>
      <w:r>
        <w:rPr>
          <w:rFonts w:hint="default" w:ascii="Arial" w:hAnsi="Arial" w:eastAsia="宋体" w:cs="Arial"/>
          <w:b/>
          <w:bCs/>
          <w:sz w:val="24"/>
          <w:szCs w:val="24"/>
          <w:lang w:val="en-GB"/>
        </w:rPr>
        <w:t>总量控制指标</w:t>
      </w:r>
    </w:p>
    <w:p w14:paraId="69BC69C1">
      <w:pPr>
        <w:pStyle w:val="76"/>
        <w:autoSpaceDE w:val="0"/>
        <w:autoSpaceDN w:val="0"/>
        <w:spacing w:line="360" w:lineRule="auto"/>
        <w:ind w:firstLine="480" w:firstLineChars="200"/>
        <w:jc w:val="left"/>
        <w:rPr>
          <w:rFonts w:hint="default" w:ascii="Arial" w:hAnsi="Arial" w:eastAsia="宋体" w:cs="Arial"/>
          <w:sz w:val="24"/>
          <w:szCs w:val="24"/>
        </w:rPr>
      </w:pPr>
      <w:r>
        <w:rPr>
          <w:rFonts w:hint="default" w:ascii="Arial" w:hAnsi="Arial" w:eastAsia="宋体" w:cs="Arial"/>
          <w:sz w:val="24"/>
          <w:szCs w:val="24"/>
        </w:rPr>
        <w:t>根据本项目工程分析，项目</w:t>
      </w:r>
      <w:r>
        <w:rPr>
          <w:rFonts w:hint="default" w:ascii="Arial" w:hAnsi="Arial" w:eastAsia="宋体" w:cs="Arial"/>
          <w:sz w:val="24"/>
          <w:szCs w:val="24"/>
          <w:lang w:val="en-US" w:eastAsia="zh-CN"/>
        </w:rPr>
        <w:t>实施后</w:t>
      </w:r>
      <w:r>
        <w:rPr>
          <w:rFonts w:hint="default" w:ascii="Arial" w:hAnsi="Arial" w:eastAsia="宋体" w:cs="Arial"/>
          <w:sz w:val="24"/>
          <w:szCs w:val="24"/>
        </w:rPr>
        <w:t>三废产排情况如表3-</w:t>
      </w:r>
      <w:r>
        <w:rPr>
          <w:rFonts w:hint="default" w:ascii="Arial" w:hAnsi="Arial" w:eastAsia="宋体" w:cs="Arial"/>
          <w:sz w:val="24"/>
          <w:szCs w:val="24"/>
          <w:lang w:val="en-US" w:eastAsia="zh-CN"/>
        </w:rPr>
        <w:t>7</w:t>
      </w:r>
      <w:r>
        <w:rPr>
          <w:rFonts w:hint="default" w:ascii="Arial" w:hAnsi="Arial" w:eastAsia="宋体" w:cs="Arial"/>
          <w:sz w:val="24"/>
          <w:szCs w:val="24"/>
        </w:rPr>
        <w:t>所示。</w:t>
      </w:r>
    </w:p>
    <w:p w14:paraId="5CA6EE90">
      <w:pPr>
        <w:pStyle w:val="76"/>
        <w:numPr>
          <w:ilvl w:val="3"/>
          <w:numId w:val="5"/>
        </w:numPr>
        <w:ind w:left="777" w:leftChars="0" w:firstLine="482"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项目</w:t>
      </w:r>
      <w:r>
        <w:rPr>
          <w:rFonts w:hint="default" w:ascii="Arial" w:hAnsi="Arial" w:eastAsia="宋体" w:cs="Arial"/>
          <w:b/>
          <w:bCs/>
          <w:sz w:val="24"/>
          <w:szCs w:val="24"/>
          <w:lang w:val="en-US" w:eastAsia="zh-CN"/>
        </w:rPr>
        <w:t>实施后</w:t>
      </w:r>
      <w:r>
        <w:rPr>
          <w:rFonts w:hint="default" w:ascii="Arial" w:hAnsi="Arial" w:eastAsia="宋体" w:cs="Arial"/>
          <w:b/>
          <w:bCs/>
          <w:sz w:val="24"/>
          <w:szCs w:val="24"/>
        </w:rPr>
        <w:t>三废产排情况汇总表</w:t>
      </w:r>
    </w:p>
    <w:tbl>
      <w:tblPr>
        <w:tblStyle w:val="5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713"/>
        <w:gridCol w:w="1548"/>
        <w:gridCol w:w="1703"/>
        <w:gridCol w:w="1703"/>
      </w:tblGrid>
      <w:tr w14:paraId="2E58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984" w:type="dxa"/>
            <w:gridSpan w:val="2"/>
            <w:vAlign w:val="center"/>
          </w:tcPr>
          <w:p w14:paraId="4F250C75">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污染物</w:t>
            </w:r>
          </w:p>
        </w:tc>
        <w:tc>
          <w:tcPr>
            <w:tcW w:w="1548" w:type="dxa"/>
            <w:vAlign w:val="center"/>
          </w:tcPr>
          <w:p w14:paraId="1043E1DA">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产生量（t/a）</w:t>
            </w:r>
          </w:p>
        </w:tc>
        <w:tc>
          <w:tcPr>
            <w:tcW w:w="1703" w:type="dxa"/>
            <w:vAlign w:val="center"/>
          </w:tcPr>
          <w:p w14:paraId="5E275099">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削减量（t/a）</w:t>
            </w:r>
          </w:p>
        </w:tc>
        <w:tc>
          <w:tcPr>
            <w:tcW w:w="1703" w:type="dxa"/>
            <w:vAlign w:val="center"/>
          </w:tcPr>
          <w:p w14:paraId="07951307">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环境排放量（t/a）</w:t>
            </w:r>
          </w:p>
        </w:tc>
      </w:tr>
      <w:tr w14:paraId="5C55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Align w:val="center"/>
          </w:tcPr>
          <w:p w14:paraId="34EA0F75">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废气</w:t>
            </w:r>
          </w:p>
        </w:tc>
        <w:tc>
          <w:tcPr>
            <w:tcW w:w="1713" w:type="dxa"/>
            <w:vAlign w:val="center"/>
          </w:tcPr>
          <w:p w14:paraId="1CFB631A">
            <w:pPr>
              <w:keepNext w:val="0"/>
              <w:keepLines w:val="0"/>
              <w:suppressLineNumbers w:val="0"/>
              <w:spacing w:before="0" w:beforeAutospacing="0" w:after="0" w:afterAutospacing="0" w:line="280" w:lineRule="exact"/>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颗粒物</w:t>
            </w:r>
          </w:p>
        </w:tc>
        <w:tc>
          <w:tcPr>
            <w:tcW w:w="1548" w:type="dxa"/>
            <w:vAlign w:val="center"/>
          </w:tcPr>
          <w:p w14:paraId="551325E1">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9.548</w:t>
            </w:r>
          </w:p>
        </w:tc>
        <w:tc>
          <w:tcPr>
            <w:tcW w:w="1703" w:type="dxa"/>
            <w:vAlign w:val="center"/>
          </w:tcPr>
          <w:p w14:paraId="776D7B4B">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9.17</w:t>
            </w:r>
          </w:p>
        </w:tc>
        <w:tc>
          <w:tcPr>
            <w:tcW w:w="1703" w:type="dxa"/>
            <w:vAlign w:val="center"/>
          </w:tcPr>
          <w:p w14:paraId="35436F17">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0.378</w:t>
            </w:r>
          </w:p>
        </w:tc>
      </w:tr>
      <w:tr w14:paraId="6E89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restart"/>
            <w:vAlign w:val="center"/>
          </w:tcPr>
          <w:p w14:paraId="22AB2790">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生活污水</w:t>
            </w:r>
          </w:p>
        </w:tc>
        <w:tc>
          <w:tcPr>
            <w:tcW w:w="1713" w:type="dxa"/>
            <w:vAlign w:val="center"/>
          </w:tcPr>
          <w:p w14:paraId="6D75BE38">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kern w:val="0"/>
                <w:szCs w:val="21"/>
              </w:rPr>
              <w:t>废水量</w:t>
            </w:r>
          </w:p>
        </w:tc>
        <w:tc>
          <w:tcPr>
            <w:tcW w:w="1548" w:type="dxa"/>
            <w:vAlign w:val="center"/>
          </w:tcPr>
          <w:p w14:paraId="52219C7A">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300</w:t>
            </w:r>
          </w:p>
        </w:tc>
        <w:tc>
          <w:tcPr>
            <w:tcW w:w="1703" w:type="dxa"/>
            <w:vAlign w:val="center"/>
          </w:tcPr>
          <w:p w14:paraId="3D1E2B7A">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0</w:t>
            </w:r>
          </w:p>
        </w:tc>
        <w:tc>
          <w:tcPr>
            <w:tcW w:w="1703" w:type="dxa"/>
            <w:vAlign w:val="center"/>
          </w:tcPr>
          <w:p w14:paraId="191FCBCC">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300</w:t>
            </w:r>
          </w:p>
        </w:tc>
      </w:tr>
      <w:tr w14:paraId="41F7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71750B82">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vAlign w:val="center"/>
          </w:tcPr>
          <w:p w14:paraId="2F237B7A">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kern w:val="0"/>
                <w:szCs w:val="21"/>
              </w:rPr>
              <w:t>COD</w:t>
            </w:r>
            <w:r>
              <w:rPr>
                <w:rFonts w:hint="default" w:ascii="Arial" w:hAnsi="Arial" w:eastAsia="宋体" w:cs="Arial"/>
                <w:kern w:val="0"/>
                <w:szCs w:val="21"/>
                <w:vertAlign w:val="subscript"/>
              </w:rPr>
              <w:t>Cr</w:t>
            </w:r>
          </w:p>
        </w:tc>
        <w:tc>
          <w:tcPr>
            <w:tcW w:w="1548" w:type="dxa"/>
            <w:vAlign w:val="center"/>
          </w:tcPr>
          <w:p w14:paraId="7EFBE44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eastAsia" w:ascii="Arial" w:hAnsi="Arial" w:eastAsia="宋体" w:cs="Arial"/>
                <w:szCs w:val="21"/>
                <w:lang w:val="en-US" w:eastAsia="zh-CN"/>
              </w:rPr>
              <w:t>0.09</w:t>
            </w:r>
          </w:p>
        </w:tc>
        <w:tc>
          <w:tcPr>
            <w:tcW w:w="1703" w:type="dxa"/>
            <w:vAlign w:val="center"/>
          </w:tcPr>
          <w:p w14:paraId="7B0A7A9E">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eastAsia" w:ascii="Arial" w:hAnsi="Arial" w:eastAsia="宋体" w:cs="Arial"/>
                <w:kern w:val="0"/>
                <w:szCs w:val="21"/>
                <w:lang w:val="en-US" w:eastAsia="zh-CN"/>
              </w:rPr>
              <w:t>0.078</w:t>
            </w:r>
          </w:p>
        </w:tc>
        <w:tc>
          <w:tcPr>
            <w:tcW w:w="1703" w:type="dxa"/>
            <w:vAlign w:val="center"/>
          </w:tcPr>
          <w:p w14:paraId="523CAB3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rPr>
            </w:pPr>
            <w:r>
              <w:rPr>
                <w:rFonts w:hint="default" w:ascii="Arial" w:hAnsi="Arial" w:eastAsia="宋体" w:cs="Arial"/>
                <w:i w:val="0"/>
                <w:iCs w:val="0"/>
                <w:color w:val="000000"/>
                <w:kern w:val="0"/>
                <w:sz w:val="21"/>
                <w:szCs w:val="21"/>
                <w:u w:val="none"/>
                <w:lang w:val="en-US" w:eastAsia="zh-CN" w:bidi="ar"/>
              </w:rPr>
              <w:t>0.</w:t>
            </w:r>
            <w:r>
              <w:rPr>
                <w:rFonts w:hint="eastAsia" w:ascii="Arial" w:hAnsi="Arial" w:eastAsia="宋体" w:cs="Arial"/>
                <w:i w:val="0"/>
                <w:iCs w:val="0"/>
                <w:color w:val="000000"/>
                <w:kern w:val="0"/>
                <w:sz w:val="21"/>
                <w:szCs w:val="21"/>
                <w:u w:val="none"/>
                <w:lang w:val="en-US" w:eastAsia="zh-CN" w:bidi="ar"/>
              </w:rPr>
              <w:t>012</w:t>
            </w:r>
          </w:p>
        </w:tc>
      </w:tr>
      <w:tr w14:paraId="168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7AB20909">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vAlign w:val="center"/>
          </w:tcPr>
          <w:p w14:paraId="006A910D">
            <w:pPr>
              <w:keepNext w:val="0"/>
              <w:keepLines w:val="0"/>
              <w:suppressLineNumbers w:val="0"/>
              <w:spacing w:before="0" w:beforeAutospacing="0" w:after="0" w:afterAutospacing="0" w:line="280" w:lineRule="exact"/>
              <w:ind w:left="0" w:right="0"/>
              <w:jc w:val="center"/>
              <w:rPr>
                <w:rFonts w:hint="default" w:ascii="Arial" w:hAnsi="Arial" w:eastAsia="宋体" w:cs="Arial"/>
                <w:kern w:val="0"/>
                <w:szCs w:val="21"/>
              </w:rPr>
            </w:pPr>
            <w:r>
              <w:rPr>
                <w:rFonts w:hint="default" w:ascii="Arial" w:hAnsi="Arial" w:eastAsia="宋体" w:cs="Arial"/>
                <w:kern w:val="0"/>
                <w:szCs w:val="21"/>
              </w:rPr>
              <w:t>氨氮</w:t>
            </w:r>
          </w:p>
        </w:tc>
        <w:tc>
          <w:tcPr>
            <w:tcW w:w="1548" w:type="dxa"/>
            <w:vAlign w:val="center"/>
          </w:tcPr>
          <w:p w14:paraId="70497DE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0"/>
                <w:szCs w:val="21"/>
                <w:lang w:val="en-US"/>
              </w:rPr>
            </w:pPr>
            <w:r>
              <w:rPr>
                <w:rFonts w:hint="default" w:ascii="Arial" w:hAnsi="Arial" w:eastAsia="宋体" w:cs="Arial"/>
                <w:i w:val="0"/>
                <w:iCs w:val="0"/>
                <w:color w:val="000000"/>
                <w:kern w:val="0"/>
                <w:sz w:val="21"/>
                <w:szCs w:val="21"/>
                <w:u w:val="none"/>
                <w:lang w:val="en-US" w:eastAsia="zh-CN" w:bidi="ar"/>
              </w:rPr>
              <w:t>0.</w:t>
            </w:r>
            <w:r>
              <w:rPr>
                <w:rFonts w:hint="eastAsia" w:ascii="Arial" w:hAnsi="Arial" w:eastAsia="宋体" w:cs="Arial"/>
                <w:i w:val="0"/>
                <w:iCs w:val="0"/>
                <w:color w:val="000000"/>
                <w:kern w:val="0"/>
                <w:sz w:val="21"/>
                <w:szCs w:val="21"/>
                <w:u w:val="none"/>
                <w:lang w:val="en-US" w:eastAsia="zh-CN" w:bidi="ar"/>
              </w:rPr>
              <w:t>008</w:t>
            </w:r>
          </w:p>
        </w:tc>
        <w:tc>
          <w:tcPr>
            <w:tcW w:w="1703" w:type="dxa"/>
            <w:vAlign w:val="center"/>
          </w:tcPr>
          <w:p w14:paraId="02A6BD17">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0.007</w:t>
            </w:r>
          </w:p>
        </w:tc>
        <w:tc>
          <w:tcPr>
            <w:tcW w:w="1703" w:type="dxa"/>
            <w:vAlign w:val="center"/>
          </w:tcPr>
          <w:p w14:paraId="1354699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0"/>
                <w:szCs w:val="21"/>
                <w:lang w:val="en-US"/>
              </w:rPr>
            </w:pPr>
            <w:r>
              <w:rPr>
                <w:rFonts w:hint="default" w:ascii="Arial" w:hAnsi="Arial" w:eastAsia="宋体" w:cs="Arial"/>
                <w:i w:val="0"/>
                <w:iCs w:val="0"/>
                <w:color w:val="000000"/>
                <w:kern w:val="0"/>
                <w:sz w:val="21"/>
                <w:szCs w:val="21"/>
                <w:u w:val="none"/>
                <w:lang w:val="en-US" w:eastAsia="zh-CN" w:bidi="ar"/>
              </w:rPr>
              <w:t>0.0</w:t>
            </w:r>
            <w:r>
              <w:rPr>
                <w:rFonts w:hint="eastAsia" w:ascii="Arial" w:hAnsi="Arial" w:eastAsia="宋体" w:cs="Arial"/>
                <w:i w:val="0"/>
                <w:iCs w:val="0"/>
                <w:color w:val="000000"/>
                <w:kern w:val="0"/>
                <w:sz w:val="21"/>
                <w:szCs w:val="21"/>
                <w:u w:val="none"/>
                <w:lang w:val="en-US" w:eastAsia="zh-CN" w:bidi="ar"/>
              </w:rPr>
              <w:t>01</w:t>
            </w:r>
          </w:p>
        </w:tc>
      </w:tr>
      <w:tr w14:paraId="1D46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restart"/>
            <w:vAlign w:val="center"/>
          </w:tcPr>
          <w:p w14:paraId="22FCDE3B">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固废</w:t>
            </w:r>
          </w:p>
        </w:tc>
        <w:tc>
          <w:tcPr>
            <w:tcW w:w="1713" w:type="dxa"/>
            <w:shd w:val="clear" w:color="auto" w:fill="auto"/>
            <w:vAlign w:val="center"/>
          </w:tcPr>
          <w:p w14:paraId="43B87B1F">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废一般包装材料</w:t>
            </w:r>
          </w:p>
        </w:tc>
        <w:tc>
          <w:tcPr>
            <w:tcW w:w="1548" w:type="dxa"/>
            <w:shd w:val="clear" w:color="auto" w:fill="auto"/>
            <w:vAlign w:val="center"/>
          </w:tcPr>
          <w:p w14:paraId="7639F634">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w:t>
            </w:r>
          </w:p>
        </w:tc>
        <w:tc>
          <w:tcPr>
            <w:tcW w:w="1703" w:type="dxa"/>
            <w:shd w:val="clear" w:color="auto" w:fill="auto"/>
            <w:vAlign w:val="center"/>
          </w:tcPr>
          <w:p w14:paraId="028E8AD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w:t>
            </w:r>
          </w:p>
        </w:tc>
        <w:tc>
          <w:tcPr>
            <w:tcW w:w="1703" w:type="dxa"/>
            <w:vAlign w:val="center"/>
          </w:tcPr>
          <w:p w14:paraId="04EB198F">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6FAC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1271" w:type="dxa"/>
            <w:vMerge w:val="continue"/>
            <w:vAlign w:val="center"/>
          </w:tcPr>
          <w:p w14:paraId="60EAE230">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72065C9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548" w:type="dxa"/>
            <w:shd w:val="clear" w:color="auto" w:fill="auto"/>
            <w:vAlign w:val="center"/>
          </w:tcPr>
          <w:p w14:paraId="482F16AB">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310</w:t>
            </w:r>
          </w:p>
        </w:tc>
        <w:tc>
          <w:tcPr>
            <w:tcW w:w="1703" w:type="dxa"/>
            <w:shd w:val="clear" w:color="auto" w:fill="auto"/>
            <w:vAlign w:val="center"/>
          </w:tcPr>
          <w:p w14:paraId="54CF24A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310</w:t>
            </w:r>
          </w:p>
        </w:tc>
        <w:tc>
          <w:tcPr>
            <w:tcW w:w="1703" w:type="dxa"/>
            <w:vAlign w:val="center"/>
          </w:tcPr>
          <w:p w14:paraId="103431B3">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62A9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4FD39A65">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42E8CCC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布袋收尘</w:t>
            </w:r>
          </w:p>
        </w:tc>
        <w:tc>
          <w:tcPr>
            <w:tcW w:w="1548" w:type="dxa"/>
            <w:shd w:val="clear" w:color="auto" w:fill="auto"/>
            <w:vAlign w:val="center"/>
          </w:tcPr>
          <w:p w14:paraId="212E5AF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9.17</w:t>
            </w:r>
          </w:p>
        </w:tc>
        <w:tc>
          <w:tcPr>
            <w:tcW w:w="1703" w:type="dxa"/>
            <w:shd w:val="clear" w:color="auto" w:fill="auto"/>
            <w:vAlign w:val="center"/>
          </w:tcPr>
          <w:p w14:paraId="0EAD3991">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9.17</w:t>
            </w:r>
          </w:p>
        </w:tc>
        <w:tc>
          <w:tcPr>
            <w:tcW w:w="1703" w:type="dxa"/>
            <w:vAlign w:val="center"/>
          </w:tcPr>
          <w:p w14:paraId="33000DA2">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4D82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5FEE83AF">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1EF09CB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废钢丸</w:t>
            </w:r>
          </w:p>
        </w:tc>
        <w:tc>
          <w:tcPr>
            <w:tcW w:w="1548" w:type="dxa"/>
            <w:shd w:val="clear" w:color="auto" w:fill="auto"/>
            <w:vAlign w:val="center"/>
          </w:tcPr>
          <w:p w14:paraId="6048BE12">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c>
          <w:tcPr>
            <w:tcW w:w="1703" w:type="dxa"/>
            <w:shd w:val="clear" w:color="auto" w:fill="auto"/>
            <w:vAlign w:val="center"/>
          </w:tcPr>
          <w:p w14:paraId="2E5B4B29">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c>
          <w:tcPr>
            <w:tcW w:w="1703" w:type="dxa"/>
            <w:vAlign w:val="center"/>
          </w:tcPr>
          <w:p w14:paraId="0A3FD98D">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7BA9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6DA8A985">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7E58ADC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废含油金属屑</w:t>
            </w:r>
          </w:p>
        </w:tc>
        <w:tc>
          <w:tcPr>
            <w:tcW w:w="1548" w:type="dxa"/>
            <w:shd w:val="clear" w:color="auto" w:fill="auto"/>
            <w:vAlign w:val="center"/>
          </w:tcPr>
          <w:p w14:paraId="6BF485C0">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c>
          <w:tcPr>
            <w:tcW w:w="1703" w:type="dxa"/>
            <w:shd w:val="clear" w:color="auto" w:fill="auto"/>
            <w:vAlign w:val="center"/>
          </w:tcPr>
          <w:p w14:paraId="00A518E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c>
          <w:tcPr>
            <w:tcW w:w="1703" w:type="dxa"/>
            <w:vAlign w:val="center"/>
          </w:tcPr>
          <w:p w14:paraId="0F309FD7">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6396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0C7396E3">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584BF4DF">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废切削液</w:t>
            </w:r>
          </w:p>
        </w:tc>
        <w:tc>
          <w:tcPr>
            <w:tcW w:w="1548" w:type="dxa"/>
            <w:shd w:val="clear" w:color="auto" w:fill="auto"/>
            <w:vAlign w:val="center"/>
          </w:tcPr>
          <w:p w14:paraId="6DA20DA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3</w:t>
            </w:r>
          </w:p>
        </w:tc>
        <w:tc>
          <w:tcPr>
            <w:tcW w:w="1703" w:type="dxa"/>
            <w:shd w:val="clear" w:color="auto" w:fill="auto"/>
            <w:vAlign w:val="center"/>
          </w:tcPr>
          <w:p w14:paraId="0C1906E0">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3</w:t>
            </w:r>
          </w:p>
        </w:tc>
        <w:tc>
          <w:tcPr>
            <w:tcW w:w="1703" w:type="dxa"/>
            <w:vAlign w:val="center"/>
          </w:tcPr>
          <w:p w14:paraId="5C128E18">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38CD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00387195">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0BF37A9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废</w:t>
            </w:r>
            <w:r>
              <w:rPr>
                <w:rFonts w:hint="default" w:ascii="Arial" w:hAnsi="Arial" w:eastAsia="宋体" w:cs="Arial"/>
                <w:sz w:val="21"/>
                <w:szCs w:val="21"/>
                <w:lang w:val="en-US" w:eastAsia="zh-CN"/>
              </w:rPr>
              <w:t>化学品包装</w:t>
            </w:r>
          </w:p>
        </w:tc>
        <w:tc>
          <w:tcPr>
            <w:tcW w:w="1548" w:type="dxa"/>
            <w:shd w:val="clear" w:color="auto" w:fill="auto"/>
            <w:vAlign w:val="center"/>
          </w:tcPr>
          <w:p w14:paraId="7A1973B1">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0.2</w:t>
            </w:r>
          </w:p>
        </w:tc>
        <w:tc>
          <w:tcPr>
            <w:tcW w:w="1703" w:type="dxa"/>
            <w:shd w:val="clear" w:color="auto" w:fill="auto"/>
            <w:vAlign w:val="center"/>
          </w:tcPr>
          <w:p w14:paraId="5A9B395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0.2</w:t>
            </w:r>
          </w:p>
        </w:tc>
        <w:tc>
          <w:tcPr>
            <w:tcW w:w="1703" w:type="dxa"/>
            <w:vAlign w:val="center"/>
          </w:tcPr>
          <w:p w14:paraId="25754791">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7C58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7D2A8381">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5A738647">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清洗废液</w:t>
            </w:r>
          </w:p>
        </w:tc>
        <w:tc>
          <w:tcPr>
            <w:tcW w:w="1548" w:type="dxa"/>
            <w:shd w:val="clear" w:color="auto" w:fill="auto"/>
            <w:vAlign w:val="center"/>
          </w:tcPr>
          <w:p w14:paraId="5FA23E5A">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c>
          <w:tcPr>
            <w:tcW w:w="1703" w:type="dxa"/>
            <w:shd w:val="clear" w:color="auto" w:fill="auto"/>
            <w:vAlign w:val="center"/>
          </w:tcPr>
          <w:p w14:paraId="7A3B482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c>
          <w:tcPr>
            <w:tcW w:w="1703" w:type="dxa"/>
            <w:vAlign w:val="center"/>
          </w:tcPr>
          <w:p w14:paraId="6F8D2F24">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3761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3576C842">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7E8102DB">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废探伤液</w:t>
            </w:r>
          </w:p>
        </w:tc>
        <w:tc>
          <w:tcPr>
            <w:tcW w:w="1548" w:type="dxa"/>
            <w:shd w:val="clear" w:color="auto" w:fill="auto"/>
            <w:vAlign w:val="center"/>
          </w:tcPr>
          <w:p w14:paraId="2D62B959">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0.5</w:t>
            </w:r>
          </w:p>
        </w:tc>
        <w:tc>
          <w:tcPr>
            <w:tcW w:w="1703" w:type="dxa"/>
            <w:shd w:val="clear" w:color="auto" w:fill="auto"/>
            <w:vAlign w:val="center"/>
          </w:tcPr>
          <w:p w14:paraId="32A0ABD3">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0.5</w:t>
            </w:r>
          </w:p>
        </w:tc>
        <w:tc>
          <w:tcPr>
            <w:tcW w:w="1703" w:type="dxa"/>
            <w:vAlign w:val="center"/>
          </w:tcPr>
          <w:p w14:paraId="157684AA">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37E9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3A1722E9">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17BD189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eastAsia" w:ascii="Arial" w:hAnsi="Arial" w:eastAsia="宋体" w:cs="Arial"/>
                <w:bCs/>
                <w:sz w:val="21"/>
                <w:szCs w:val="21"/>
                <w:lang w:val="en-US" w:eastAsia="zh-CN"/>
              </w:rPr>
              <w:t>光饰机清灰</w:t>
            </w:r>
          </w:p>
        </w:tc>
        <w:tc>
          <w:tcPr>
            <w:tcW w:w="1548" w:type="dxa"/>
            <w:shd w:val="clear" w:color="auto" w:fill="auto"/>
            <w:vAlign w:val="center"/>
          </w:tcPr>
          <w:p w14:paraId="1B48B968">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4.25</w:t>
            </w:r>
          </w:p>
        </w:tc>
        <w:tc>
          <w:tcPr>
            <w:tcW w:w="1703" w:type="dxa"/>
            <w:shd w:val="clear" w:color="auto" w:fill="auto"/>
            <w:vAlign w:val="center"/>
          </w:tcPr>
          <w:p w14:paraId="0F84323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4.25</w:t>
            </w:r>
          </w:p>
        </w:tc>
        <w:tc>
          <w:tcPr>
            <w:tcW w:w="1703" w:type="dxa"/>
            <w:vAlign w:val="center"/>
          </w:tcPr>
          <w:p w14:paraId="27FE8764">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356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4DD11C10">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0B4B07B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eastAsia" w:ascii="Arial" w:hAnsi="Arial" w:eastAsia="宋体" w:cs="Arial"/>
                <w:bCs/>
                <w:sz w:val="21"/>
                <w:szCs w:val="21"/>
                <w:lang w:val="en-US" w:eastAsia="zh-CN"/>
              </w:rPr>
              <w:t>废磨料</w:t>
            </w:r>
          </w:p>
        </w:tc>
        <w:tc>
          <w:tcPr>
            <w:tcW w:w="1548" w:type="dxa"/>
            <w:shd w:val="clear" w:color="auto" w:fill="auto"/>
            <w:vAlign w:val="center"/>
          </w:tcPr>
          <w:p w14:paraId="7141150F">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w:t>
            </w:r>
          </w:p>
        </w:tc>
        <w:tc>
          <w:tcPr>
            <w:tcW w:w="1703" w:type="dxa"/>
            <w:shd w:val="clear" w:color="auto" w:fill="auto"/>
            <w:vAlign w:val="center"/>
          </w:tcPr>
          <w:p w14:paraId="06F7EF1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w:t>
            </w:r>
          </w:p>
        </w:tc>
        <w:tc>
          <w:tcPr>
            <w:tcW w:w="1703" w:type="dxa"/>
            <w:vAlign w:val="center"/>
          </w:tcPr>
          <w:p w14:paraId="59BBF732">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690C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Merge w:val="continue"/>
            <w:vAlign w:val="center"/>
          </w:tcPr>
          <w:p w14:paraId="500F01F1">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p>
        </w:tc>
        <w:tc>
          <w:tcPr>
            <w:tcW w:w="1713" w:type="dxa"/>
            <w:shd w:val="clear" w:color="auto" w:fill="auto"/>
            <w:vAlign w:val="center"/>
          </w:tcPr>
          <w:p w14:paraId="6CA90A51">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生活垃圾</w:t>
            </w:r>
          </w:p>
        </w:tc>
        <w:tc>
          <w:tcPr>
            <w:tcW w:w="1548" w:type="dxa"/>
            <w:shd w:val="clear" w:color="auto" w:fill="auto"/>
            <w:vAlign w:val="center"/>
          </w:tcPr>
          <w:p w14:paraId="21EAE282">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c>
          <w:tcPr>
            <w:tcW w:w="1703" w:type="dxa"/>
            <w:shd w:val="clear" w:color="auto" w:fill="auto"/>
            <w:vAlign w:val="center"/>
          </w:tcPr>
          <w:p w14:paraId="19329D3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c>
          <w:tcPr>
            <w:tcW w:w="1703" w:type="dxa"/>
            <w:vAlign w:val="center"/>
          </w:tcPr>
          <w:p w14:paraId="25ED23F1">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w:t>
            </w:r>
          </w:p>
        </w:tc>
      </w:tr>
      <w:tr w14:paraId="4E9D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71" w:type="dxa"/>
            <w:vAlign w:val="center"/>
          </w:tcPr>
          <w:p w14:paraId="7C519E22">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噪声</w:t>
            </w:r>
          </w:p>
        </w:tc>
        <w:tc>
          <w:tcPr>
            <w:tcW w:w="6667" w:type="dxa"/>
            <w:gridSpan w:val="4"/>
            <w:vAlign w:val="center"/>
          </w:tcPr>
          <w:p w14:paraId="5F554EB1">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各类生产、动力设备运行噪声</w:t>
            </w:r>
          </w:p>
        </w:tc>
      </w:tr>
    </w:tbl>
    <w:p w14:paraId="4D4E32B9">
      <w:pPr>
        <w:pStyle w:val="76"/>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bCs/>
          <w:sz w:val="24"/>
          <w:szCs w:val="24"/>
        </w:rPr>
        <w:t>项目实施后全厂污染物排放总量控制建议值</w:t>
      </w:r>
      <w:r>
        <w:rPr>
          <w:rFonts w:hint="default" w:ascii="Arial" w:hAnsi="Arial" w:eastAsia="宋体" w:cs="Arial"/>
          <w:bCs/>
          <w:color w:val="auto"/>
          <w:sz w:val="24"/>
          <w:szCs w:val="24"/>
        </w:rPr>
        <w:t>为：</w:t>
      </w:r>
      <w:r>
        <w:rPr>
          <w:rFonts w:hint="default" w:ascii="Arial" w:hAnsi="Arial" w:eastAsia="宋体" w:cs="Arial"/>
          <w:bCs/>
          <w:color w:val="000000" w:themeColor="text1"/>
          <w:sz w:val="24"/>
          <w:szCs w:val="24"/>
          <w:lang w:val="en-US" w:eastAsia="zh-CN"/>
          <w14:textFill>
            <w14:solidFill>
              <w14:schemeClr w14:val="tx1"/>
            </w14:solidFill>
          </w14:textFill>
        </w:rPr>
        <w:t>颗粒物</w:t>
      </w:r>
      <w:r>
        <w:rPr>
          <w:rFonts w:hint="eastAsia" w:ascii="Arial" w:hAnsi="Arial" w:eastAsia="宋体" w:cs="Arial"/>
          <w:bCs/>
          <w:color w:val="000000" w:themeColor="text1"/>
          <w:sz w:val="24"/>
          <w:szCs w:val="24"/>
          <w:lang w:val="en-US" w:eastAsia="zh-CN"/>
          <w14:textFill>
            <w14:solidFill>
              <w14:schemeClr w14:val="tx1"/>
            </w14:solidFill>
          </w14:textFill>
        </w:rPr>
        <w:t>0.378</w:t>
      </w:r>
      <w:r>
        <w:rPr>
          <w:rFonts w:hint="default" w:ascii="Arial" w:hAnsi="Arial" w:eastAsia="宋体" w:cs="Arial"/>
          <w:bCs/>
          <w:color w:val="000000" w:themeColor="text1"/>
          <w:sz w:val="24"/>
          <w:szCs w:val="24"/>
          <w:lang w:val="en-US" w:eastAsia="zh-CN"/>
          <w14:textFill>
            <w14:solidFill>
              <w14:schemeClr w14:val="tx1"/>
            </w14:solidFill>
          </w14:textFill>
        </w:rPr>
        <w:t>t/a</w:t>
      </w:r>
      <w:r>
        <w:rPr>
          <w:rFonts w:hint="default" w:ascii="Arial" w:hAnsi="Arial" w:eastAsia="宋体" w:cs="Arial"/>
          <w:bCs/>
          <w:color w:val="000000" w:themeColor="text1"/>
          <w:sz w:val="24"/>
          <w:szCs w:val="24"/>
          <w14:textFill>
            <w14:solidFill>
              <w14:schemeClr w14:val="tx1"/>
            </w14:solidFill>
          </w14:textFill>
        </w:rPr>
        <w:t>。</w:t>
      </w:r>
    </w:p>
    <w:p w14:paraId="30C350C3">
      <w:pPr>
        <w:pStyle w:val="76"/>
        <w:keepNext w:val="0"/>
        <w:keepLines w:val="0"/>
        <w:pageBreakBefore w:val="0"/>
        <w:widowControl w:val="0"/>
        <w:numPr>
          <w:ilvl w:val="2"/>
          <w:numId w:val="5"/>
        </w:numPr>
        <w:kinsoku/>
        <w:wordWrap/>
        <w:overflowPunct/>
        <w:topLinePunct w:val="0"/>
        <w:bidi w:val="0"/>
        <w:adjustRightInd/>
        <w:snapToGrid/>
        <w:spacing w:line="360" w:lineRule="auto"/>
        <w:ind w:left="105" w:leftChars="50" w:firstLine="0" w:firstLineChars="0"/>
        <w:textAlignment w:val="auto"/>
        <w:outlineLvl w:val="2"/>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lang w:val="en-GB"/>
          <w14:textFill>
            <w14:solidFill>
              <w14:schemeClr w14:val="tx1"/>
            </w14:solidFill>
          </w14:textFill>
        </w:rPr>
        <w:t>总量平衡方案</w:t>
      </w:r>
    </w:p>
    <w:p w14:paraId="65C72D90">
      <w:pPr>
        <w:pStyle w:val="76"/>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auto"/>
          <w:sz w:val="24"/>
          <w:highlight w:val="none"/>
        </w:rPr>
      </w:pPr>
      <w:r>
        <w:rPr>
          <w:rFonts w:hint="default" w:ascii="Arial" w:hAnsi="Arial" w:eastAsia="宋体" w:cs="Arial"/>
          <w:bCs/>
          <w:color w:val="auto"/>
          <w:sz w:val="24"/>
          <w:highlight w:val="none"/>
        </w:rPr>
        <w:t>根据浙江省现有总量控制要求，主要污染物总量控制种类包括：化学需氧量、氨氮、二氧化硫、氮氧化物、工业烟粉尘、挥发性有机物和重点重金属。本项目为新建项目，无现有项目，无“以新带老”削减量。</w:t>
      </w:r>
    </w:p>
    <w:p w14:paraId="4AC87419">
      <w:pPr>
        <w:pStyle w:val="76"/>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auto"/>
          <w:sz w:val="24"/>
          <w:highlight w:val="none"/>
          <w:lang w:val="en-US" w:eastAsia="zh-CN"/>
        </w:rPr>
      </w:pPr>
      <w:r>
        <w:rPr>
          <w:rFonts w:hint="default" w:ascii="Arial" w:hAnsi="Arial" w:eastAsia="宋体" w:cs="Arial"/>
          <w:bCs/>
          <w:color w:val="auto"/>
          <w:sz w:val="24"/>
          <w:highlight w:val="none"/>
          <w:lang w:val="en-US" w:eastAsia="zh-CN"/>
        </w:rPr>
        <w:t>根据嘉兴市生态环境局平湖分局要求，仅排放职工生活污水、或其排放的职工生活污水和生产废水独立收集、分开计量的，职工生活污水新增的化学需氧量、氨氮排污指标可不纳入总量平衡范围。本项目生活污水和生产废水独立收集、分开计量，因此，本项目生活污水所排放的COD</w:t>
      </w:r>
      <w:r>
        <w:rPr>
          <w:rFonts w:hint="default" w:ascii="Arial" w:hAnsi="Arial" w:eastAsia="宋体" w:cs="Arial"/>
          <w:bCs/>
          <w:color w:val="auto"/>
          <w:sz w:val="24"/>
          <w:highlight w:val="none"/>
          <w:vertAlign w:val="subscript"/>
          <w:lang w:val="en-US" w:eastAsia="zh-CN"/>
        </w:rPr>
        <w:t>Cr</w:t>
      </w:r>
      <w:r>
        <w:rPr>
          <w:rFonts w:hint="default" w:ascii="Arial" w:hAnsi="Arial" w:eastAsia="宋体" w:cs="Arial"/>
          <w:bCs/>
          <w:color w:val="auto"/>
          <w:sz w:val="24"/>
          <w:highlight w:val="none"/>
          <w:lang w:val="en-US" w:eastAsia="zh-CN"/>
        </w:rPr>
        <w:t>、NH</w:t>
      </w:r>
      <w:r>
        <w:rPr>
          <w:rFonts w:hint="default" w:ascii="Arial" w:hAnsi="Arial" w:eastAsia="宋体" w:cs="Arial"/>
          <w:bCs/>
          <w:color w:val="auto"/>
          <w:sz w:val="24"/>
          <w:highlight w:val="none"/>
          <w:vertAlign w:val="subscript"/>
          <w:lang w:val="en-US" w:eastAsia="zh-CN"/>
        </w:rPr>
        <w:t>3</w:t>
      </w:r>
      <w:r>
        <w:rPr>
          <w:rFonts w:hint="default" w:ascii="Arial" w:hAnsi="Arial" w:eastAsia="宋体" w:cs="Arial"/>
          <w:bCs/>
          <w:color w:val="auto"/>
          <w:sz w:val="24"/>
          <w:highlight w:val="none"/>
          <w:lang w:val="en-US" w:eastAsia="zh-CN"/>
        </w:rPr>
        <w:t>-N总量无需进行平衡。</w:t>
      </w:r>
    </w:p>
    <w:p w14:paraId="3EFA82B1">
      <w:pPr>
        <w:pStyle w:val="76"/>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auto"/>
          <w:sz w:val="24"/>
          <w:highlight w:val="none"/>
        </w:rPr>
      </w:pPr>
      <w:r>
        <w:rPr>
          <w:rFonts w:hint="default" w:ascii="Arial" w:hAnsi="Arial" w:eastAsia="宋体" w:cs="Arial"/>
          <w:bCs/>
          <w:color w:val="auto"/>
          <w:sz w:val="24"/>
          <w:highlight w:val="none"/>
        </w:rPr>
        <w:t>本项目实施后，全厂污染物总量控制值为：</w:t>
      </w:r>
      <w:r>
        <w:rPr>
          <w:rFonts w:hint="default" w:ascii="Arial" w:hAnsi="Arial" w:eastAsia="宋体" w:cs="Arial"/>
          <w:bCs/>
          <w:color w:val="auto"/>
          <w:sz w:val="24"/>
          <w:highlight w:val="none"/>
          <w:lang w:val="en-US" w:eastAsia="zh-CN"/>
        </w:rPr>
        <w:t>工业烟粉尘排放量</w:t>
      </w:r>
      <w:r>
        <w:rPr>
          <w:rFonts w:hint="eastAsia" w:ascii="Arial" w:hAnsi="Arial" w:eastAsia="宋体" w:cs="Arial"/>
          <w:bCs/>
          <w:color w:val="auto"/>
          <w:sz w:val="24"/>
          <w:highlight w:val="none"/>
          <w:lang w:val="en-US" w:eastAsia="zh-CN"/>
        </w:rPr>
        <w:t>0.378</w:t>
      </w:r>
      <w:r>
        <w:rPr>
          <w:rFonts w:hint="default" w:ascii="Arial" w:hAnsi="Arial" w:eastAsia="宋体" w:cs="Arial"/>
          <w:bCs/>
          <w:color w:val="auto"/>
          <w:sz w:val="24"/>
          <w:highlight w:val="none"/>
          <w:lang w:val="en-US" w:eastAsia="zh-CN"/>
        </w:rPr>
        <w:t>t/a</w:t>
      </w:r>
      <w:r>
        <w:rPr>
          <w:rFonts w:hint="default" w:ascii="Arial" w:hAnsi="Arial" w:eastAsia="宋体" w:cs="Arial"/>
          <w:bCs/>
          <w:color w:val="auto"/>
          <w:sz w:val="24"/>
          <w:highlight w:val="none"/>
        </w:rPr>
        <w:t>。</w:t>
      </w:r>
    </w:p>
    <w:p w14:paraId="325ED2AE">
      <w:pPr>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auto"/>
          <w:sz w:val="24"/>
          <w:highlight w:val="none"/>
        </w:rPr>
      </w:pPr>
      <w:r>
        <w:rPr>
          <w:rFonts w:hint="default" w:ascii="Arial" w:hAnsi="Arial" w:eastAsia="宋体" w:cs="Arial"/>
          <w:bCs/>
          <w:color w:val="auto"/>
          <w:sz w:val="24"/>
          <w:highlight w:val="none"/>
        </w:rPr>
        <w:t>本项目实施后总量控制指标见</w:t>
      </w:r>
      <w:r>
        <w:rPr>
          <w:rFonts w:hint="default" w:ascii="Arial" w:hAnsi="Arial" w:eastAsia="宋体" w:cs="Arial"/>
          <w:bCs/>
          <w:color w:val="auto"/>
          <w:sz w:val="24"/>
          <w:highlight w:val="none"/>
          <w:lang w:val="en-US" w:eastAsia="zh-CN"/>
        </w:rPr>
        <w:t>下</w:t>
      </w:r>
      <w:r>
        <w:rPr>
          <w:rFonts w:hint="default" w:ascii="Arial" w:hAnsi="Arial" w:eastAsia="宋体" w:cs="Arial"/>
          <w:bCs/>
          <w:color w:val="auto"/>
          <w:sz w:val="24"/>
          <w:highlight w:val="none"/>
        </w:rPr>
        <w:t>表。</w:t>
      </w:r>
    </w:p>
    <w:p w14:paraId="68BA09AF">
      <w:pPr>
        <w:pStyle w:val="76"/>
        <w:numPr>
          <w:ilvl w:val="3"/>
          <w:numId w:val="5"/>
        </w:numPr>
        <w:ind w:left="777" w:leftChars="0" w:firstLine="482"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w:t>
      </w:r>
      <w:r>
        <w:rPr>
          <w:rFonts w:hint="default" w:ascii="Arial" w:hAnsi="Arial" w:eastAsia="宋体" w:cs="Arial"/>
          <w:b/>
          <w:bCs/>
          <w:color w:val="auto"/>
          <w:sz w:val="24"/>
          <w:highlight w:val="none"/>
        </w:rPr>
        <w:t>企业污染物总量情况一览表（单位：t/a）</w:t>
      </w:r>
    </w:p>
    <w:p w14:paraId="1C386A53">
      <w:pPr>
        <w:pStyle w:val="76"/>
        <w:numPr>
          <w:ilvl w:val="0"/>
          <w:numId w:val="0"/>
        </w:numPr>
        <w:jc w:val="both"/>
        <w:outlineLvl w:val="3"/>
        <w:rPr>
          <w:rFonts w:hint="default" w:ascii="Arial" w:hAnsi="Arial" w:eastAsia="宋体" w:cs="Arial"/>
          <w:b/>
          <w:bCs/>
          <w:sz w:val="24"/>
          <w:szCs w:val="24"/>
        </w:rPr>
      </w:pPr>
    </w:p>
    <w:tbl>
      <w:tblPr>
        <w:tblStyle w:val="52"/>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2638"/>
        <w:gridCol w:w="1552"/>
        <w:gridCol w:w="2194"/>
      </w:tblGrid>
      <w:tr w14:paraId="2DA0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pct"/>
            <w:noWrap w:val="0"/>
            <w:vAlign w:val="center"/>
          </w:tcPr>
          <w:p w14:paraId="02D0397A">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序号</w:t>
            </w:r>
          </w:p>
        </w:tc>
        <w:tc>
          <w:tcPr>
            <w:tcW w:w="1661" w:type="pct"/>
            <w:noWrap w:val="0"/>
            <w:vAlign w:val="center"/>
          </w:tcPr>
          <w:p w14:paraId="6D831BFA">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控制指标</w:t>
            </w:r>
          </w:p>
        </w:tc>
        <w:tc>
          <w:tcPr>
            <w:tcW w:w="977" w:type="pct"/>
            <w:noWrap w:val="0"/>
            <w:vAlign w:val="center"/>
          </w:tcPr>
          <w:p w14:paraId="3E92B43F">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单位</w:t>
            </w:r>
          </w:p>
        </w:tc>
        <w:tc>
          <w:tcPr>
            <w:tcW w:w="1382" w:type="pct"/>
            <w:noWrap w:val="0"/>
            <w:vAlign w:val="center"/>
          </w:tcPr>
          <w:p w14:paraId="5949B934">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排放量</w:t>
            </w:r>
          </w:p>
        </w:tc>
      </w:tr>
      <w:tr w14:paraId="4482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pct"/>
            <w:noWrap w:val="0"/>
            <w:vAlign w:val="center"/>
          </w:tcPr>
          <w:p w14:paraId="717A71BB">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1661" w:type="pct"/>
            <w:shd w:val="clear" w:color="auto" w:fill="auto"/>
            <w:noWrap w:val="0"/>
            <w:vAlign w:val="center"/>
          </w:tcPr>
          <w:p w14:paraId="10433EB6">
            <w:pPr>
              <w:keepNext w:val="0"/>
              <w:keepLines w:val="0"/>
              <w:suppressLineNumbers w:val="0"/>
              <w:tabs>
                <w:tab w:val="left" w:pos="420"/>
              </w:tabs>
              <w:autoSpaceDE w:val="0"/>
              <w:autoSpaceDN w:val="0"/>
              <w:spacing w:before="0" w:beforeAutospacing="0" w:after="0" w:afterAutospacing="0"/>
              <w:ind w:left="0" w:right="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工业烟粉尘</w:t>
            </w:r>
          </w:p>
        </w:tc>
        <w:tc>
          <w:tcPr>
            <w:tcW w:w="977" w:type="pct"/>
            <w:shd w:val="clear" w:color="auto" w:fill="auto"/>
            <w:noWrap w:val="0"/>
            <w:vAlign w:val="center"/>
          </w:tcPr>
          <w:p w14:paraId="4E9A2F88">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rPr>
              <w:t>t/a</w:t>
            </w:r>
          </w:p>
        </w:tc>
        <w:tc>
          <w:tcPr>
            <w:tcW w:w="1382" w:type="pct"/>
            <w:shd w:val="clear" w:color="auto" w:fill="auto"/>
            <w:noWrap w:val="0"/>
            <w:vAlign w:val="center"/>
          </w:tcPr>
          <w:p w14:paraId="6726ED4C">
            <w:pPr>
              <w:keepNext w:val="0"/>
              <w:keepLines w:val="0"/>
              <w:suppressLineNumbers w:val="0"/>
              <w:autoSpaceDE w:val="0"/>
              <w:autoSpaceDN w:val="0"/>
              <w:spacing w:before="0" w:beforeAutospacing="0" w:after="0" w:afterAutospacing="0"/>
              <w:ind w:left="0" w:right="0"/>
              <w:jc w:val="center"/>
              <w:rPr>
                <w:rFonts w:hint="default" w:ascii="Arial" w:hAnsi="Arial" w:eastAsia="宋体" w:cs="Arial"/>
                <w:color w:val="auto"/>
                <w:kern w:val="2"/>
                <w:sz w:val="21"/>
                <w:szCs w:val="21"/>
                <w:highlight w:val="none"/>
                <w:lang w:val="en-US" w:eastAsia="zh-CN" w:bidi="ar-SA"/>
              </w:rPr>
            </w:pPr>
            <w:r>
              <w:rPr>
                <w:rFonts w:hint="eastAsia" w:ascii="Arial" w:hAnsi="Arial" w:eastAsia="宋体" w:cs="Arial"/>
                <w:color w:val="auto"/>
                <w:kern w:val="2"/>
                <w:sz w:val="21"/>
                <w:szCs w:val="21"/>
                <w:highlight w:val="none"/>
                <w:lang w:val="en-US" w:eastAsia="zh-CN" w:bidi="ar-SA"/>
              </w:rPr>
              <w:t>0.378</w:t>
            </w:r>
          </w:p>
        </w:tc>
      </w:tr>
    </w:tbl>
    <w:p w14:paraId="14E62FCE">
      <w:pPr>
        <w:pStyle w:val="76"/>
        <w:numPr>
          <w:ilvl w:val="0"/>
          <w:numId w:val="0"/>
        </w:numPr>
        <w:jc w:val="both"/>
        <w:outlineLvl w:val="3"/>
        <w:rPr>
          <w:rFonts w:hint="default" w:ascii="Arial" w:hAnsi="Arial" w:eastAsia="宋体" w:cs="Arial"/>
          <w:b/>
          <w:bCs/>
          <w:sz w:val="24"/>
          <w:szCs w:val="24"/>
        </w:rPr>
      </w:pPr>
    </w:p>
    <w:p w14:paraId="5E437903">
      <w:pPr>
        <w:autoSpaceDE w:val="0"/>
        <w:autoSpaceDN w:val="0"/>
        <w:spacing w:line="360" w:lineRule="auto"/>
        <w:ind w:firstLine="480" w:firstLineChars="200"/>
        <w:jc w:val="left"/>
        <w:rPr>
          <w:rFonts w:hint="default" w:ascii="Arial" w:hAnsi="Arial" w:eastAsia="宋体" w:cs="Arial"/>
          <w:bCs/>
          <w:color w:val="000000" w:themeColor="text1"/>
          <w:sz w:val="24"/>
          <w:szCs w:val="24"/>
          <w:lang w:val="en-US" w:eastAsia="zh-CN"/>
          <w14:textFill>
            <w14:solidFill>
              <w14:schemeClr w14:val="tx1"/>
            </w14:solidFill>
          </w14:textFill>
        </w:rPr>
      </w:pPr>
    </w:p>
    <w:p w14:paraId="255B3A5E">
      <w:pPr>
        <w:pStyle w:val="76"/>
        <w:rPr>
          <w:rFonts w:hint="default" w:ascii="Arial" w:hAnsi="Arial" w:eastAsia="宋体" w:cs="Arial"/>
          <w:b/>
          <w:bCs/>
          <w:color w:val="000000" w:themeColor="text1"/>
          <w:sz w:val="24"/>
          <w:szCs w:val="24"/>
          <w:lang w:eastAsia="zh-CN"/>
          <w14:textFill>
            <w14:solidFill>
              <w14:schemeClr w14:val="tx1"/>
            </w14:solidFill>
          </w14:textFill>
        </w:rPr>
        <w:sectPr>
          <w:headerReference r:id="rId19"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6228E0E4">
      <w:pPr>
        <w:pStyle w:val="76"/>
        <w:keepNext w:val="0"/>
        <w:keepLines w:val="0"/>
        <w:pageBreakBefore w:val="0"/>
        <w:widowControl w:val="0"/>
        <w:numPr>
          <w:ilvl w:val="0"/>
          <w:numId w:val="5"/>
        </w:numPr>
        <w:kinsoku/>
        <w:wordWrap/>
        <w:overflowPunct/>
        <w:topLinePunct w:val="0"/>
        <w:autoSpaceDE/>
        <w:autoSpaceDN/>
        <w:bidi w:val="0"/>
        <w:adjustRightInd/>
        <w:snapToGrid/>
        <w:spacing w:line="240" w:lineRule="auto"/>
        <w:ind w:left="210" w:leftChars="0" w:firstLineChars="0"/>
        <w:jc w:val="both"/>
        <w:textAlignment w:val="auto"/>
        <w:outlineLvl w:val="0"/>
        <w:rPr>
          <w:rFonts w:hint="default" w:ascii="Arial" w:hAnsi="Arial" w:eastAsia="宋体" w:cs="Arial"/>
          <w:b/>
          <w:bCs/>
          <w:color w:val="FFFFFF" w:themeColor="background1"/>
          <w:sz w:val="2"/>
          <w:szCs w:val="2"/>
          <w:vertAlign w:val="subscript"/>
          <w14:textFill>
            <w14:solidFill>
              <w14:schemeClr w14:val="bg1"/>
            </w14:solidFill>
          </w14:textFill>
        </w:rPr>
      </w:pPr>
      <w:bookmarkStart w:id="6" w:name="_Toc104732981"/>
      <w:r>
        <w:rPr>
          <w:rFonts w:hint="default" w:ascii="Arial" w:hAnsi="Arial" w:eastAsia="宋体" w:cs="Arial"/>
          <w:b/>
          <w:bCs/>
          <w:color w:val="FFFFFF" w:themeColor="background1"/>
          <w:sz w:val="2"/>
          <w:szCs w:val="2"/>
          <w:vertAlign w:val="subscript"/>
          <w14:textFill>
            <w14:solidFill>
              <w14:schemeClr w14:val="bg1"/>
            </w14:solidFill>
          </w14:textFill>
        </w:rPr>
        <w:t>主要环境影响和保护措施</w:t>
      </w:r>
      <w:bookmarkEnd w:id="6"/>
    </w:p>
    <w:p w14:paraId="085436CC">
      <w:pPr>
        <w:pStyle w:val="76"/>
        <w:numPr>
          <w:ilvl w:val="1"/>
          <w:numId w:val="5"/>
        </w:numPr>
        <w:spacing w:line="360" w:lineRule="auto"/>
        <w:ind w:left="210" w:leftChars="0" w:firstLineChars="0"/>
        <w:outlineLvl w:val="1"/>
        <w:rPr>
          <w:rFonts w:hint="default" w:ascii="Arial" w:hAnsi="Arial" w:eastAsia="宋体" w:cs="Arial"/>
          <w:b/>
          <w:bCs/>
          <w:sz w:val="24"/>
          <w:szCs w:val="24"/>
        </w:rPr>
      </w:pPr>
      <w:r>
        <w:rPr>
          <w:rFonts w:hint="default" w:ascii="Arial" w:hAnsi="Arial" w:eastAsia="宋体" w:cs="Arial"/>
          <w:b/>
          <w:bCs/>
          <w:sz w:val="24"/>
          <w:szCs w:val="24"/>
        </w:rPr>
        <w:t>施工期环境影响和保护措施</w:t>
      </w:r>
    </w:p>
    <w:p w14:paraId="68EFF2BA">
      <w:pPr>
        <w:spacing w:line="360" w:lineRule="auto"/>
        <w:ind w:right="11" w:firstLine="480"/>
        <w:rPr>
          <w:rFonts w:hint="default" w:ascii="Arial" w:hAnsi="Arial" w:eastAsia="宋体" w:cs="Arial"/>
          <w:sz w:val="24"/>
          <w:szCs w:val="24"/>
        </w:rPr>
      </w:pPr>
      <w:r>
        <w:rPr>
          <w:rFonts w:hint="default" w:ascii="Arial" w:hAnsi="Arial" w:eastAsia="宋体" w:cs="Arial"/>
          <w:sz w:val="24"/>
          <w:szCs w:val="24"/>
        </w:rPr>
        <w:t>本项目选址于</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w:t>
      </w:r>
      <w:r>
        <w:rPr>
          <w:rFonts w:hint="default" w:ascii="Arial" w:hAnsi="Arial" w:eastAsia="宋体" w:cs="Arial"/>
          <w:sz w:val="24"/>
          <w:szCs w:val="24"/>
          <w:lang w:val="en-US" w:eastAsia="zh-CN"/>
        </w:rPr>
        <w:t>利用</w:t>
      </w:r>
      <w:r>
        <w:rPr>
          <w:rFonts w:hint="default" w:ascii="Arial" w:hAnsi="Arial" w:eastAsia="宋体" w:cs="Arial"/>
          <w:sz w:val="24"/>
          <w:szCs w:val="24"/>
        </w:rPr>
        <w:t>已建生产厂房实施。项目施工期主要为少量设备安装过程，基本不会对周围环境产生影响。</w:t>
      </w:r>
    </w:p>
    <w:p w14:paraId="2EC638D7">
      <w:pPr>
        <w:pStyle w:val="76"/>
        <w:ind w:firstLine="482"/>
        <w:rPr>
          <w:rFonts w:hint="default" w:ascii="Arial" w:hAnsi="Arial" w:eastAsia="宋体" w:cs="Arial"/>
          <w:b/>
          <w:bCs/>
          <w:sz w:val="24"/>
          <w:szCs w:val="24"/>
        </w:rPr>
        <w:sectPr>
          <w:headerReference r:id="rId20"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6B3829FF">
      <w:pPr>
        <w:pStyle w:val="76"/>
        <w:numPr>
          <w:ilvl w:val="1"/>
          <w:numId w:val="5"/>
        </w:numPr>
        <w:spacing w:line="360" w:lineRule="auto"/>
        <w:ind w:left="210" w:leftChars="0" w:firstLineChars="0"/>
        <w:outlineLvl w:val="1"/>
        <w:rPr>
          <w:rFonts w:hint="default" w:ascii="Arial" w:hAnsi="Arial" w:eastAsia="宋体" w:cs="Arial"/>
          <w:b/>
          <w:bCs/>
          <w:sz w:val="24"/>
          <w:szCs w:val="24"/>
        </w:rPr>
      </w:pPr>
      <w:r>
        <w:rPr>
          <w:rFonts w:hint="default" w:ascii="Arial" w:hAnsi="Arial" w:eastAsia="宋体" w:cs="Arial"/>
          <w:b/>
          <w:bCs/>
          <w:sz w:val="24"/>
          <w:szCs w:val="24"/>
        </w:rPr>
        <w:t>运营期环境影响和保护措施</w:t>
      </w:r>
    </w:p>
    <w:p w14:paraId="5641E929">
      <w:pPr>
        <w:pStyle w:val="76"/>
        <w:numPr>
          <w:ilvl w:val="2"/>
          <w:numId w:val="5"/>
        </w:numPr>
        <w:spacing w:line="360" w:lineRule="auto"/>
        <w:ind w:left="210" w:leftChars="0" w:firstLine="0" w:firstLineChars="0"/>
        <w:outlineLvl w:val="2"/>
        <w:rPr>
          <w:rFonts w:hint="default" w:ascii="Arial" w:hAnsi="Arial" w:eastAsia="宋体" w:cs="Arial"/>
          <w:b/>
          <w:bCs/>
          <w:sz w:val="24"/>
          <w:szCs w:val="24"/>
        </w:rPr>
      </w:pPr>
      <w:r>
        <w:rPr>
          <w:rFonts w:hint="default" w:ascii="Arial" w:hAnsi="Arial" w:eastAsia="宋体" w:cs="Arial"/>
          <w:b/>
          <w:bCs/>
          <w:sz w:val="24"/>
          <w:szCs w:val="24"/>
        </w:rPr>
        <w:t>废气环境影响和保护措施</w:t>
      </w:r>
    </w:p>
    <w:p w14:paraId="3FD1D6D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sz w:val="24"/>
          <w:szCs w:val="24"/>
          <w:lang w:val="en-US" w:eastAsia="zh-CN"/>
        </w:rPr>
      </w:pPr>
      <w:r>
        <w:rPr>
          <w:rFonts w:hint="eastAsia" w:ascii="Arial" w:hAnsi="Arial" w:eastAsia="宋体" w:cs="Arial"/>
          <w:sz w:val="24"/>
          <w:szCs w:val="24"/>
          <w:lang w:val="en-US" w:eastAsia="zh-CN"/>
        </w:rPr>
        <w:t>下料废气：本项目在锯切/剪切工序会产生下料废气（粉尘），本项目锯切/剪切工序利用锯床进行生产，此过程不使用切削液，由于采用该机加工工艺产生的金属粉尘粒径较大，比重也较大，沉降速度快，基本能在操作点附近得到自然沉降，无组织排放金属粉尘量极小，本报告不作进一步评价。</w:t>
      </w:r>
    </w:p>
    <w:p w14:paraId="68B83462">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sz w:val="24"/>
          <w:szCs w:val="24"/>
          <w:lang w:val="en-US" w:eastAsia="zh-CN"/>
        </w:rPr>
      </w:pPr>
      <w:r>
        <w:rPr>
          <w:rFonts w:hint="default" w:ascii="Arial" w:hAnsi="Arial" w:eastAsia="宋体" w:cs="Arial"/>
          <w:sz w:val="24"/>
          <w:szCs w:val="24"/>
          <w:lang w:val="en-US" w:eastAsia="zh-CN"/>
        </w:rPr>
        <w:t>抛丸废气：</w:t>
      </w:r>
      <w:r>
        <w:rPr>
          <w:rFonts w:hint="eastAsia" w:ascii="Arial" w:hAnsi="Arial" w:eastAsia="宋体" w:cs="Arial"/>
          <w:sz w:val="24"/>
          <w:szCs w:val="24"/>
          <w:lang w:val="en-US" w:eastAsia="zh-CN"/>
        </w:rPr>
        <w:t>本项目在抛丸工序会产生下料废气（粉尘），</w:t>
      </w:r>
      <w:r>
        <w:rPr>
          <w:rFonts w:hint="default" w:ascii="Arial" w:hAnsi="Arial" w:eastAsia="宋体" w:cs="Arial"/>
          <w:sz w:val="24"/>
          <w:szCs w:val="24"/>
        </w:rPr>
        <w:t>项目抛丸机自带独立抛丸室用于抛丸工艺，工件的抛丸处理在密闭抛丸室内进行</w:t>
      </w:r>
      <w:r>
        <w:rPr>
          <w:rFonts w:hint="eastAsia" w:ascii="Arial" w:hAnsi="Arial" w:eastAsia="宋体" w:cs="Arial"/>
          <w:sz w:val="24"/>
          <w:szCs w:val="24"/>
          <w:lang w:eastAsia="zh-CN"/>
        </w:rPr>
        <w:t>。</w:t>
      </w:r>
      <w:r>
        <w:rPr>
          <w:rFonts w:hint="eastAsia" w:ascii="Arial" w:hAnsi="Arial" w:eastAsia="宋体" w:cs="Arial"/>
          <w:sz w:val="24"/>
          <w:szCs w:val="24"/>
          <w:lang w:val="en-US" w:eastAsia="zh-CN"/>
        </w:rPr>
        <w:t>根据《排放源统计调查产排污核算方法和系数手册》中的《机械行业系数手册》，“06 预处理-干式预处理”的颗粒物产污系数为2.19千克/吨-原料。本项目需加工钢材4360t/a，故抛丸废气颗粒物产生量为9.548t/a，抛丸机密闭且与废气处理设备由管道直连，接入布袋除尘器，废气收集效率按98%计（主要考虑开关门时无组织逸散），处理效率按98%计，风机风量为5000m</w:t>
      </w:r>
      <w:r>
        <w:rPr>
          <w:rFonts w:hint="eastAsia" w:ascii="Arial" w:hAnsi="Arial" w:eastAsia="宋体" w:cs="Arial"/>
          <w:sz w:val="24"/>
          <w:szCs w:val="24"/>
          <w:vertAlign w:val="superscript"/>
          <w:lang w:val="en-US" w:eastAsia="zh-CN"/>
        </w:rPr>
        <w:t>3</w:t>
      </w:r>
      <w:r>
        <w:rPr>
          <w:rFonts w:hint="eastAsia" w:ascii="Arial" w:hAnsi="Arial" w:eastAsia="宋体" w:cs="Arial"/>
          <w:sz w:val="24"/>
          <w:szCs w:val="24"/>
          <w:lang w:val="en-US" w:eastAsia="zh-CN"/>
        </w:rPr>
        <w:t>/h。</w:t>
      </w:r>
    </w:p>
    <w:p w14:paraId="7728F19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sz w:val="24"/>
          <w:szCs w:val="24"/>
          <w:lang w:val="en-US" w:eastAsia="zh-CN"/>
        </w:rPr>
        <w:t>锻压粉尘：</w:t>
      </w:r>
      <w:r>
        <w:rPr>
          <w:rFonts w:hint="default" w:ascii="Arial" w:hAnsi="Arial" w:eastAsia="宋体" w:cs="Arial"/>
          <w:sz w:val="24"/>
          <w:szCs w:val="24"/>
        </w:rPr>
        <w:t>本项目</w:t>
      </w:r>
      <w:r>
        <w:rPr>
          <w:rFonts w:hint="default" w:ascii="Arial" w:hAnsi="Arial" w:eastAsia="宋体" w:cs="Arial"/>
          <w:sz w:val="24"/>
          <w:szCs w:val="24"/>
          <w:lang w:val="en-US" w:eastAsia="zh-CN"/>
        </w:rPr>
        <w:t>锻造过程</w:t>
      </w:r>
      <w:r>
        <w:rPr>
          <w:rFonts w:hint="default" w:ascii="Arial" w:hAnsi="Arial" w:eastAsia="宋体" w:cs="Arial"/>
          <w:sz w:val="24"/>
          <w:szCs w:val="24"/>
        </w:rPr>
        <w:t>会产生一定量的金属</w:t>
      </w:r>
      <w:r>
        <w:rPr>
          <w:rFonts w:hint="eastAsia" w:ascii="Arial" w:hAnsi="Arial" w:eastAsia="宋体" w:cs="Arial"/>
          <w:sz w:val="24"/>
          <w:szCs w:val="24"/>
          <w:lang w:val="en-US" w:eastAsia="zh-CN"/>
        </w:rPr>
        <w:t>氧化皮</w:t>
      </w:r>
      <w:r>
        <w:rPr>
          <w:rFonts w:hint="default" w:ascii="Arial" w:hAnsi="Arial" w:eastAsia="宋体" w:cs="Arial"/>
          <w:sz w:val="24"/>
          <w:szCs w:val="24"/>
        </w:rPr>
        <w:t>粉尘，产生量较小，主要成分为金属</w:t>
      </w:r>
      <w:r>
        <w:rPr>
          <w:rFonts w:hint="default" w:ascii="Arial" w:hAnsi="Arial" w:eastAsia="宋体" w:cs="Arial"/>
          <w:sz w:val="24"/>
          <w:szCs w:val="24"/>
          <w:lang w:val="en-US" w:eastAsia="zh-CN"/>
        </w:rPr>
        <w:t>屑</w:t>
      </w:r>
      <w:r>
        <w:rPr>
          <w:rFonts w:hint="default" w:ascii="Arial" w:hAnsi="Arial" w:eastAsia="宋体" w:cs="Arial"/>
          <w:sz w:val="24"/>
          <w:szCs w:val="24"/>
        </w:rPr>
        <w:t>，因锻压粉尘颗粒较大，</w:t>
      </w:r>
      <w:r>
        <w:rPr>
          <w:rFonts w:hint="default" w:ascii="Arial" w:hAnsi="Arial" w:eastAsia="宋体" w:cs="Arial"/>
          <w:sz w:val="24"/>
          <w:szCs w:val="24"/>
          <w:lang w:val="en-US" w:eastAsia="zh-CN"/>
        </w:rPr>
        <w:t>大部分在车间中</w:t>
      </w:r>
      <w:r>
        <w:rPr>
          <w:rFonts w:hint="default" w:ascii="Arial" w:hAnsi="Arial" w:eastAsia="宋体" w:cs="Arial"/>
          <w:sz w:val="24"/>
          <w:szCs w:val="24"/>
        </w:rPr>
        <w:t>自然沉降，定期清扫、收集后以固废形式处理</w:t>
      </w:r>
      <w:r>
        <w:rPr>
          <w:rFonts w:hint="default" w:ascii="Arial" w:hAnsi="Arial" w:eastAsia="宋体" w:cs="Arial"/>
          <w:sz w:val="24"/>
          <w:szCs w:val="24"/>
          <w:lang w:eastAsia="zh-CN"/>
        </w:rPr>
        <w:t>，</w:t>
      </w:r>
      <w:r>
        <w:rPr>
          <w:rFonts w:hint="default" w:ascii="Arial" w:hAnsi="Arial" w:eastAsia="宋体" w:cs="Arial"/>
          <w:sz w:val="24"/>
          <w:szCs w:val="24"/>
        </w:rPr>
        <w:t>故本环评不做定量分析。要求企业及时清理地面金属粉尘，合理存放，以改善车间操作环境。</w:t>
      </w:r>
    </w:p>
    <w:p w14:paraId="15D9FB3D">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脱模粉尘：</w:t>
      </w:r>
      <w:r>
        <w:rPr>
          <w:rFonts w:hint="default" w:ascii="Arial" w:hAnsi="Arial" w:eastAsia="宋体" w:cs="Arial"/>
          <w:sz w:val="24"/>
          <w:szCs w:val="24"/>
        </w:rPr>
        <w:t>本项目脱模过程中使用</w:t>
      </w:r>
      <w:r>
        <w:rPr>
          <w:rFonts w:hint="default" w:ascii="Arial" w:hAnsi="Arial" w:eastAsia="宋体" w:cs="Arial"/>
          <w:sz w:val="24"/>
          <w:szCs w:val="24"/>
          <w:lang w:val="en-US" w:eastAsia="zh-CN"/>
        </w:rPr>
        <w:t>水性</w:t>
      </w:r>
      <w:r>
        <w:rPr>
          <w:rFonts w:hint="default" w:ascii="Arial" w:hAnsi="Arial" w:eastAsia="宋体" w:cs="Arial"/>
          <w:sz w:val="24"/>
          <w:szCs w:val="24"/>
        </w:rPr>
        <w:t>石墨</w:t>
      </w:r>
      <w:r>
        <w:rPr>
          <w:rFonts w:hint="default" w:ascii="Arial" w:hAnsi="Arial" w:eastAsia="宋体" w:cs="Arial"/>
          <w:sz w:val="24"/>
          <w:szCs w:val="24"/>
          <w:lang w:val="en-US" w:eastAsia="zh-CN"/>
        </w:rPr>
        <w:t>润滑剂</w:t>
      </w:r>
      <w:r>
        <w:rPr>
          <w:rFonts w:hint="default" w:ascii="Arial" w:hAnsi="Arial" w:eastAsia="宋体" w:cs="Arial"/>
          <w:sz w:val="24"/>
          <w:szCs w:val="24"/>
        </w:rPr>
        <w:t>作为脱模剂，脱模的过程中随着温度升高，水蒸发后会产生少量石墨粉尘。</w:t>
      </w:r>
      <w:r>
        <w:rPr>
          <w:rFonts w:hint="default" w:ascii="Arial" w:hAnsi="Arial" w:eastAsia="宋体" w:cs="Arial"/>
          <w:sz w:val="24"/>
          <w:szCs w:val="24"/>
          <w:lang w:val="en-US" w:eastAsia="zh-CN"/>
        </w:rPr>
        <w:t>本项目水性石墨润滑剂使用量约为0.87t/a，石墨粉尘产生量较小，故本环评不做定量分析。要求企业及时清理地面粉尘，合理存放，以改善车间操作环境。</w:t>
      </w:r>
    </w:p>
    <w:p w14:paraId="0888383E">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bCs/>
          <w:color w:val="000000" w:themeColor="text1"/>
          <w:sz w:val="24"/>
          <w:szCs w:val="24"/>
          <w14:textFill>
            <w14:solidFill>
              <w14:schemeClr w14:val="tx1"/>
            </w14:solidFill>
          </w14:textFill>
        </w:rPr>
      </w:pPr>
      <w:r>
        <w:rPr>
          <w:rFonts w:hint="eastAsia" w:ascii="Arial" w:hAnsi="Arial" w:eastAsia="宋体" w:cs="Arial"/>
          <w:sz w:val="24"/>
          <w:szCs w:val="24"/>
          <w:lang w:val="en-US" w:eastAsia="zh-CN"/>
        </w:rPr>
        <w:t>机加工油雾：</w:t>
      </w:r>
      <w:r>
        <w:rPr>
          <w:rFonts w:ascii="宋体" w:hAnsi="宋体" w:eastAsia="宋体" w:cs="宋体"/>
          <w:sz w:val="24"/>
          <w:szCs w:val="24"/>
        </w:rPr>
        <w:t>本项目加工中心、车床等设备配合使用切削液进行机加工过程中会产生油雾废气，油雾废气以非甲烷总烃表征，加工中心、机床设备配备油雾净化器，密闭罩密闭收集，经配备的油雾净化器处理后车间内无组织排放，对周边环境产生的影响小，故本次环评油雾废气仅定性分析。</w:t>
      </w:r>
    </w:p>
    <w:p w14:paraId="282A44E8">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bCs/>
          <w:color w:val="000000" w:themeColor="text1"/>
          <w:sz w:val="24"/>
          <w:szCs w:val="24"/>
          <w14:textFill>
            <w14:solidFill>
              <w14:schemeClr w14:val="tx1"/>
            </w14:solidFill>
          </w14:textFill>
        </w:rPr>
      </w:pPr>
      <w:r>
        <w:rPr>
          <w:rFonts w:hint="eastAsia" w:ascii="宋体" w:hAnsi="宋体" w:eastAsia="宋体" w:cs="宋体"/>
          <w:sz w:val="24"/>
          <w:szCs w:val="24"/>
          <w:lang w:val="en-US" w:eastAsia="zh-CN"/>
        </w:rPr>
        <w:t>清洗废气：本项目超声波清洗过程中会产生少量水蒸气，因水蒸气对大气环境基本无影响，故本评价对其不作分析。</w:t>
      </w:r>
    </w:p>
    <w:p w14:paraId="248B43C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bCs/>
          <w:color w:val="000000" w:themeColor="text1"/>
          <w:sz w:val="24"/>
          <w:szCs w:val="24"/>
          <w14:textFill>
            <w14:solidFill>
              <w14:schemeClr w14:val="tx1"/>
            </w14:solidFill>
          </w14:textFill>
        </w:rPr>
      </w:pPr>
      <w:r>
        <w:rPr>
          <w:rFonts w:hint="eastAsia" w:ascii="宋体" w:hAnsi="宋体" w:eastAsia="宋体" w:cs="宋体"/>
          <w:sz w:val="24"/>
          <w:szCs w:val="24"/>
          <w:lang w:val="en-US" w:eastAsia="zh-CN"/>
        </w:rPr>
        <w:t>光饰废气：</w:t>
      </w:r>
      <w:r>
        <w:rPr>
          <w:rFonts w:hint="eastAsia" w:ascii="Arial" w:hAnsi="Arial" w:eastAsia="宋体" w:cs="Arial"/>
          <w:color w:val="auto"/>
          <w:sz w:val="24"/>
          <w:szCs w:val="24"/>
          <w:lang w:val="en-US" w:eastAsia="zh-CN"/>
        </w:rPr>
        <w:t>光饰机工作时加盖密闭</w:t>
      </w:r>
      <w:r>
        <w:rPr>
          <w:rFonts w:hint="default" w:ascii="Arial" w:hAnsi="Arial" w:eastAsia="宋体" w:cs="Arial"/>
          <w:color w:val="auto"/>
          <w:sz w:val="24"/>
          <w:szCs w:val="24"/>
          <w:lang w:val="en-US" w:eastAsia="zh-CN"/>
        </w:rPr>
        <w:t>，</w:t>
      </w:r>
      <w:r>
        <w:rPr>
          <w:rFonts w:hint="eastAsia" w:ascii="Arial" w:hAnsi="Arial" w:eastAsia="宋体" w:cs="Arial"/>
          <w:color w:val="auto"/>
          <w:sz w:val="24"/>
          <w:szCs w:val="24"/>
          <w:lang w:val="en-US" w:eastAsia="zh-CN"/>
        </w:rPr>
        <w:t>光饰过程中</w:t>
      </w:r>
      <w:r>
        <w:rPr>
          <w:rFonts w:hint="default" w:ascii="Arial" w:hAnsi="Arial" w:eastAsia="宋体" w:cs="Arial"/>
          <w:color w:val="auto"/>
          <w:sz w:val="24"/>
          <w:szCs w:val="24"/>
          <w:lang w:val="en-US" w:eastAsia="zh-CN"/>
        </w:rPr>
        <w:t>无</w:t>
      </w:r>
      <w:r>
        <w:rPr>
          <w:rFonts w:hint="eastAsia" w:ascii="Arial" w:hAnsi="Arial" w:eastAsia="宋体" w:cs="Arial"/>
          <w:color w:val="auto"/>
          <w:sz w:val="24"/>
          <w:szCs w:val="24"/>
          <w:lang w:val="en-US" w:eastAsia="zh-CN"/>
        </w:rPr>
        <w:t>废气</w:t>
      </w:r>
      <w:r>
        <w:rPr>
          <w:rFonts w:hint="default" w:ascii="Arial" w:hAnsi="Arial" w:eastAsia="宋体" w:cs="Arial"/>
          <w:color w:val="auto"/>
          <w:sz w:val="24"/>
          <w:szCs w:val="24"/>
          <w:lang w:val="en-US" w:eastAsia="zh-CN"/>
        </w:rPr>
        <w:t>产生</w:t>
      </w:r>
      <w:r>
        <w:rPr>
          <w:rFonts w:hint="eastAsia" w:ascii="Arial" w:hAnsi="Arial" w:eastAsia="宋体" w:cs="Arial"/>
          <w:color w:val="auto"/>
          <w:sz w:val="24"/>
          <w:szCs w:val="24"/>
          <w:lang w:val="en-US" w:eastAsia="zh-CN"/>
        </w:rPr>
        <w:t>；</w:t>
      </w:r>
      <w:r>
        <w:rPr>
          <w:rFonts w:hint="eastAsia" w:ascii="宋体" w:hAnsi="宋体" w:eastAsia="宋体" w:cs="宋体"/>
          <w:sz w:val="24"/>
          <w:szCs w:val="24"/>
          <w:lang w:val="en-US" w:eastAsia="zh-CN"/>
        </w:rPr>
        <w:t>光饰机出料时，</w:t>
      </w:r>
      <w:r>
        <w:rPr>
          <w:rFonts w:ascii="宋体" w:hAnsi="宋体" w:eastAsia="宋体" w:cs="宋体"/>
          <w:sz w:val="24"/>
          <w:szCs w:val="24"/>
        </w:rPr>
        <w:t>在开盖取</w:t>
      </w:r>
      <w:r>
        <w:rPr>
          <w:rFonts w:hint="eastAsia" w:ascii="宋体" w:hAnsi="宋体" w:eastAsia="宋体" w:cs="宋体"/>
          <w:sz w:val="24"/>
          <w:szCs w:val="24"/>
          <w:lang w:val="en-US" w:eastAsia="zh-CN"/>
        </w:rPr>
        <w:t>出</w:t>
      </w:r>
      <w:r>
        <w:rPr>
          <w:rFonts w:ascii="宋体" w:hAnsi="宋体" w:eastAsia="宋体" w:cs="宋体"/>
          <w:sz w:val="24"/>
          <w:szCs w:val="24"/>
        </w:rPr>
        <w:t>工件</w:t>
      </w:r>
      <w:r>
        <w:rPr>
          <w:rFonts w:hint="eastAsia" w:ascii="宋体" w:hAnsi="宋体" w:eastAsia="宋体" w:cs="宋体"/>
          <w:sz w:val="24"/>
          <w:szCs w:val="24"/>
          <w:lang w:val="en-US" w:eastAsia="zh-CN"/>
        </w:rPr>
        <w:t>时</w:t>
      </w:r>
      <w:r>
        <w:rPr>
          <w:rFonts w:ascii="宋体" w:hAnsi="宋体" w:eastAsia="宋体" w:cs="宋体"/>
          <w:sz w:val="24"/>
          <w:szCs w:val="24"/>
        </w:rPr>
        <w:t>，会有少量金属粉尘无组织逸散。开盖瞬间产生粉尘量极少，颗粒物大部分通过撞击和重力</w:t>
      </w:r>
      <w:r>
        <w:rPr>
          <w:rFonts w:hint="eastAsia" w:ascii="宋体" w:hAnsi="宋体" w:eastAsia="宋体" w:cs="宋体"/>
          <w:sz w:val="24"/>
          <w:szCs w:val="24"/>
          <w:lang w:val="en-US" w:eastAsia="zh-CN"/>
        </w:rPr>
        <w:t>在车间内</w:t>
      </w:r>
      <w:r>
        <w:rPr>
          <w:rFonts w:ascii="宋体" w:hAnsi="宋体" w:eastAsia="宋体" w:cs="宋体"/>
          <w:sz w:val="24"/>
          <w:szCs w:val="24"/>
        </w:rPr>
        <w:t>沉降，因此本项目</w:t>
      </w:r>
      <w:r>
        <w:rPr>
          <w:rFonts w:hint="eastAsia" w:ascii="宋体" w:hAnsi="宋体" w:eastAsia="宋体" w:cs="宋体"/>
          <w:sz w:val="24"/>
          <w:szCs w:val="24"/>
          <w:lang w:val="en-US" w:eastAsia="zh-CN"/>
        </w:rPr>
        <w:t>光饰废气</w:t>
      </w:r>
      <w:r>
        <w:rPr>
          <w:rFonts w:ascii="宋体" w:hAnsi="宋体" w:eastAsia="宋体" w:cs="宋体"/>
          <w:sz w:val="24"/>
          <w:szCs w:val="24"/>
        </w:rPr>
        <w:t>产生量极少，基本无外排，本评价不进行定量分析。</w:t>
      </w:r>
    </w:p>
    <w:p w14:paraId="3CA73857">
      <w:pPr>
        <w:pStyle w:val="76"/>
        <w:keepNext w:val="0"/>
        <w:keepLines w:val="0"/>
        <w:pageBreakBefore w:val="0"/>
        <w:widowControl w:val="0"/>
        <w:numPr>
          <w:ilvl w:val="3"/>
          <w:numId w:val="5"/>
        </w:numPr>
        <w:kinsoku/>
        <w:wordWrap/>
        <w:overflowPunct/>
        <w:topLinePunct w:val="0"/>
        <w:autoSpaceDE/>
        <w:autoSpaceDN/>
        <w:bidi w:val="0"/>
        <w:adjustRightInd/>
        <w:snapToGrid/>
        <w:spacing w:line="240" w:lineRule="auto"/>
        <w:ind w:left="777" w:leftChars="0" w:firstLine="0" w:firstLineChars="0"/>
        <w:jc w:val="center"/>
        <w:textAlignment w:val="auto"/>
        <w:outlineLvl w:val="2"/>
        <w:rPr>
          <w:rFonts w:hint="default" w:ascii="Arial" w:hAnsi="Arial" w:eastAsia="宋体" w:cs="Arial"/>
          <w:b/>
          <w:bCs/>
          <w:color w:val="000000"/>
          <w:kern w:val="0"/>
          <w:sz w:val="21"/>
          <w:szCs w:val="21"/>
        </w:rPr>
      </w:pPr>
      <w:r>
        <w:rPr>
          <w:rFonts w:hint="default" w:ascii="Arial" w:hAnsi="Arial" w:eastAsia="宋体" w:cs="Arial"/>
          <w:b/>
          <w:bCs/>
          <w:color w:val="auto"/>
          <w:sz w:val="24"/>
          <w:highlight w:val="none"/>
          <w:lang w:val="en-US" w:eastAsia="zh-CN"/>
        </w:rPr>
        <w:t xml:space="preserve">  废气污染源强</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8"/>
        <w:gridCol w:w="886"/>
        <w:gridCol w:w="959"/>
        <w:gridCol w:w="849"/>
        <w:gridCol w:w="1140"/>
        <w:gridCol w:w="1100"/>
        <w:gridCol w:w="1033"/>
        <w:gridCol w:w="1252"/>
      </w:tblGrid>
      <w:tr w14:paraId="1100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0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8440FF4">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污染物</w:t>
            </w:r>
          </w:p>
        </w:tc>
        <w:tc>
          <w:tcPr>
            <w:tcW w:w="959" w:type="dxa"/>
            <w:tcBorders>
              <w:top w:val="single" w:color="auto" w:sz="4" w:space="0"/>
              <w:left w:val="single" w:color="auto" w:sz="4" w:space="0"/>
              <w:bottom w:val="single" w:color="auto" w:sz="4" w:space="0"/>
              <w:right w:val="single" w:color="auto" w:sz="4" w:space="0"/>
            </w:tcBorders>
            <w:shd w:val="clear" w:color="auto" w:fill="FFFFFF"/>
            <w:vAlign w:val="center"/>
          </w:tcPr>
          <w:p w14:paraId="2CFA3B7D">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产生量(t/a)</w:t>
            </w:r>
          </w:p>
        </w:tc>
        <w:tc>
          <w:tcPr>
            <w:tcW w:w="849" w:type="dxa"/>
            <w:tcBorders>
              <w:top w:val="single" w:color="auto" w:sz="4" w:space="0"/>
              <w:left w:val="single" w:color="auto" w:sz="4" w:space="0"/>
              <w:bottom w:val="single" w:color="auto" w:sz="4" w:space="0"/>
              <w:right w:val="single" w:color="auto" w:sz="4" w:space="0"/>
            </w:tcBorders>
            <w:shd w:val="clear" w:color="auto" w:fill="FFFFFF"/>
            <w:vAlign w:val="center"/>
          </w:tcPr>
          <w:p w14:paraId="76A7640E">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排放</w:t>
            </w:r>
          </w:p>
          <w:p w14:paraId="22BED919">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形式</w:t>
            </w:r>
          </w:p>
        </w:tc>
        <w:tc>
          <w:tcPr>
            <w:tcW w:w="1140" w:type="dxa"/>
            <w:tcBorders>
              <w:top w:val="single" w:color="auto" w:sz="4" w:space="0"/>
              <w:left w:val="single" w:color="auto" w:sz="4" w:space="0"/>
              <w:bottom w:val="single" w:color="auto" w:sz="4" w:space="0"/>
              <w:right w:val="single" w:color="auto" w:sz="4" w:space="0"/>
            </w:tcBorders>
            <w:shd w:val="clear" w:color="auto" w:fill="FFFFFF"/>
            <w:vAlign w:val="center"/>
          </w:tcPr>
          <w:p w14:paraId="6D4980DA">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排放源</w:t>
            </w:r>
          </w:p>
        </w:tc>
        <w:tc>
          <w:tcPr>
            <w:tcW w:w="1100" w:type="dxa"/>
            <w:tcBorders>
              <w:top w:val="single" w:color="auto" w:sz="4" w:space="0"/>
              <w:left w:val="single" w:color="auto" w:sz="4" w:space="0"/>
              <w:bottom w:val="single" w:color="auto" w:sz="4" w:space="0"/>
              <w:right w:val="single" w:color="auto" w:sz="4" w:space="0"/>
            </w:tcBorders>
            <w:shd w:val="clear" w:color="auto" w:fill="FFFFFF"/>
            <w:vAlign w:val="center"/>
          </w:tcPr>
          <w:p w14:paraId="7649CA6A">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排放量（t/a）</w:t>
            </w:r>
          </w:p>
        </w:tc>
        <w:tc>
          <w:tcPr>
            <w:tcW w:w="1033" w:type="dxa"/>
            <w:tcBorders>
              <w:top w:val="single" w:color="auto" w:sz="4" w:space="0"/>
              <w:left w:val="single" w:color="auto" w:sz="4" w:space="0"/>
              <w:bottom w:val="single" w:color="auto" w:sz="4" w:space="0"/>
              <w:right w:val="single" w:color="auto" w:sz="4" w:space="0"/>
            </w:tcBorders>
            <w:shd w:val="clear" w:color="auto" w:fill="FFFFFF"/>
            <w:vAlign w:val="center"/>
          </w:tcPr>
          <w:p w14:paraId="5A9A7B8E">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最大排放速率（kg/h）</w:t>
            </w:r>
          </w:p>
        </w:tc>
        <w:tc>
          <w:tcPr>
            <w:tcW w:w="1252" w:type="dxa"/>
            <w:tcBorders>
              <w:top w:val="single" w:color="auto" w:sz="4" w:space="0"/>
              <w:left w:val="single" w:color="auto" w:sz="4" w:space="0"/>
              <w:bottom w:val="single" w:color="auto" w:sz="4" w:space="0"/>
              <w:right w:val="single" w:color="auto" w:sz="4" w:space="0"/>
            </w:tcBorders>
            <w:shd w:val="clear" w:color="auto" w:fill="FFFFFF"/>
            <w:vAlign w:val="center"/>
          </w:tcPr>
          <w:p w14:paraId="13585BEF">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最大排放浓度（mg/m</w:t>
            </w:r>
            <w:r>
              <w:rPr>
                <w:rFonts w:hint="default" w:ascii="Arial" w:hAnsi="Arial" w:eastAsia="宋体" w:cs="Arial"/>
                <w:b w:val="0"/>
                <w:color w:val="000000"/>
                <w:kern w:val="0"/>
                <w:sz w:val="21"/>
                <w:szCs w:val="21"/>
                <w:vertAlign w:val="superscript"/>
                <w:lang w:val="en-US" w:eastAsia="zh-CN" w:bidi="ar"/>
              </w:rPr>
              <w:t>3</w:t>
            </w:r>
            <w:r>
              <w:rPr>
                <w:rFonts w:hint="default" w:ascii="Arial" w:hAnsi="Arial" w:eastAsia="宋体" w:cs="Arial"/>
                <w:b w:val="0"/>
                <w:color w:val="000000"/>
                <w:kern w:val="0"/>
                <w:sz w:val="21"/>
                <w:szCs w:val="21"/>
                <w:lang w:val="en-US" w:eastAsia="zh-CN" w:bidi="ar"/>
              </w:rPr>
              <w:t>）</w:t>
            </w:r>
          </w:p>
        </w:tc>
      </w:tr>
      <w:tr w14:paraId="444A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718" w:type="dxa"/>
            <w:vMerge w:val="restart"/>
            <w:tcBorders>
              <w:top w:val="single" w:color="auto" w:sz="4" w:space="0"/>
              <w:left w:val="single" w:color="auto" w:sz="4" w:space="0"/>
              <w:right w:val="single" w:color="auto" w:sz="4" w:space="0"/>
            </w:tcBorders>
            <w:shd w:val="clear" w:color="auto" w:fill="FFFFFF"/>
            <w:vAlign w:val="center"/>
          </w:tcPr>
          <w:p w14:paraId="094AB4D6">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sz w:val="20"/>
                <w:szCs w:val="20"/>
              </w:rPr>
            </w:pPr>
            <w:r>
              <w:rPr>
                <w:rFonts w:hint="default" w:ascii="Arial" w:hAnsi="Arial" w:eastAsia="宋体" w:cs="Arial"/>
                <w:b w:val="0"/>
                <w:color w:val="000000"/>
                <w:kern w:val="0"/>
                <w:sz w:val="21"/>
                <w:szCs w:val="21"/>
                <w:lang w:val="en-US" w:eastAsia="zh-CN"/>
              </w:rPr>
              <w:t>抛丸</w:t>
            </w:r>
          </w:p>
        </w:tc>
        <w:tc>
          <w:tcPr>
            <w:tcW w:w="886" w:type="dxa"/>
            <w:vMerge w:val="restart"/>
            <w:tcBorders>
              <w:top w:val="single" w:color="auto" w:sz="4" w:space="0"/>
              <w:left w:val="single" w:color="auto" w:sz="4" w:space="0"/>
              <w:right w:val="single" w:color="auto" w:sz="4" w:space="0"/>
            </w:tcBorders>
            <w:shd w:val="clear" w:color="auto" w:fill="FFFFFF"/>
            <w:vAlign w:val="center"/>
          </w:tcPr>
          <w:p w14:paraId="299A92A6">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sz w:val="20"/>
                <w:szCs w:val="20"/>
              </w:rPr>
            </w:pPr>
            <w:r>
              <w:rPr>
                <w:rFonts w:hint="default" w:ascii="Arial" w:hAnsi="Arial" w:eastAsia="宋体" w:cs="Arial"/>
                <w:b w:val="0"/>
                <w:color w:val="000000"/>
                <w:kern w:val="0"/>
                <w:sz w:val="21"/>
                <w:szCs w:val="21"/>
                <w:lang w:val="en-US" w:eastAsia="zh-CN" w:bidi="ar"/>
              </w:rPr>
              <w:t>颗粒物</w:t>
            </w:r>
          </w:p>
        </w:tc>
        <w:tc>
          <w:tcPr>
            <w:tcW w:w="959" w:type="dxa"/>
            <w:vMerge w:val="restart"/>
            <w:tcBorders>
              <w:top w:val="single" w:color="auto" w:sz="4" w:space="0"/>
              <w:left w:val="single" w:color="auto" w:sz="4" w:space="0"/>
              <w:right w:val="single" w:color="auto" w:sz="4" w:space="0"/>
            </w:tcBorders>
            <w:shd w:val="clear" w:color="auto" w:fill="FFFFFF"/>
            <w:vAlign w:val="center"/>
          </w:tcPr>
          <w:p w14:paraId="015826A7">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sz w:val="20"/>
                <w:szCs w:val="20"/>
                <w:lang w:val="en-US" w:eastAsia="zh-CN"/>
              </w:rPr>
            </w:pPr>
            <w:r>
              <w:rPr>
                <w:rFonts w:hint="eastAsia" w:ascii="Arial" w:hAnsi="Arial" w:eastAsia="宋体" w:cs="Arial"/>
                <w:sz w:val="20"/>
                <w:szCs w:val="20"/>
                <w:lang w:val="en-US" w:eastAsia="zh-CN"/>
              </w:rPr>
              <w:t>9.548</w:t>
            </w:r>
          </w:p>
        </w:tc>
        <w:tc>
          <w:tcPr>
            <w:tcW w:w="849" w:type="dxa"/>
            <w:tcBorders>
              <w:top w:val="single" w:color="auto" w:sz="4" w:space="0"/>
              <w:left w:val="single" w:color="auto" w:sz="4" w:space="0"/>
              <w:bottom w:val="single" w:color="auto" w:sz="4" w:space="0"/>
              <w:right w:val="single" w:color="auto" w:sz="4" w:space="0"/>
            </w:tcBorders>
            <w:shd w:val="clear" w:color="auto" w:fill="FFFFFF"/>
            <w:vAlign w:val="center"/>
          </w:tcPr>
          <w:p w14:paraId="652EE81B">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
              </w:rPr>
              <w:t>有组织</w:t>
            </w:r>
          </w:p>
        </w:tc>
        <w:tc>
          <w:tcPr>
            <w:tcW w:w="1140" w:type="dxa"/>
            <w:tcBorders>
              <w:top w:val="single" w:color="auto" w:sz="4" w:space="0"/>
              <w:left w:val="single" w:color="auto" w:sz="4" w:space="0"/>
              <w:bottom w:val="single" w:color="auto" w:sz="4" w:space="0"/>
              <w:right w:val="single" w:color="auto" w:sz="4" w:space="0"/>
            </w:tcBorders>
            <w:shd w:val="clear" w:color="auto" w:fill="FFFFFF"/>
            <w:vAlign w:val="center"/>
          </w:tcPr>
          <w:p w14:paraId="334191C0">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
              </w:rPr>
              <w:t>DA001</w:t>
            </w:r>
          </w:p>
        </w:tc>
        <w:tc>
          <w:tcPr>
            <w:tcW w:w="1100" w:type="dxa"/>
            <w:tcBorders>
              <w:top w:val="single" w:color="auto" w:sz="4" w:space="0"/>
              <w:left w:val="single" w:color="auto" w:sz="4" w:space="0"/>
              <w:bottom w:val="single" w:color="auto" w:sz="4" w:space="0"/>
              <w:right w:val="single" w:color="auto" w:sz="4" w:space="0"/>
            </w:tcBorders>
            <w:shd w:val="clear" w:color="auto" w:fill="FFFFFF"/>
            <w:vAlign w:val="center"/>
          </w:tcPr>
          <w:p w14:paraId="1C6355DC">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color w:val="000000"/>
                <w:kern w:val="2"/>
                <w:sz w:val="21"/>
                <w:szCs w:val="21"/>
                <w:lang w:val="en-US" w:eastAsia="zh-CN" w:bidi="ar"/>
              </w:rPr>
              <w:t>0.</w:t>
            </w:r>
            <w:r>
              <w:rPr>
                <w:rFonts w:hint="eastAsia" w:ascii="Arial" w:hAnsi="Arial" w:eastAsia="宋体" w:cs="Arial"/>
                <w:color w:val="000000"/>
                <w:kern w:val="2"/>
                <w:sz w:val="21"/>
                <w:szCs w:val="21"/>
                <w:lang w:val="en-US" w:eastAsia="zh-CN" w:bidi="ar"/>
              </w:rPr>
              <w:t>187</w:t>
            </w:r>
          </w:p>
        </w:tc>
        <w:tc>
          <w:tcPr>
            <w:tcW w:w="1033" w:type="dxa"/>
            <w:tcBorders>
              <w:top w:val="single" w:color="auto" w:sz="4" w:space="0"/>
              <w:left w:val="single" w:color="auto" w:sz="4" w:space="0"/>
              <w:bottom w:val="single" w:color="auto" w:sz="4" w:space="0"/>
              <w:right w:val="single" w:color="auto" w:sz="4" w:space="0"/>
            </w:tcBorders>
            <w:shd w:val="clear" w:color="auto" w:fill="FFFFFF"/>
            <w:vAlign w:val="center"/>
          </w:tcPr>
          <w:p w14:paraId="226E61F9">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color w:val="000000"/>
                <w:kern w:val="2"/>
                <w:sz w:val="21"/>
                <w:szCs w:val="21"/>
                <w:lang w:val="en-US" w:eastAsia="zh-CN" w:bidi="ar"/>
              </w:rPr>
              <w:t>0.0</w:t>
            </w:r>
            <w:r>
              <w:rPr>
                <w:rFonts w:hint="eastAsia" w:ascii="Arial" w:hAnsi="Arial" w:eastAsia="宋体" w:cs="Arial"/>
                <w:color w:val="000000"/>
                <w:kern w:val="2"/>
                <w:sz w:val="21"/>
                <w:szCs w:val="21"/>
                <w:lang w:val="en-US" w:eastAsia="zh-CN" w:bidi="ar"/>
              </w:rPr>
              <w:t>4</w:t>
            </w:r>
          </w:p>
        </w:tc>
        <w:tc>
          <w:tcPr>
            <w:tcW w:w="1252" w:type="dxa"/>
            <w:tcBorders>
              <w:top w:val="single" w:color="auto" w:sz="4" w:space="0"/>
              <w:left w:val="single" w:color="auto" w:sz="4" w:space="0"/>
              <w:bottom w:val="single" w:color="auto" w:sz="4" w:space="0"/>
              <w:right w:val="single" w:color="auto" w:sz="4" w:space="0"/>
            </w:tcBorders>
            <w:shd w:val="clear" w:color="auto" w:fill="FFFFFF"/>
            <w:vAlign w:val="center"/>
          </w:tcPr>
          <w:p w14:paraId="6CE1FBBD">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7.49</w:t>
            </w:r>
          </w:p>
        </w:tc>
      </w:tr>
      <w:tr w14:paraId="4A17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718" w:type="dxa"/>
            <w:vMerge w:val="continue"/>
            <w:tcBorders>
              <w:left w:val="single" w:color="auto" w:sz="4" w:space="0"/>
              <w:bottom w:val="single" w:color="auto" w:sz="4" w:space="0"/>
              <w:right w:val="single" w:color="auto" w:sz="4" w:space="0"/>
            </w:tcBorders>
            <w:shd w:val="clear" w:color="auto" w:fill="FFFFFF"/>
            <w:vAlign w:val="center"/>
          </w:tcPr>
          <w:p w14:paraId="3BDD73F7">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886" w:type="dxa"/>
            <w:vMerge w:val="continue"/>
            <w:tcBorders>
              <w:left w:val="single" w:color="auto" w:sz="4" w:space="0"/>
              <w:bottom w:val="single" w:color="auto" w:sz="4" w:space="0"/>
              <w:right w:val="single" w:color="auto" w:sz="4" w:space="0"/>
            </w:tcBorders>
            <w:shd w:val="clear" w:color="auto" w:fill="FFFFFF"/>
            <w:vAlign w:val="center"/>
          </w:tcPr>
          <w:p w14:paraId="409026AE">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959" w:type="dxa"/>
            <w:vMerge w:val="continue"/>
            <w:tcBorders>
              <w:left w:val="single" w:color="auto" w:sz="4" w:space="0"/>
              <w:bottom w:val="single" w:color="auto" w:sz="4" w:space="0"/>
              <w:right w:val="single" w:color="auto" w:sz="4" w:space="0"/>
            </w:tcBorders>
            <w:shd w:val="clear" w:color="auto" w:fill="FFFFFF"/>
            <w:vAlign w:val="center"/>
          </w:tcPr>
          <w:p w14:paraId="13D50C7B">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849" w:type="dxa"/>
            <w:tcBorders>
              <w:top w:val="single" w:color="auto" w:sz="4" w:space="0"/>
              <w:left w:val="single" w:color="auto" w:sz="4" w:space="0"/>
              <w:bottom w:val="single" w:color="auto" w:sz="4" w:space="0"/>
              <w:right w:val="single" w:color="auto" w:sz="4" w:space="0"/>
            </w:tcBorders>
            <w:shd w:val="clear" w:color="auto" w:fill="FFFFFF"/>
            <w:vAlign w:val="center"/>
          </w:tcPr>
          <w:p w14:paraId="6690C345">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
              </w:rPr>
              <w:t>无组织</w:t>
            </w:r>
          </w:p>
        </w:tc>
        <w:tc>
          <w:tcPr>
            <w:tcW w:w="1140" w:type="dxa"/>
            <w:tcBorders>
              <w:top w:val="single" w:color="auto" w:sz="4" w:space="0"/>
              <w:left w:val="single" w:color="auto" w:sz="4" w:space="0"/>
              <w:bottom w:val="single" w:color="auto" w:sz="4" w:space="0"/>
              <w:right w:val="single" w:color="auto" w:sz="4" w:space="0"/>
            </w:tcBorders>
            <w:shd w:val="clear" w:color="auto" w:fill="FFFFFF"/>
            <w:vAlign w:val="center"/>
          </w:tcPr>
          <w:p w14:paraId="1F1CE1C5">
            <w:pPr>
              <w:keepNext w:val="0"/>
              <w:keepLines w:val="0"/>
              <w:widowControl/>
              <w:suppressLineNumbers w:val="0"/>
              <w:snapToGrid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
              </w:rPr>
              <w:t>生产厂房</w:t>
            </w:r>
          </w:p>
        </w:tc>
        <w:tc>
          <w:tcPr>
            <w:tcW w:w="1100" w:type="dxa"/>
            <w:tcBorders>
              <w:top w:val="single" w:color="auto" w:sz="4" w:space="0"/>
              <w:left w:val="single" w:color="auto" w:sz="4" w:space="0"/>
              <w:bottom w:val="single" w:color="auto" w:sz="4" w:space="0"/>
              <w:right w:val="single" w:color="auto" w:sz="4" w:space="0"/>
            </w:tcBorders>
            <w:shd w:val="clear" w:color="auto" w:fill="FFFFFF"/>
            <w:vAlign w:val="center"/>
          </w:tcPr>
          <w:p w14:paraId="3286854D">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rPr>
              <w:t>0.</w:t>
            </w:r>
            <w:r>
              <w:rPr>
                <w:rFonts w:hint="eastAsia" w:ascii="Arial" w:hAnsi="Arial" w:eastAsia="宋体" w:cs="Arial"/>
                <w:b w:val="0"/>
                <w:color w:val="000000"/>
                <w:kern w:val="0"/>
                <w:sz w:val="21"/>
                <w:szCs w:val="21"/>
                <w:lang w:val="en-US" w:eastAsia="zh-CN"/>
              </w:rPr>
              <w:t>191</w:t>
            </w:r>
          </w:p>
        </w:tc>
        <w:tc>
          <w:tcPr>
            <w:tcW w:w="1033" w:type="dxa"/>
            <w:tcBorders>
              <w:top w:val="single" w:color="auto" w:sz="4" w:space="0"/>
              <w:left w:val="single" w:color="auto" w:sz="4" w:space="0"/>
              <w:bottom w:val="single" w:color="auto" w:sz="4" w:space="0"/>
              <w:right w:val="single" w:color="auto" w:sz="4" w:space="0"/>
            </w:tcBorders>
            <w:shd w:val="clear" w:color="auto" w:fill="FFFFFF"/>
            <w:vAlign w:val="center"/>
          </w:tcPr>
          <w:p w14:paraId="014292DE">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color w:val="000000"/>
                <w:kern w:val="2"/>
                <w:sz w:val="21"/>
                <w:szCs w:val="21"/>
                <w:lang w:val="en-US" w:eastAsia="zh-CN" w:bidi="ar"/>
              </w:rPr>
              <w:t>0.</w:t>
            </w:r>
            <w:r>
              <w:rPr>
                <w:rFonts w:hint="eastAsia" w:ascii="Arial" w:hAnsi="Arial" w:eastAsia="宋体" w:cs="Arial"/>
                <w:color w:val="000000"/>
                <w:kern w:val="2"/>
                <w:sz w:val="21"/>
                <w:szCs w:val="21"/>
                <w:lang w:val="en-US" w:eastAsia="zh-CN" w:bidi="ar"/>
              </w:rPr>
              <w:t>04</w:t>
            </w:r>
          </w:p>
        </w:tc>
        <w:tc>
          <w:tcPr>
            <w:tcW w:w="1252" w:type="dxa"/>
            <w:tcBorders>
              <w:top w:val="single" w:color="auto" w:sz="4" w:space="0"/>
              <w:left w:val="single" w:color="auto" w:sz="4" w:space="0"/>
              <w:bottom w:val="single" w:color="auto" w:sz="4" w:space="0"/>
              <w:right w:val="single" w:color="auto" w:sz="4" w:space="0"/>
            </w:tcBorders>
            <w:shd w:val="clear" w:color="auto" w:fill="FFFFFF"/>
            <w:vAlign w:val="center"/>
          </w:tcPr>
          <w:p w14:paraId="206D280C">
            <w:pPr>
              <w:keepNext w:val="0"/>
              <w:keepLines w:val="0"/>
              <w:widowControl/>
              <w:suppressLineNumbers w:val="0"/>
              <w:spacing w:before="0" w:beforeAutospacing="0" w:after="0" w:afterAutospacing="0"/>
              <w:ind w:left="0" w:leftChars="0" w:right="0" w:rightChars="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
              </w:rPr>
              <w:t>/</w:t>
            </w:r>
          </w:p>
        </w:tc>
      </w:tr>
    </w:tbl>
    <w:p w14:paraId="6A695119">
      <w:pPr>
        <w:numPr>
          <w:ilvl w:val="0"/>
          <w:numId w:val="0"/>
        </w:numPr>
        <w:spacing w:line="360" w:lineRule="auto"/>
        <w:jc w:val="left"/>
        <w:rPr>
          <w:rFonts w:hint="default" w:ascii="Arial" w:hAnsi="Arial" w:eastAsia="宋体" w:cs="Arial"/>
          <w:bCs/>
          <w:color w:val="000000" w:themeColor="text1"/>
          <w:sz w:val="24"/>
          <w:szCs w:val="24"/>
          <w14:textFill>
            <w14:solidFill>
              <w14:schemeClr w14:val="tx1"/>
            </w14:solidFill>
          </w14:textFill>
        </w:rPr>
        <w:sectPr>
          <w:headerReference r:id="rId21"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5D6C935F">
      <w:pPr>
        <w:pStyle w:val="76"/>
        <w:keepNext w:val="0"/>
        <w:keepLines w:val="0"/>
        <w:pageBreakBefore w:val="0"/>
        <w:widowControl w:val="0"/>
        <w:numPr>
          <w:ilvl w:val="3"/>
          <w:numId w:val="5"/>
        </w:numPr>
        <w:kinsoku/>
        <w:wordWrap/>
        <w:overflowPunct/>
        <w:topLinePunct w:val="0"/>
        <w:autoSpaceDE/>
        <w:autoSpaceDN/>
        <w:bidi w:val="0"/>
        <w:adjustRightInd/>
        <w:snapToGrid/>
        <w:spacing w:line="240" w:lineRule="auto"/>
        <w:ind w:left="777" w:leftChars="0" w:firstLine="0" w:firstLineChars="0"/>
        <w:jc w:val="center"/>
        <w:textAlignment w:val="auto"/>
        <w:outlineLvl w:val="2"/>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 xml:space="preserve">  </w:t>
      </w:r>
      <w:r>
        <w:rPr>
          <w:rFonts w:hint="default" w:ascii="Arial" w:hAnsi="Arial" w:eastAsia="宋体" w:cs="Arial"/>
          <w:b/>
          <w:bCs/>
          <w:color w:val="000000"/>
          <w:kern w:val="0"/>
          <w:sz w:val="24"/>
          <w:szCs w:val="24"/>
          <w:lang w:val="en-US" w:eastAsia="zh-CN" w:bidi="ar"/>
        </w:rPr>
        <w:t>废气污染源强核算结果及相关参数汇总</w:t>
      </w:r>
    </w:p>
    <w:tbl>
      <w:tblPr>
        <w:tblStyle w:val="5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
        <w:gridCol w:w="879"/>
        <w:gridCol w:w="895"/>
        <w:gridCol w:w="913"/>
        <w:gridCol w:w="567"/>
        <w:gridCol w:w="700"/>
        <w:gridCol w:w="767"/>
        <w:gridCol w:w="830"/>
        <w:gridCol w:w="599"/>
        <w:gridCol w:w="968"/>
        <w:gridCol w:w="794"/>
        <w:gridCol w:w="598"/>
        <w:gridCol w:w="763"/>
        <w:gridCol w:w="889"/>
        <w:gridCol w:w="1016"/>
        <w:gridCol w:w="763"/>
        <w:gridCol w:w="762"/>
      </w:tblGrid>
      <w:tr w14:paraId="2ABB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6A5CBD">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污染工序</w:t>
            </w:r>
          </w:p>
        </w:tc>
        <w:tc>
          <w:tcPr>
            <w:tcW w:w="8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E0D04D">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污染因子</w:t>
            </w:r>
          </w:p>
        </w:tc>
        <w:tc>
          <w:tcPr>
            <w:tcW w:w="8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3CD1DB">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污染源</w:t>
            </w:r>
          </w:p>
        </w:tc>
        <w:tc>
          <w:tcPr>
            <w:tcW w:w="91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11A0CF">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产生量t/a</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FCCF2E">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核算方法</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836B9B">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年工作时间h</w:t>
            </w:r>
          </w:p>
        </w:tc>
        <w:tc>
          <w:tcPr>
            <w:tcW w:w="7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2EC7CC">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最大产生速率kg/h</w:t>
            </w:r>
          </w:p>
        </w:tc>
        <w:tc>
          <w:tcPr>
            <w:tcW w:w="8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B1FB1D">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收集方式</w:t>
            </w:r>
          </w:p>
        </w:tc>
        <w:tc>
          <w:tcPr>
            <w:tcW w:w="5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8A036C">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收集效率</w:t>
            </w:r>
          </w:p>
          <w:p w14:paraId="4C4BD092">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39A9D5">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处理量</w:t>
            </w:r>
          </w:p>
          <w:p w14:paraId="3C3B3E11">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t/a</w:t>
            </w:r>
          </w:p>
        </w:tc>
        <w:tc>
          <w:tcPr>
            <w:tcW w:w="7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A35CED">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采取的污染防治措施</w:t>
            </w:r>
          </w:p>
        </w:tc>
        <w:tc>
          <w:tcPr>
            <w:tcW w:w="5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8211D5">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处理效率</w:t>
            </w:r>
          </w:p>
          <w:p w14:paraId="037ACC8E">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w:t>
            </w:r>
          </w:p>
        </w:tc>
        <w:tc>
          <w:tcPr>
            <w:tcW w:w="26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0BFF22">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有组织排放</w:t>
            </w:r>
          </w:p>
        </w:tc>
        <w:tc>
          <w:tcPr>
            <w:tcW w:w="15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0E986A">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无组织排放</w:t>
            </w:r>
          </w:p>
        </w:tc>
      </w:tr>
      <w:tr w14:paraId="679B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9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623654">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8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A52E61">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8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F7720F">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9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7D8082">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0EBF09">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529329">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7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648ADA">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8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B9826A">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59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CA9686">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9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0C1D43">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79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299809">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5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8738DE">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0F5A860C">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排放量</w:t>
            </w:r>
          </w:p>
          <w:p w14:paraId="615EA370">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t/a</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8ACF428">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排放速率</w:t>
            </w:r>
          </w:p>
          <w:p w14:paraId="77405705">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kg/h</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6299E7DE">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排放浓度</w:t>
            </w:r>
          </w:p>
          <w:p w14:paraId="5BFCF2EB">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mg/m</w:t>
            </w:r>
            <w:r>
              <w:rPr>
                <w:rFonts w:hint="default" w:ascii="Arial" w:hAnsi="Arial" w:eastAsia="宋体" w:cs="Arial"/>
                <w:b/>
                <w:bCs/>
                <w:color w:val="000000"/>
                <w:kern w:val="0"/>
                <w:sz w:val="21"/>
                <w:szCs w:val="21"/>
                <w:vertAlign w:val="superscript"/>
                <w:lang w:val="en-US" w:eastAsia="zh-CN" w:bidi="ar"/>
              </w:rPr>
              <w:t>3</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65A0B22">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排放量</w:t>
            </w:r>
          </w:p>
          <w:p w14:paraId="09A59F23">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t/a</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9036162">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排放速率</w:t>
            </w:r>
          </w:p>
          <w:p w14:paraId="7BBA33F0">
            <w:pPr>
              <w:keepNext w:val="0"/>
              <w:keepLines w:val="0"/>
              <w:widowControl/>
              <w:suppressLineNumbers w:val="0"/>
              <w:spacing w:before="0" w:beforeAutospacing="0" w:after="0" w:afterAutospacing="0" w:line="280" w:lineRule="exact"/>
              <w:ind w:left="0" w:right="0"/>
              <w:jc w:val="center"/>
              <w:rPr>
                <w:rFonts w:hint="default" w:ascii="Arial" w:hAnsi="Arial" w:eastAsia="宋体" w:cs="Arial"/>
                <w:b/>
                <w:bCs/>
                <w:color w:val="000000"/>
                <w:kern w:val="0"/>
                <w:sz w:val="21"/>
                <w:szCs w:val="21"/>
              </w:rPr>
            </w:pPr>
            <w:r>
              <w:rPr>
                <w:rFonts w:hint="default" w:ascii="Arial" w:hAnsi="Arial" w:eastAsia="宋体" w:cs="Arial"/>
                <w:b/>
                <w:bCs/>
                <w:color w:val="000000"/>
                <w:kern w:val="0"/>
                <w:sz w:val="21"/>
                <w:szCs w:val="21"/>
                <w:lang w:val="en-US" w:eastAsia="zh-CN" w:bidi="ar"/>
              </w:rPr>
              <w:t>kg/h</w:t>
            </w:r>
          </w:p>
        </w:tc>
      </w:tr>
      <w:tr w14:paraId="43AD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14:paraId="1A13E2A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抛丸</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7022FDD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颗粒物</w:t>
            </w:r>
          </w:p>
        </w:tc>
        <w:tc>
          <w:tcPr>
            <w:tcW w:w="895" w:type="dxa"/>
            <w:tcBorders>
              <w:top w:val="single" w:color="auto" w:sz="4" w:space="0"/>
              <w:left w:val="single" w:color="auto" w:sz="4" w:space="0"/>
              <w:bottom w:val="single" w:color="auto" w:sz="4" w:space="0"/>
              <w:right w:val="single" w:color="auto" w:sz="4" w:space="0"/>
            </w:tcBorders>
            <w:shd w:val="clear" w:color="auto" w:fill="auto"/>
            <w:vAlign w:val="center"/>
          </w:tcPr>
          <w:p w14:paraId="0A59079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0"/>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DA001</w:t>
            </w:r>
          </w:p>
        </w:tc>
        <w:tc>
          <w:tcPr>
            <w:tcW w:w="913" w:type="dxa"/>
            <w:tcBorders>
              <w:top w:val="single" w:color="auto" w:sz="4" w:space="0"/>
              <w:left w:val="single" w:color="auto" w:sz="4" w:space="0"/>
              <w:bottom w:val="single" w:color="auto" w:sz="4" w:space="0"/>
              <w:right w:val="single" w:color="auto" w:sz="4" w:space="0"/>
            </w:tcBorders>
            <w:shd w:val="clear" w:color="auto" w:fill="auto"/>
            <w:vAlign w:val="center"/>
          </w:tcPr>
          <w:p w14:paraId="3FAA547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0"/>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9.548</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FBB4C4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系数法</w:t>
            </w: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7EFC196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auto"/>
                <w:kern w:val="0"/>
                <w:sz w:val="21"/>
                <w:szCs w:val="21"/>
                <w:lang w:val="en-US" w:eastAsia="zh-CN" w:bidi="ar-SA"/>
              </w:rPr>
            </w:pPr>
            <w:r>
              <w:rPr>
                <w:rFonts w:hint="default" w:ascii="Arial" w:hAnsi="Arial" w:eastAsia="宋体" w:cs="Arial"/>
                <w:i w:val="0"/>
                <w:iCs w:val="0"/>
                <w:color w:val="auto"/>
                <w:kern w:val="0"/>
                <w:sz w:val="21"/>
                <w:szCs w:val="21"/>
                <w:u w:val="none"/>
                <w:lang w:val="en-US" w:eastAsia="zh-CN" w:bidi="ar"/>
              </w:rPr>
              <w:t>5000</w:t>
            </w:r>
          </w:p>
        </w:tc>
        <w:tc>
          <w:tcPr>
            <w:tcW w:w="767" w:type="dxa"/>
            <w:tcBorders>
              <w:top w:val="single" w:color="auto" w:sz="4" w:space="0"/>
              <w:left w:val="single" w:color="auto" w:sz="4" w:space="0"/>
              <w:bottom w:val="single" w:color="auto" w:sz="4" w:space="0"/>
              <w:right w:val="single" w:color="auto" w:sz="4" w:space="0"/>
            </w:tcBorders>
            <w:shd w:val="clear" w:color="auto" w:fill="auto"/>
            <w:vAlign w:val="center"/>
          </w:tcPr>
          <w:p w14:paraId="436974D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auto"/>
                <w:kern w:val="0"/>
                <w:sz w:val="21"/>
                <w:szCs w:val="21"/>
                <w:lang w:val="en-US" w:eastAsia="zh-CN" w:bidi="ar-SA"/>
              </w:rPr>
            </w:pPr>
            <w:r>
              <w:rPr>
                <w:rFonts w:hint="default" w:ascii="Arial" w:hAnsi="Arial" w:eastAsia="宋体" w:cs="Arial"/>
                <w:i w:val="0"/>
                <w:iCs w:val="0"/>
                <w:color w:val="auto"/>
                <w:kern w:val="0"/>
                <w:sz w:val="21"/>
                <w:szCs w:val="21"/>
                <w:u w:val="none"/>
                <w:lang w:val="en-US" w:eastAsia="zh-CN" w:bidi="ar"/>
              </w:rPr>
              <w:t>1.910</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14:paraId="2CE2228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密闭设备</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2034E66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auto"/>
                <w:kern w:val="0"/>
                <w:sz w:val="21"/>
                <w:szCs w:val="21"/>
                <w:lang w:val="en-US" w:eastAsia="zh-CN" w:bidi="ar-SA"/>
              </w:rPr>
            </w:pPr>
            <w:r>
              <w:rPr>
                <w:rFonts w:hint="default" w:ascii="Arial" w:hAnsi="Arial" w:eastAsia="宋体" w:cs="Arial"/>
                <w:i w:val="0"/>
                <w:iCs w:val="0"/>
                <w:color w:val="auto"/>
                <w:kern w:val="0"/>
                <w:sz w:val="21"/>
                <w:szCs w:val="21"/>
                <w:u w:val="none"/>
                <w:lang w:val="en-US" w:eastAsia="zh-CN" w:bidi="ar"/>
              </w:rPr>
              <w:t>98%</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1065727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auto"/>
                <w:kern w:val="2"/>
                <w:sz w:val="21"/>
                <w:szCs w:val="21"/>
                <w:lang w:val="en-US" w:eastAsia="zh-CN" w:bidi="ar-SA"/>
              </w:rPr>
            </w:pPr>
            <w:r>
              <w:rPr>
                <w:rFonts w:hint="default" w:ascii="Arial" w:hAnsi="Arial" w:eastAsia="宋体" w:cs="Arial"/>
                <w:i w:val="0"/>
                <w:iCs w:val="0"/>
                <w:color w:val="auto"/>
                <w:kern w:val="0"/>
                <w:sz w:val="21"/>
                <w:szCs w:val="21"/>
                <w:u w:val="none"/>
                <w:lang w:val="en-US" w:eastAsia="zh-CN" w:bidi="ar"/>
              </w:rPr>
              <w:t>9.357</w:t>
            </w:r>
          </w:p>
        </w:tc>
        <w:tc>
          <w:tcPr>
            <w:tcW w:w="794" w:type="dxa"/>
            <w:tcBorders>
              <w:top w:val="single" w:color="auto" w:sz="4" w:space="0"/>
              <w:left w:val="single" w:color="auto" w:sz="4" w:space="0"/>
              <w:bottom w:val="single" w:color="auto" w:sz="4" w:space="0"/>
              <w:right w:val="single" w:color="auto" w:sz="4" w:space="0"/>
            </w:tcBorders>
            <w:shd w:val="clear" w:color="auto" w:fill="auto"/>
            <w:vAlign w:val="center"/>
          </w:tcPr>
          <w:p w14:paraId="6300F1C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auto"/>
                <w:kern w:val="0"/>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配套除尘设备</w:t>
            </w:r>
          </w:p>
        </w:tc>
        <w:tc>
          <w:tcPr>
            <w:tcW w:w="598" w:type="dxa"/>
            <w:tcBorders>
              <w:top w:val="single" w:color="auto" w:sz="4" w:space="0"/>
              <w:left w:val="single" w:color="auto" w:sz="4" w:space="0"/>
              <w:bottom w:val="single" w:color="auto" w:sz="4" w:space="0"/>
              <w:right w:val="single" w:color="auto" w:sz="4" w:space="0"/>
            </w:tcBorders>
            <w:shd w:val="clear" w:color="auto" w:fill="auto"/>
            <w:vAlign w:val="center"/>
          </w:tcPr>
          <w:p w14:paraId="34F61A9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0"/>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98%</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0C0C699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2"/>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0.187</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177630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2"/>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0.04</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09B573F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2"/>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7.49</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12B7600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2"/>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0.191</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4BDC49F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color w:val="000000"/>
                <w:kern w:val="2"/>
                <w:sz w:val="21"/>
                <w:szCs w:val="21"/>
                <w:lang w:val="en-US" w:eastAsia="zh-CN" w:bidi="ar-SA"/>
              </w:rPr>
            </w:pPr>
            <w:r>
              <w:rPr>
                <w:rFonts w:hint="default" w:ascii="Arial" w:hAnsi="Arial" w:eastAsia="宋体" w:cs="Arial"/>
                <w:i w:val="0"/>
                <w:iCs w:val="0"/>
                <w:color w:val="000000"/>
                <w:kern w:val="0"/>
                <w:sz w:val="21"/>
                <w:szCs w:val="21"/>
                <w:u w:val="none"/>
                <w:lang w:val="en-US" w:eastAsia="zh-CN" w:bidi="ar"/>
              </w:rPr>
              <w:t>0.04</w:t>
            </w:r>
          </w:p>
        </w:tc>
      </w:tr>
    </w:tbl>
    <w:p w14:paraId="1C8CE14B">
      <w:pPr>
        <w:pStyle w:val="47"/>
        <w:keepNext w:val="0"/>
        <w:keepLines w:val="0"/>
        <w:widowControl w:val="0"/>
        <w:numPr>
          <w:ilvl w:val="3"/>
          <w:numId w:val="5"/>
        </w:numPr>
        <w:suppressLineNumbers w:val="0"/>
        <w:adjustRightInd w:val="0"/>
        <w:snapToGrid w:val="0"/>
        <w:spacing w:before="0" w:beforeAutospacing="1" w:after="0" w:afterAutospacing="1"/>
        <w:ind w:left="777" w:leftChars="0" w:right="210" w:rightChars="100" w:firstLine="0" w:firstLineChars="0"/>
        <w:jc w:val="center"/>
        <w:rPr>
          <w:rFonts w:hint="default" w:ascii="Arial" w:hAnsi="Arial" w:eastAsia="宋体" w:cs="Arial"/>
          <w:b/>
          <w:bCs/>
          <w:color w:val="000000"/>
          <w:kern w:val="0"/>
          <w:sz w:val="24"/>
          <w:szCs w:val="24"/>
        </w:rPr>
      </w:pPr>
      <w:r>
        <w:rPr>
          <w:rFonts w:hint="eastAsia" w:ascii="Arial" w:hAnsi="Arial" w:cs="Arial"/>
          <w:b/>
          <w:bCs/>
          <w:color w:val="000000"/>
          <w:kern w:val="0"/>
          <w:sz w:val="24"/>
          <w:szCs w:val="24"/>
          <w:lang w:val="en-US" w:eastAsia="zh-CN" w:bidi="ar"/>
        </w:rPr>
        <w:t xml:space="preserve">  </w:t>
      </w:r>
      <w:r>
        <w:rPr>
          <w:rFonts w:hint="default" w:ascii="Arial" w:hAnsi="Arial" w:eastAsia="宋体" w:cs="Arial"/>
          <w:b/>
          <w:bCs/>
          <w:color w:val="000000"/>
          <w:kern w:val="0"/>
          <w:sz w:val="24"/>
          <w:szCs w:val="24"/>
          <w:lang w:val="en-US" w:eastAsia="zh-CN" w:bidi="ar"/>
        </w:rPr>
        <w:t>建设项目废气排放口基本情况</w:t>
      </w:r>
    </w:p>
    <w:tbl>
      <w:tblPr>
        <w:tblStyle w:val="5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28" w:type="dxa"/>
          <w:left w:w="108" w:type="dxa"/>
          <w:bottom w:w="28" w:type="dxa"/>
          <w:right w:w="108" w:type="dxa"/>
        </w:tblCellMar>
      </w:tblPr>
      <w:tblGrid>
        <w:gridCol w:w="1064"/>
        <w:gridCol w:w="1679"/>
        <w:gridCol w:w="1483"/>
        <w:gridCol w:w="1534"/>
        <w:gridCol w:w="1043"/>
        <w:gridCol w:w="1325"/>
        <w:gridCol w:w="1185"/>
        <w:gridCol w:w="1111"/>
        <w:gridCol w:w="1194"/>
        <w:gridCol w:w="915"/>
        <w:gridCol w:w="1073"/>
      </w:tblGrid>
      <w:tr w14:paraId="6596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06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AC7192E">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名称</w:t>
            </w:r>
          </w:p>
        </w:tc>
        <w:tc>
          <w:tcPr>
            <w:tcW w:w="1480"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E0C0295">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排气筒底部中心地理坐标</w:t>
            </w:r>
          </w:p>
        </w:tc>
        <w:tc>
          <w:tcPr>
            <w:tcW w:w="1531"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A960C5F">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lang w:val="en-US" w:eastAsia="zh-CN" w:bidi="ar"/>
              </w:rPr>
            </w:pPr>
            <w:r>
              <w:rPr>
                <w:rFonts w:hint="default" w:ascii="Arial" w:hAnsi="Arial" w:eastAsia="宋体" w:cs="Arial"/>
                <w:b/>
                <w:color w:val="000000"/>
                <w:kern w:val="2"/>
                <w:sz w:val="21"/>
                <w:szCs w:val="21"/>
                <w:lang w:val="en-US" w:eastAsia="zh-CN" w:bidi="ar"/>
              </w:rPr>
              <w:t>排气筒底部高程</w:t>
            </w:r>
          </w:p>
          <w:p w14:paraId="5636B198">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（m）</w:t>
            </w:r>
          </w:p>
        </w:tc>
        <w:tc>
          <w:tcPr>
            <w:tcW w:w="1041"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B93CFB6">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排气筒高度m</w:t>
            </w:r>
          </w:p>
        </w:tc>
        <w:tc>
          <w:tcPr>
            <w:tcW w:w="132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57FA78F">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排气筒出口内径m</w:t>
            </w:r>
          </w:p>
        </w:tc>
        <w:tc>
          <w:tcPr>
            <w:tcW w:w="118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3D708BA">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烟气流量m</w:t>
            </w:r>
            <w:r>
              <w:rPr>
                <w:rFonts w:hint="default" w:ascii="Arial" w:hAnsi="Arial" w:eastAsia="宋体" w:cs="Arial"/>
                <w:b/>
                <w:color w:val="000000"/>
                <w:kern w:val="2"/>
                <w:sz w:val="21"/>
                <w:szCs w:val="21"/>
                <w:vertAlign w:val="superscript"/>
                <w:lang w:val="en-US" w:eastAsia="zh-CN" w:bidi="ar"/>
              </w:rPr>
              <w:t>3</w:t>
            </w:r>
            <w:r>
              <w:rPr>
                <w:rFonts w:hint="default" w:ascii="Arial" w:hAnsi="Arial" w:eastAsia="宋体" w:cs="Arial"/>
                <w:b/>
                <w:color w:val="000000"/>
                <w:kern w:val="2"/>
                <w:sz w:val="21"/>
                <w:szCs w:val="21"/>
                <w:lang w:val="en-US" w:eastAsia="zh-CN" w:bidi="ar"/>
              </w:rPr>
              <w:t>/h</w:t>
            </w:r>
          </w:p>
        </w:tc>
        <w:tc>
          <w:tcPr>
            <w:tcW w:w="1109"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2D65BAE">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烟气温度℃</w:t>
            </w:r>
          </w:p>
        </w:tc>
        <w:tc>
          <w:tcPr>
            <w:tcW w:w="119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7157936">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年排放小时数h</w:t>
            </w:r>
          </w:p>
        </w:tc>
        <w:tc>
          <w:tcPr>
            <w:tcW w:w="91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F8170E1">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排放工况</w:t>
            </w:r>
          </w:p>
        </w:tc>
        <w:tc>
          <w:tcPr>
            <w:tcW w:w="1070" w:type="dxa"/>
            <w:tcBorders>
              <w:top w:val="single" w:color="auto" w:sz="4" w:space="0"/>
              <w:left w:val="single" w:color="auto" w:sz="4" w:space="0"/>
              <w:bottom w:val="nil"/>
              <w:right w:val="single" w:color="auto" w:sz="4" w:space="0"/>
            </w:tcBorders>
            <w:shd w:val="clear" w:color="auto" w:fill="FFFFFF"/>
            <w:vAlign w:val="center"/>
          </w:tcPr>
          <w:p w14:paraId="2191C608">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lang w:val="en-US" w:eastAsia="zh-CN" w:bidi="ar"/>
              </w:rPr>
            </w:pPr>
            <w:r>
              <w:rPr>
                <w:rFonts w:hint="default" w:ascii="Arial" w:hAnsi="Arial" w:eastAsia="宋体" w:cs="Arial"/>
                <w:b/>
                <w:color w:val="000000"/>
                <w:kern w:val="2"/>
                <w:sz w:val="21"/>
                <w:szCs w:val="21"/>
                <w:lang w:val="en-US" w:eastAsia="zh-CN" w:bidi="ar"/>
              </w:rPr>
              <w:t>污染物最大排放速率</w:t>
            </w:r>
          </w:p>
          <w:p w14:paraId="14B34DC3">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（kg/h）</w:t>
            </w:r>
          </w:p>
        </w:tc>
      </w:tr>
      <w:tr w14:paraId="19D0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108" w:type="dxa"/>
            <w:bottom w:w="28" w:type="dxa"/>
            <w:right w:w="108" w:type="dxa"/>
          </w:tblCellMar>
        </w:tblPrEx>
        <w:trPr>
          <w:trHeight w:val="0" w:hRule="atLeast"/>
          <w:tblHeader/>
          <w:jc w:val="center"/>
        </w:trPr>
        <w:tc>
          <w:tcPr>
            <w:tcW w:w="106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8B3A167">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67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4942FF">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经度（°）</w:t>
            </w:r>
          </w:p>
        </w:tc>
        <w:tc>
          <w:tcPr>
            <w:tcW w:w="14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D15A49">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纬度（°）</w:t>
            </w:r>
          </w:p>
        </w:tc>
        <w:tc>
          <w:tcPr>
            <w:tcW w:w="1531"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E8B92F9">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041"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D24CD3D">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32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93F082C">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183"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73F1B1A">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10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7EF5C84">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19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827CCE8">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91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569A56E">
            <w:pPr>
              <w:keepNext w:val="0"/>
              <w:keepLines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sz w:val="21"/>
                <w:szCs w:val="20"/>
              </w:rPr>
            </w:pPr>
          </w:p>
        </w:tc>
        <w:tc>
          <w:tcPr>
            <w:tcW w:w="107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84D53F">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color w:val="000000"/>
                <w:kern w:val="2"/>
                <w:sz w:val="21"/>
                <w:szCs w:val="21"/>
              </w:rPr>
            </w:pPr>
            <w:r>
              <w:rPr>
                <w:rFonts w:hint="default" w:ascii="Arial" w:hAnsi="Arial" w:eastAsia="宋体" w:cs="Arial"/>
                <w:b/>
                <w:color w:val="000000"/>
                <w:kern w:val="2"/>
                <w:sz w:val="21"/>
                <w:szCs w:val="21"/>
                <w:lang w:val="en-US" w:eastAsia="zh-CN" w:bidi="ar"/>
              </w:rPr>
              <w:t>颗粒物</w:t>
            </w:r>
          </w:p>
        </w:tc>
      </w:tr>
      <w:tr w14:paraId="28E5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108" w:type="dxa"/>
            <w:bottom w:w="28" w:type="dxa"/>
            <w:right w:w="108" w:type="dxa"/>
          </w:tblCellMar>
        </w:tblPrEx>
        <w:trPr>
          <w:trHeight w:val="0" w:hRule="atLeast"/>
          <w:jc w:val="center"/>
        </w:trPr>
        <w:tc>
          <w:tcPr>
            <w:tcW w:w="106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93F817">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DA001</w:t>
            </w:r>
          </w:p>
        </w:tc>
        <w:tc>
          <w:tcPr>
            <w:tcW w:w="167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A4448C">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120.984391791</w:t>
            </w:r>
          </w:p>
        </w:tc>
        <w:tc>
          <w:tcPr>
            <w:tcW w:w="14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AEDFD0">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30.7532241</w:t>
            </w:r>
          </w:p>
        </w:tc>
        <w:tc>
          <w:tcPr>
            <w:tcW w:w="153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169798">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lang w:val="en-US" w:eastAsia="zh-CN"/>
              </w:rPr>
            </w:pPr>
            <w:r>
              <w:rPr>
                <w:rFonts w:hint="default" w:ascii="Arial" w:hAnsi="Arial" w:eastAsia="宋体" w:cs="Arial"/>
                <w:b w:val="0"/>
                <w:color w:val="000000"/>
                <w:kern w:val="2"/>
                <w:sz w:val="21"/>
                <w:szCs w:val="21"/>
                <w:lang w:val="en-US" w:eastAsia="zh-CN"/>
              </w:rPr>
              <w:t>23</w:t>
            </w:r>
          </w:p>
        </w:tc>
        <w:tc>
          <w:tcPr>
            <w:tcW w:w="104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71E7F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3</w:t>
            </w:r>
          </w:p>
        </w:tc>
        <w:tc>
          <w:tcPr>
            <w:tcW w:w="132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DBCBCE">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lang w:val="en-US" w:eastAsia="zh-CN"/>
              </w:rPr>
            </w:pPr>
            <w:r>
              <w:rPr>
                <w:rFonts w:hint="eastAsia" w:ascii="Arial" w:hAnsi="Arial" w:eastAsia="宋体" w:cs="Arial"/>
                <w:b w:val="0"/>
                <w:color w:val="000000"/>
                <w:kern w:val="2"/>
                <w:sz w:val="21"/>
                <w:szCs w:val="21"/>
                <w:lang w:val="en-US" w:eastAsia="zh-CN"/>
              </w:rPr>
              <w:t>0.12</w:t>
            </w:r>
          </w:p>
        </w:tc>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15188A">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lang w:val="en-US" w:eastAsia="zh-CN"/>
              </w:rPr>
            </w:pPr>
            <w:r>
              <w:rPr>
                <w:rFonts w:hint="eastAsia" w:ascii="Arial" w:hAnsi="Arial" w:eastAsia="宋体" w:cs="Arial"/>
                <w:b w:val="0"/>
                <w:color w:val="000000"/>
                <w:kern w:val="2"/>
                <w:sz w:val="21"/>
                <w:szCs w:val="21"/>
                <w:lang w:val="en-US" w:eastAsia="zh-CN"/>
              </w:rPr>
              <w:t>5000</w:t>
            </w:r>
          </w:p>
        </w:tc>
        <w:tc>
          <w:tcPr>
            <w:tcW w:w="110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A6B5B7">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25</w:t>
            </w:r>
          </w:p>
        </w:tc>
        <w:tc>
          <w:tcPr>
            <w:tcW w:w="119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9AF886">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lang w:val="en-US" w:eastAsia="zh-CN"/>
              </w:rPr>
            </w:pPr>
            <w:r>
              <w:rPr>
                <w:rFonts w:hint="default" w:ascii="Arial" w:hAnsi="Arial" w:eastAsia="宋体" w:cs="Arial"/>
                <w:b w:val="0"/>
                <w:color w:val="000000"/>
                <w:kern w:val="2"/>
                <w:sz w:val="21"/>
                <w:szCs w:val="21"/>
                <w:lang w:val="en-US" w:eastAsia="zh-CN"/>
              </w:rPr>
              <w:t>5000</w:t>
            </w:r>
          </w:p>
        </w:tc>
        <w:tc>
          <w:tcPr>
            <w:tcW w:w="9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A6343C">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正常</w:t>
            </w:r>
          </w:p>
        </w:tc>
        <w:tc>
          <w:tcPr>
            <w:tcW w:w="107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D5157B">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Arial" w:hAnsi="Arial" w:eastAsia="宋体" w:cs="Arial"/>
                <w:b w:val="0"/>
                <w:color w:val="000000"/>
                <w:kern w:val="2"/>
                <w:sz w:val="21"/>
                <w:szCs w:val="21"/>
                <w:lang w:val="en-US"/>
              </w:rPr>
            </w:pPr>
            <w:r>
              <w:rPr>
                <w:rFonts w:hint="default" w:ascii="Arial" w:hAnsi="Arial" w:eastAsia="宋体" w:cs="Arial"/>
                <w:b w:val="0"/>
                <w:color w:val="000000"/>
                <w:kern w:val="2"/>
                <w:sz w:val="21"/>
                <w:szCs w:val="21"/>
                <w:lang w:val="en-US" w:eastAsia="zh-CN"/>
              </w:rPr>
              <w:t>0.</w:t>
            </w:r>
            <w:r>
              <w:rPr>
                <w:rFonts w:hint="eastAsia" w:ascii="Arial" w:hAnsi="Arial" w:eastAsia="宋体" w:cs="Arial"/>
                <w:b w:val="0"/>
                <w:color w:val="000000"/>
                <w:kern w:val="2"/>
                <w:sz w:val="21"/>
                <w:szCs w:val="21"/>
                <w:lang w:val="en-US" w:eastAsia="zh-CN"/>
              </w:rPr>
              <w:t>04</w:t>
            </w:r>
          </w:p>
        </w:tc>
      </w:tr>
    </w:tbl>
    <w:p w14:paraId="7452D64A">
      <w:pPr>
        <w:pStyle w:val="47"/>
        <w:keepNext w:val="0"/>
        <w:keepLines w:val="0"/>
        <w:widowControl w:val="0"/>
        <w:numPr>
          <w:ilvl w:val="3"/>
          <w:numId w:val="5"/>
        </w:numPr>
        <w:suppressLineNumbers w:val="0"/>
        <w:autoSpaceDE w:val="0"/>
        <w:autoSpaceDN/>
        <w:adjustRightInd w:val="0"/>
        <w:snapToGrid w:val="0"/>
        <w:spacing w:before="171" w:beforeLines="50" w:beforeAutospacing="0" w:after="0" w:afterAutospacing="1"/>
        <w:ind w:left="777" w:leftChars="0" w:right="210" w:rightChars="100" w:firstLine="0" w:firstLineChars="0"/>
        <w:jc w:val="center"/>
        <w:rPr>
          <w:rFonts w:hint="default" w:ascii="Arial" w:hAnsi="Arial" w:eastAsia="宋体" w:cs="Arial"/>
          <w:b/>
          <w:bCs/>
          <w:color w:val="000000"/>
          <w:kern w:val="0"/>
          <w:sz w:val="24"/>
          <w:szCs w:val="24"/>
        </w:rPr>
      </w:pPr>
      <w:r>
        <w:rPr>
          <w:rFonts w:hint="eastAsia" w:ascii="Arial" w:hAnsi="Arial" w:cs="Arial"/>
          <w:b/>
          <w:bCs/>
          <w:color w:val="000000"/>
          <w:kern w:val="0"/>
          <w:sz w:val="24"/>
          <w:szCs w:val="24"/>
          <w:lang w:val="en-US" w:eastAsia="zh-CN" w:bidi="ar"/>
        </w:rPr>
        <w:t xml:space="preserve">  </w:t>
      </w:r>
      <w:r>
        <w:rPr>
          <w:rFonts w:hint="default" w:ascii="Arial" w:hAnsi="Arial" w:eastAsia="宋体" w:cs="Arial"/>
          <w:b/>
          <w:bCs/>
          <w:color w:val="000000"/>
          <w:kern w:val="0"/>
          <w:sz w:val="24"/>
          <w:szCs w:val="24"/>
          <w:lang w:val="en-US" w:eastAsia="zh-CN" w:bidi="ar"/>
        </w:rPr>
        <w:t>建设项目面源排放基本情况</w:t>
      </w:r>
    </w:p>
    <w:tbl>
      <w:tblPr>
        <w:tblStyle w:val="5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55"/>
        <w:gridCol w:w="1712"/>
        <w:gridCol w:w="1745"/>
        <w:gridCol w:w="1435"/>
        <w:gridCol w:w="914"/>
        <w:gridCol w:w="1043"/>
        <w:gridCol w:w="1276"/>
        <w:gridCol w:w="1112"/>
        <w:gridCol w:w="672"/>
        <w:gridCol w:w="2242"/>
      </w:tblGrid>
      <w:tr w14:paraId="44CF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455"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F117420">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名称</w:t>
            </w:r>
          </w:p>
        </w:tc>
        <w:tc>
          <w:tcPr>
            <w:tcW w:w="345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A97B197">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bCs/>
                <w:color w:val="000000"/>
                <w:kern w:val="2"/>
                <w:sz w:val="21"/>
                <w:szCs w:val="21"/>
              </w:rPr>
            </w:pPr>
            <w:r>
              <w:rPr>
                <w:rFonts w:hint="default" w:ascii="Arial" w:hAnsi="Arial" w:eastAsia="宋体" w:cs="Arial"/>
                <w:b/>
                <w:bCs/>
                <w:color w:val="000000"/>
                <w:kern w:val="2"/>
                <w:sz w:val="21"/>
                <w:szCs w:val="21"/>
                <w:lang w:val="en-US" w:eastAsia="zh-CN" w:bidi="ar"/>
              </w:rPr>
              <w:t>面源中心地理坐标</w:t>
            </w:r>
          </w:p>
        </w:tc>
        <w:tc>
          <w:tcPr>
            <w:tcW w:w="1435"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1B7FD43">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bCs/>
                <w:color w:val="000000"/>
                <w:kern w:val="2"/>
                <w:sz w:val="21"/>
                <w:szCs w:val="21"/>
              </w:rPr>
            </w:pPr>
            <w:r>
              <w:rPr>
                <w:rFonts w:hint="default" w:ascii="Arial" w:hAnsi="Arial" w:eastAsia="宋体" w:cs="Arial"/>
                <w:b/>
                <w:bCs/>
                <w:color w:val="000000"/>
                <w:kern w:val="2"/>
                <w:sz w:val="21"/>
                <w:szCs w:val="21"/>
                <w:lang w:val="en-US" w:eastAsia="zh-CN" w:bidi="ar"/>
              </w:rPr>
              <w:t>面源高程（m）</w:t>
            </w:r>
          </w:p>
        </w:tc>
        <w:tc>
          <w:tcPr>
            <w:tcW w:w="914"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7D3F8AB">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面源长度/m</w:t>
            </w:r>
          </w:p>
        </w:tc>
        <w:tc>
          <w:tcPr>
            <w:tcW w:w="1043"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2C0D04E">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面源宽度/m</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E668843">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面源有效排放高度/m</w:t>
            </w:r>
          </w:p>
        </w:tc>
        <w:tc>
          <w:tcPr>
            <w:tcW w:w="111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9809C83">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年排放小时数/h</w:t>
            </w:r>
          </w:p>
        </w:tc>
        <w:tc>
          <w:tcPr>
            <w:tcW w:w="672"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D3F7C36">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排放工况</w:t>
            </w:r>
          </w:p>
        </w:tc>
        <w:tc>
          <w:tcPr>
            <w:tcW w:w="2527" w:type="dxa"/>
            <w:tcBorders>
              <w:top w:val="single" w:color="auto" w:sz="4" w:space="0"/>
              <w:left w:val="single" w:color="auto" w:sz="4" w:space="0"/>
              <w:bottom w:val="nil"/>
              <w:right w:val="single" w:color="auto" w:sz="4" w:space="0"/>
            </w:tcBorders>
            <w:shd w:val="clear" w:color="auto" w:fill="FFFFFF"/>
            <w:vAlign w:val="top"/>
          </w:tcPr>
          <w:p w14:paraId="061405C5">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bCs/>
                <w:color w:val="000000"/>
                <w:kern w:val="2"/>
                <w:sz w:val="21"/>
                <w:szCs w:val="21"/>
                <w:vertAlign w:val="baseline"/>
              </w:rPr>
            </w:pPr>
            <w:r>
              <w:rPr>
                <w:rFonts w:hint="default" w:ascii="Arial" w:hAnsi="Arial" w:eastAsia="宋体" w:cs="Arial"/>
                <w:b/>
                <w:bCs/>
                <w:color w:val="000000"/>
                <w:kern w:val="2"/>
                <w:sz w:val="21"/>
                <w:szCs w:val="21"/>
                <w:vertAlign w:val="baseline"/>
                <w:lang w:val="en-US" w:eastAsia="zh-CN" w:bidi="ar"/>
              </w:rPr>
              <w:t>污染物最大排放速率（kg/h）</w:t>
            </w:r>
          </w:p>
        </w:tc>
      </w:tr>
      <w:tr w14:paraId="67F1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455"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6C2F04C">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17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2C7DC7">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bCs/>
                <w:color w:val="000000"/>
                <w:kern w:val="2"/>
                <w:sz w:val="21"/>
                <w:szCs w:val="21"/>
              </w:rPr>
            </w:pPr>
            <w:r>
              <w:rPr>
                <w:rFonts w:hint="default" w:ascii="Arial" w:hAnsi="Arial" w:eastAsia="宋体" w:cs="Arial"/>
                <w:b/>
                <w:bCs/>
                <w:color w:val="000000"/>
                <w:kern w:val="2"/>
                <w:sz w:val="21"/>
                <w:szCs w:val="21"/>
                <w:lang w:val="en-US" w:eastAsia="zh-CN" w:bidi="ar"/>
              </w:rPr>
              <w:t>经度（°）</w:t>
            </w:r>
          </w:p>
        </w:tc>
        <w:tc>
          <w:tcPr>
            <w:tcW w:w="17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49B804">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bCs/>
                <w:color w:val="000000"/>
                <w:kern w:val="2"/>
                <w:sz w:val="21"/>
                <w:szCs w:val="21"/>
              </w:rPr>
            </w:pPr>
            <w:r>
              <w:rPr>
                <w:rFonts w:hint="default" w:ascii="Arial" w:hAnsi="Arial" w:eastAsia="宋体" w:cs="Arial"/>
                <w:b/>
                <w:bCs/>
                <w:color w:val="000000"/>
                <w:kern w:val="2"/>
                <w:sz w:val="21"/>
                <w:szCs w:val="21"/>
                <w:lang w:val="en-US" w:eastAsia="zh-CN" w:bidi="ar"/>
              </w:rPr>
              <w:t>纬度（°）</w:t>
            </w:r>
          </w:p>
        </w:tc>
        <w:tc>
          <w:tcPr>
            <w:tcW w:w="1435"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690B6D3">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914"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3009D66">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1043"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1C0501">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0B61FC1">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111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C0263C6">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672"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C225C07">
            <w:pPr>
              <w:keepNext w:val="0"/>
              <w:keepLines w:val="0"/>
              <w:suppressLineNumbers w:val="0"/>
              <w:spacing w:before="0" w:beforeAutospacing="0" w:after="0" w:afterAutospacing="0"/>
              <w:ind w:left="0" w:right="0"/>
              <w:rPr>
                <w:rFonts w:hint="default" w:ascii="Arial" w:hAnsi="Arial" w:eastAsia="宋体" w:cs="Arial"/>
                <w:b/>
                <w:bCs/>
                <w:sz w:val="20"/>
                <w:szCs w:val="20"/>
              </w:rPr>
            </w:pPr>
          </w:p>
        </w:tc>
        <w:tc>
          <w:tcPr>
            <w:tcW w:w="2527" w:type="dxa"/>
            <w:tcBorders>
              <w:top w:val="single" w:color="auto" w:sz="4" w:space="0"/>
              <w:left w:val="single" w:color="auto" w:sz="4" w:space="0"/>
              <w:bottom w:val="single" w:color="auto" w:sz="4" w:space="0"/>
              <w:right w:val="single" w:color="auto" w:sz="4" w:space="0"/>
            </w:tcBorders>
            <w:shd w:val="clear" w:color="auto" w:fill="FFFFFF"/>
            <w:vAlign w:val="center"/>
          </w:tcPr>
          <w:p w14:paraId="3394C163">
            <w:pPr>
              <w:keepNext w:val="0"/>
              <w:keepLines w:val="0"/>
              <w:widowControl w:val="0"/>
              <w:suppressLineNumbers w:val="0"/>
              <w:spacing w:before="0" w:beforeAutospacing="0" w:after="0" w:afterAutospacing="0"/>
              <w:ind w:left="0" w:right="0"/>
              <w:jc w:val="center"/>
              <w:rPr>
                <w:rFonts w:hint="default" w:ascii="Arial" w:hAnsi="Arial" w:eastAsia="宋体" w:cs="Arial"/>
                <w:b/>
                <w:bCs/>
                <w:color w:val="000000"/>
                <w:kern w:val="2"/>
                <w:sz w:val="21"/>
                <w:szCs w:val="21"/>
              </w:rPr>
            </w:pPr>
            <w:r>
              <w:rPr>
                <w:rFonts w:hint="default" w:ascii="Arial" w:hAnsi="Arial" w:eastAsia="宋体" w:cs="Arial"/>
                <w:b/>
                <w:bCs/>
                <w:color w:val="000000"/>
                <w:kern w:val="2"/>
                <w:sz w:val="21"/>
                <w:szCs w:val="21"/>
                <w:lang w:val="en-US" w:eastAsia="zh-CN" w:bidi="ar"/>
              </w:rPr>
              <w:t>颗粒物</w:t>
            </w:r>
          </w:p>
        </w:tc>
      </w:tr>
      <w:tr w14:paraId="798F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45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182101">
            <w:pPr>
              <w:keepNext w:val="0"/>
              <w:keepLines w:val="0"/>
              <w:widowControl w:val="0"/>
              <w:suppressLineNumbers w:val="0"/>
              <w:spacing w:before="0" w:beforeAutospacing="0" w:after="0" w:afterAutospacing="0"/>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1#生产车间</w:t>
            </w:r>
          </w:p>
        </w:tc>
        <w:tc>
          <w:tcPr>
            <w:tcW w:w="17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CCB58C">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rPr>
            </w:pPr>
            <w:r>
              <w:rPr>
                <w:rFonts w:hint="default" w:ascii="Arial" w:hAnsi="Arial" w:eastAsia="宋体" w:cs="Arial"/>
                <w:b w:val="0"/>
                <w:color w:val="000000"/>
                <w:kern w:val="2"/>
                <w:sz w:val="21"/>
                <w:szCs w:val="21"/>
                <w:vertAlign w:val="baseline"/>
              </w:rPr>
              <w:t>120.984660012</w:t>
            </w:r>
          </w:p>
        </w:tc>
        <w:tc>
          <w:tcPr>
            <w:tcW w:w="17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EAE6A09">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rPr>
            </w:pPr>
            <w:r>
              <w:rPr>
                <w:rFonts w:hint="default" w:ascii="Arial" w:hAnsi="Arial" w:eastAsia="宋体" w:cs="Arial"/>
                <w:b w:val="0"/>
                <w:color w:val="000000"/>
                <w:kern w:val="2"/>
                <w:sz w:val="21"/>
                <w:szCs w:val="21"/>
                <w:vertAlign w:val="baseline"/>
              </w:rPr>
              <w:t>30.753454780</w:t>
            </w:r>
          </w:p>
        </w:tc>
        <w:tc>
          <w:tcPr>
            <w:tcW w:w="14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625FD8">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lang w:val="en-US" w:eastAsia="zh-CN"/>
              </w:rPr>
            </w:pPr>
            <w:r>
              <w:rPr>
                <w:rFonts w:hint="default" w:ascii="Arial" w:hAnsi="Arial" w:eastAsia="宋体" w:cs="Arial"/>
                <w:b w:val="0"/>
                <w:color w:val="000000"/>
                <w:kern w:val="2"/>
                <w:sz w:val="21"/>
                <w:szCs w:val="21"/>
                <w:vertAlign w:val="baseline"/>
                <w:lang w:val="en-US" w:eastAsia="zh-CN"/>
              </w:rPr>
              <w:t>3.28</w:t>
            </w:r>
          </w:p>
        </w:tc>
        <w:tc>
          <w:tcPr>
            <w:tcW w:w="9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93892E">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lang w:val="en-US" w:eastAsia="zh-CN"/>
              </w:rPr>
            </w:pPr>
            <w:r>
              <w:rPr>
                <w:rFonts w:hint="default" w:ascii="Arial" w:hAnsi="Arial" w:eastAsia="宋体" w:cs="Arial"/>
                <w:b w:val="0"/>
                <w:color w:val="000000"/>
                <w:kern w:val="2"/>
                <w:sz w:val="21"/>
                <w:szCs w:val="21"/>
                <w:vertAlign w:val="baseline"/>
                <w:lang w:val="en-US" w:eastAsia="zh-CN"/>
              </w:rPr>
              <w:t>93.46</w:t>
            </w:r>
          </w:p>
        </w:tc>
        <w:tc>
          <w:tcPr>
            <w:tcW w:w="104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9B0920">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lang w:val="en-US"/>
              </w:rPr>
            </w:pPr>
            <w:r>
              <w:rPr>
                <w:rFonts w:hint="default" w:ascii="Arial" w:hAnsi="Arial" w:eastAsia="宋体" w:cs="Arial"/>
                <w:b w:val="0"/>
                <w:color w:val="000000"/>
                <w:kern w:val="2"/>
                <w:sz w:val="21"/>
                <w:szCs w:val="21"/>
                <w:vertAlign w:val="baseline"/>
                <w:lang w:val="en-US" w:eastAsia="zh-CN" w:bidi="ar"/>
              </w:rPr>
              <w:t>40.24</w:t>
            </w:r>
          </w:p>
        </w:tc>
        <w:tc>
          <w:tcPr>
            <w:tcW w:w="127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119BFE">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lang w:val="en-US" w:eastAsia="zh-CN"/>
              </w:rPr>
            </w:pPr>
            <w:r>
              <w:rPr>
                <w:rFonts w:hint="default" w:ascii="Arial" w:hAnsi="Arial" w:eastAsia="宋体" w:cs="Arial"/>
                <w:b w:val="0"/>
                <w:color w:val="000000"/>
                <w:kern w:val="2"/>
                <w:sz w:val="21"/>
                <w:szCs w:val="21"/>
                <w:vertAlign w:val="baseline"/>
                <w:lang w:val="en-US" w:eastAsia="zh-CN"/>
              </w:rPr>
              <w:t>2</w:t>
            </w:r>
          </w:p>
        </w:tc>
        <w:tc>
          <w:tcPr>
            <w:tcW w:w="11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61CA68">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lang w:val="en-US" w:eastAsia="zh-CN"/>
              </w:rPr>
            </w:pPr>
            <w:r>
              <w:rPr>
                <w:rFonts w:hint="default" w:ascii="Arial" w:hAnsi="Arial" w:eastAsia="宋体" w:cs="Arial"/>
                <w:b w:val="0"/>
                <w:color w:val="000000"/>
                <w:kern w:val="2"/>
                <w:sz w:val="21"/>
                <w:szCs w:val="21"/>
                <w:vertAlign w:val="baseline"/>
                <w:lang w:val="en-US" w:eastAsia="zh-CN"/>
              </w:rPr>
              <w:t>5000</w:t>
            </w:r>
          </w:p>
        </w:tc>
        <w:tc>
          <w:tcPr>
            <w:tcW w:w="67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4953A9">
            <w:pPr>
              <w:keepNext w:val="0"/>
              <w:keepLines w:val="0"/>
              <w:widowControl w:val="0"/>
              <w:suppressLineNumbers w:val="0"/>
              <w:spacing w:before="0" w:beforeAutospacing="0" w:after="0" w:afterAutospacing="0" w:line="240" w:lineRule="exact"/>
              <w:ind w:left="0" w:right="0"/>
              <w:jc w:val="center"/>
              <w:textAlignment w:val="baseline"/>
              <w:rPr>
                <w:rFonts w:hint="default" w:ascii="Arial" w:hAnsi="Arial" w:eastAsia="宋体" w:cs="Arial"/>
                <w:b w:val="0"/>
                <w:color w:val="000000"/>
                <w:kern w:val="2"/>
                <w:sz w:val="21"/>
                <w:szCs w:val="21"/>
                <w:vertAlign w:val="baseline"/>
              </w:rPr>
            </w:pPr>
            <w:r>
              <w:rPr>
                <w:rFonts w:hint="default" w:ascii="Arial" w:hAnsi="Arial" w:eastAsia="宋体" w:cs="Arial"/>
                <w:b w:val="0"/>
                <w:color w:val="000000"/>
                <w:kern w:val="2"/>
                <w:sz w:val="21"/>
                <w:szCs w:val="21"/>
                <w:vertAlign w:val="baseline"/>
                <w:lang w:val="en-US" w:eastAsia="zh-CN" w:bidi="ar"/>
              </w:rPr>
              <w:t>正常</w:t>
            </w:r>
          </w:p>
        </w:tc>
        <w:tc>
          <w:tcPr>
            <w:tcW w:w="2527" w:type="dxa"/>
            <w:tcBorders>
              <w:top w:val="single" w:color="auto" w:sz="4" w:space="0"/>
              <w:left w:val="single" w:color="auto" w:sz="4" w:space="0"/>
              <w:bottom w:val="single" w:color="auto" w:sz="4" w:space="0"/>
              <w:right w:val="single" w:color="auto" w:sz="4" w:space="0"/>
            </w:tcBorders>
            <w:shd w:val="clear" w:color="auto" w:fill="FFFFFF"/>
            <w:vAlign w:val="center"/>
          </w:tcPr>
          <w:p w14:paraId="45D78B49">
            <w:pPr>
              <w:keepNext w:val="0"/>
              <w:keepLines w:val="0"/>
              <w:widowControl w:val="0"/>
              <w:suppressLineNumbers w:val="0"/>
              <w:spacing w:before="0" w:beforeAutospacing="0" w:after="0" w:afterAutospacing="0"/>
              <w:ind w:left="0" w:right="0"/>
              <w:jc w:val="center"/>
              <w:rPr>
                <w:rFonts w:hint="default" w:ascii="Arial" w:hAnsi="Arial" w:eastAsia="宋体" w:cs="Arial"/>
                <w:b w:val="0"/>
                <w:color w:val="000000"/>
                <w:kern w:val="2"/>
                <w:sz w:val="21"/>
                <w:szCs w:val="21"/>
                <w:lang w:val="en-US" w:eastAsia="zh-CN"/>
              </w:rPr>
            </w:pPr>
            <w:r>
              <w:rPr>
                <w:rFonts w:hint="eastAsia" w:ascii="Arial" w:hAnsi="Arial" w:eastAsia="宋体" w:cs="Arial"/>
                <w:b w:val="0"/>
                <w:color w:val="000000"/>
                <w:kern w:val="2"/>
                <w:sz w:val="21"/>
                <w:szCs w:val="21"/>
                <w:lang w:val="en-US" w:eastAsia="zh-CN"/>
              </w:rPr>
              <w:t>0.04</w:t>
            </w:r>
          </w:p>
        </w:tc>
      </w:tr>
    </w:tbl>
    <w:p w14:paraId="056E4815">
      <w:pPr>
        <w:numPr>
          <w:ilvl w:val="0"/>
          <w:numId w:val="0"/>
        </w:numPr>
        <w:spacing w:line="360" w:lineRule="auto"/>
        <w:jc w:val="left"/>
        <w:rPr>
          <w:rFonts w:hint="default" w:ascii="Arial" w:hAnsi="Arial" w:eastAsia="宋体" w:cs="Arial"/>
          <w:bCs/>
          <w:color w:val="000000" w:themeColor="text1"/>
          <w:sz w:val="24"/>
          <w:szCs w:val="24"/>
          <w14:textFill>
            <w14:solidFill>
              <w14:schemeClr w14:val="tx1"/>
            </w14:solidFill>
          </w14:textFill>
        </w:rPr>
        <w:sectPr>
          <w:headerReference r:id="rId22" w:type="default"/>
          <w:pgSz w:w="16838" w:h="11906" w:orient="landscape"/>
          <w:pgMar w:top="1287" w:right="1440" w:bottom="1287" w:left="1440" w:header="851" w:footer="992" w:gutter="0"/>
          <w:pgBorders>
            <w:top w:val="single" w:color="auto" w:sz="4" w:space="1"/>
            <w:left w:val="single" w:color="auto" w:sz="4" w:space="4"/>
            <w:bottom w:val="single" w:color="auto" w:sz="4" w:space="1"/>
            <w:right w:val="single" w:color="auto" w:sz="4" w:space="4"/>
          </w:pgBorders>
          <w:cols w:space="425" w:num="1"/>
          <w:docGrid w:type="lines" w:linePitch="340" w:charSpace="0"/>
        </w:sectPr>
      </w:pPr>
    </w:p>
    <w:p w14:paraId="65155554">
      <w:pPr>
        <w:pStyle w:val="47"/>
        <w:keepNext w:val="0"/>
        <w:keepLines w:val="0"/>
        <w:pageBreakBefore w:val="0"/>
        <w:widowControl w:val="0"/>
        <w:numPr>
          <w:ilvl w:val="2"/>
          <w:numId w:val="5"/>
        </w:numPr>
        <w:suppressLineNumbers w:val="0"/>
        <w:kinsoku/>
        <w:wordWrap/>
        <w:overflowPunct/>
        <w:topLinePunct w:val="0"/>
        <w:autoSpaceDN/>
        <w:bidi w:val="0"/>
        <w:adjustRightInd/>
        <w:snapToGrid/>
        <w:spacing w:before="0" w:beforeAutospacing="0" w:after="0" w:afterAutospacing="0" w:line="360" w:lineRule="auto"/>
        <w:ind w:left="388" w:leftChars="50" w:right="0" w:rightChars="0" w:hanging="283" w:firstLineChars="0"/>
        <w:jc w:val="both"/>
        <w:textAlignment w:val="auto"/>
        <w:outlineLvl w:val="3"/>
        <w:rPr>
          <w:rFonts w:hint="default" w:ascii="Arial" w:hAnsi="Arial" w:eastAsia="宋体" w:cs="Arial"/>
          <w:b/>
          <w:bCs/>
          <w:color w:val="000000"/>
          <w:kern w:val="28"/>
          <w:sz w:val="24"/>
          <w:szCs w:val="24"/>
        </w:rPr>
      </w:pPr>
      <w:r>
        <w:rPr>
          <w:rFonts w:hint="default" w:ascii="Arial" w:hAnsi="Arial" w:eastAsia="宋体" w:cs="Arial"/>
          <w:b/>
          <w:bCs/>
          <w:color w:val="000000"/>
          <w:kern w:val="28"/>
          <w:sz w:val="24"/>
          <w:szCs w:val="24"/>
          <w:lang w:val="en-US" w:eastAsia="zh-CN" w:bidi="ar"/>
        </w:rPr>
        <w:t>非正常工况</w:t>
      </w:r>
    </w:p>
    <w:p w14:paraId="3E2B5832">
      <w:pPr>
        <w:pStyle w:val="47"/>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105" w:leftChars="50" w:right="0" w:firstLine="480" w:firstLineChars="200"/>
        <w:jc w:val="both"/>
        <w:textAlignment w:val="auto"/>
        <w:rPr>
          <w:rFonts w:hint="default" w:ascii="Arial" w:hAnsi="Arial" w:eastAsia="宋体" w:cs="Arial"/>
          <w:color w:val="000000"/>
          <w:kern w:val="28"/>
          <w:sz w:val="24"/>
          <w:szCs w:val="24"/>
        </w:rPr>
      </w:pPr>
      <w:r>
        <w:rPr>
          <w:rFonts w:hint="default" w:ascii="Arial" w:hAnsi="Arial" w:eastAsia="宋体" w:cs="Arial"/>
          <w:color w:val="000000"/>
          <w:kern w:val="28"/>
          <w:sz w:val="24"/>
          <w:szCs w:val="24"/>
          <w:lang w:val="en-US" w:eastAsia="zh-CN" w:bidi="ar"/>
        </w:rPr>
        <w:t>本评价非正常工况以环保设备运转异常计，去除率为</w:t>
      </w:r>
      <w:r>
        <w:rPr>
          <w:rFonts w:hint="eastAsia" w:ascii="Arial" w:hAnsi="Arial" w:cs="Arial"/>
          <w:color w:val="000000"/>
          <w:kern w:val="28"/>
          <w:sz w:val="24"/>
          <w:szCs w:val="24"/>
          <w:lang w:val="en-US" w:eastAsia="zh-CN" w:bidi="ar"/>
        </w:rPr>
        <w:t>10%</w:t>
      </w:r>
      <w:r>
        <w:rPr>
          <w:rFonts w:hint="default" w:ascii="Arial" w:hAnsi="Arial" w:eastAsia="宋体" w:cs="Arial"/>
          <w:color w:val="000000"/>
          <w:kern w:val="28"/>
          <w:sz w:val="24"/>
          <w:szCs w:val="24"/>
          <w:lang w:val="en-US" w:eastAsia="zh-CN" w:bidi="ar"/>
        </w:rPr>
        <w:t>，预计非正常工况发现响应时间&lt;0.5h，污染物排放量与产生量一致，具体见下表。</w:t>
      </w:r>
    </w:p>
    <w:p w14:paraId="7893C846">
      <w:pPr>
        <w:pStyle w:val="47"/>
        <w:keepNext w:val="0"/>
        <w:keepLines w:val="0"/>
        <w:pageBreakBefore w:val="0"/>
        <w:widowControl w:val="0"/>
        <w:numPr>
          <w:ilvl w:val="3"/>
          <w:numId w:val="5"/>
        </w:numPr>
        <w:suppressLineNumbers w:val="0"/>
        <w:kinsoku/>
        <w:wordWrap/>
        <w:overflowPunct/>
        <w:topLinePunct w:val="0"/>
        <w:autoSpaceDN/>
        <w:bidi w:val="0"/>
        <w:adjustRightInd w:val="0"/>
        <w:snapToGrid w:val="0"/>
        <w:spacing w:before="0" w:beforeAutospacing="0" w:after="0" w:afterAutospacing="0" w:line="360" w:lineRule="auto"/>
        <w:ind w:left="105" w:leftChars="50" w:right="210" w:rightChars="100" w:firstLine="0" w:firstLineChars="0"/>
        <w:jc w:val="center"/>
        <w:textAlignment w:val="auto"/>
        <w:rPr>
          <w:rFonts w:hint="default" w:ascii="Arial" w:hAnsi="Arial" w:eastAsia="宋体" w:cs="Arial"/>
          <w:b/>
          <w:bCs/>
          <w:color w:val="000000"/>
          <w:kern w:val="0"/>
          <w:sz w:val="21"/>
          <w:szCs w:val="21"/>
        </w:rPr>
      </w:pPr>
      <w:r>
        <w:rPr>
          <w:rFonts w:hint="eastAsia" w:ascii="Arial" w:hAnsi="Arial" w:cs="Arial"/>
          <w:b/>
          <w:bCs/>
          <w:color w:val="000000"/>
          <w:kern w:val="0"/>
          <w:sz w:val="21"/>
          <w:szCs w:val="21"/>
          <w:lang w:val="en-US" w:eastAsia="zh-CN" w:bidi="ar"/>
        </w:rPr>
        <w:t xml:space="preserve">  </w:t>
      </w:r>
      <w:r>
        <w:rPr>
          <w:rFonts w:hint="default" w:ascii="Arial" w:hAnsi="Arial" w:eastAsia="宋体" w:cs="Arial"/>
          <w:b/>
          <w:bCs/>
          <w:color w:val="000000"/>
          <w:kern w:val="0"/>
          <w:sz w:val="24"/>
          <w:szCs w:val="24"/>
          <w:lang w:val="en-US" w:eastAsia="zh-CN" w:bidi="ar"/>
        </w:rPr>
        <w:t>非正常工况污染源排放参数表</w:t>
      </w:r>
    </w:p>
    <w:tbl>
      <w:tblPr>
        <w:tblStyle w:val="52"/>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28" w:type="dxa"/>
          <w:left w:w="108" w:type="dxa"/>
          <w:bottom w:w="28" w:type="dxa"/>
          <w:right w:w="108" w:type="dxa"/>
        </w:tblCellMar>
      </w:tblPr>
      <w:tblGrid>
        <w:gridCol w:w="1366"/>
        <w:gridCol w:w="1512"/>
        <w:gridCol w:w="1289"/>
        <w:gridCol w:w="1355"/>
        <w:gridCol w:w="1216"/>
        <w:gridCol w:w="1378"/>
      </w:tblGrid>
      <w:tr w14:paraId="5AE1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108" w:type="dxa"/>
            <w:bottom w:w="28" w:type="dxa"/>
            <w:right w:w="108" w:type="dxa"/>
          </w:tblCellMar>
        </w:tblPrEx>
        <w:trPr>
          <w:cantSplit/>
          <w:trHeight w:val="340" w:hRule="atLeast"/>
          <w:jc w:val="center"/>
        </w:trPr>
        <w:tc>
          <w:tcPr>
            <w:tcW w:w="1366" w:type="dxa"/>
            <w:tcBorders>
              <w:top w:val="single" w:color="auto" w:sz="4" w:space="0"/>
              <w:left w:val="single" w:color="auto" w:sz="4" w:space="0"/>
              <w:bottom w:val="single" w:color="auto" w:sz="4" w:space="0"/>
              <w:right w:val="single" w:color="auto" w:sz="4" w:space="0"/>
            </w:tcBorders>
            <w:shd w:val="clear" w:color="auto" w:fill="FFFFFF"/>
            <w:vAlign w:val="center"/>
          </w:tcPr>
          <w:p w14:paraId="2F3FD756">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非正常排放源</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14:paraId="2AE4CB97">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非正常排放原因</w:t>
            </w:r>
          </w:p>
        </w:tc>
        <w:tc>
          <w:tcPr>
            <w:tcW w:w="1289" w:type="dxa"/>
            <w:tcBorders>
              <w:top w:val="single" w:color="auto" w:sz="4" w:space="0"/>
              <w:left w:val="single" w:color="auto" w:sz="4" w:space="0"/>
              <w:bottom w:val="single" w:color="auto" w:sz="4" w:space="0"/>
              <w:right w:val="single" w:color="auto" w:sz="4" w:space="0"/>
            </w:tcBorders>
            <w:shd w:val="clear" w:color="auto" w:fill="FFFFFF"/>
            <w:vAlign w:val="center"/>
          </w:tcPr>
          <w:p w14:paraId="55E82974">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污染物</w:t>
            </w:r>
          </w:p>
        </w:tc>
        <w:tc>
          <w:tcPr>
            <w:tcW w:w="1355" w:type="dxa"/>
            <w:tcBorders>
              <w:top w:val="single" w:color="auto" w:sz="4" w:space="0"/>
              <w:left w:val="single" w:color="auto" w:sz="4" w:space="0"/>
              <w:bottom w:val="single" w:color="auto" w:sz="4" w:space="0"/>
              <w:right w:val="single" w:color="auto" w:sz="4" w:space="0"/>
            </w:tcBorders>
            <w:shd w:val="clear" w:color="auto" w:fill="FFFFFF"/>
            <w:vAlign w:val="center"/>
          </w:tcPr>
          <w:p w14:paraId="11823E8C">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非正常排放速率（kg/h）</w:t>
            </w:r>
          </w:p>
        </w:tc>
        <w:tc>
          <w:tcPr>
            <w:tcW w:w="1216" w:type="dxa"/>
            <w:tcBorders>
              <w:top w:val="single" w:color="auto" w:sz="4" w:space="0"/>
              <w:left w:val="single" w:color="auto" w:sz="4" w:space="0"/>
              <w:bottom w:val="single" w:color="auto" w:sz="4" w:space="0"/>
              <w:right w:val="single" w:color="auto" w:sz="4" w:space="0"/>
            </w:tcBorders>
            <w:shd w:val="clear" w:color="auto" w:fill="FFFFFF"/>
            <w:vAlign w:val="center"/>
          </w:tcPr>
          <w:p w14:paraId="600B9A33">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单次持续时间（h）</w:t>
            </w: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14:paraId="5AC7EA8A">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年发生频次（次）</w:t>
            </w:r>
          </w:p>
        </w:tc>
      </w:tr>
      <w:tr w14:paraId="34BC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28" w:type="dxa"/>
            <w:left w:w="108" w:type="dxa"/>
            <w:bottom w:w="28" w:type="dxa"/>
            <w:right w:w="108" w:type="dxa"/>
          </w:tblCellMar>
        </w:tblPrEx>
        <w:trPr>
          <w:cantSplit/>
          <w:trHeight w:val="340" w:hRule="atLeast"/>
          <w:jc w:val="center"/>
        </w:trPr>
        <w:tc>
          <w:tcPr>
            <w:tcW w:w="1366" w:type="dxa"/>
            <w:tcBorders>
              <w:top w:val="single" w:color="auto" w:sz="4" w:space="0"/>
              <w:left w:val="single" w:color="auto" w:sz="4" w:space="0"/>
              <w:bottom w:val="single" w:color="auto" w:sz="4" w:space="0"/>
              <w:right w:val="single" w:color="auto" w:sz="4" w:space="0"/>
            </w:tcBorders>
            <w:shd w:val="clear" w:color="auto" w:fill="FFFFFF"/>
            <w:vAlign w:val="center"/>
          </w:tcPr>
          <w:p w14:paraId="23094668">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lang w:val="en-US" w:eastAsia="zh-CN"/>
              </w:rPr>
            </w:pPr>
            <w:r>
              <w:rPr>
                <w:rFonts w:hint="default" w:ascii="Arial" w:hAnsi="Arial" w:eastAsia="宋体" w:cs="Arial"/>
                <w:b w:val="0"/>
                <w:color w:val="000000"/>
                <w:kern w:val="0"/>
                <w:sz w:val="21"/>
                <w:szCs w:val="21"/>
                <w:lang w:val="en-US" w:eastAsia="zh-CN"/>
              </w:rPr>
              <w:t>DA001</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14:paraId="4CE1E44D">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lang w:val="en-US" w:eastAsia="zh-CN" w:bidi="ar"/>
              </w:rPr>
              <w:t>布袋除尘器故障</w:t>
            </w:r>
          </w:p>
        </w:tc>
        <w:tc>
          <w:tcPr>
            <w:tcW w:w="1289" w:type="dxa"/>
            <w:tcBorders>
              <w:top w:val="single" w:color="auto" w:sz="4" w:space="0"/>
              <w:left w:val="single" w:color="auto" w:sz="4" w:space="0"/>
              <w:bottom w:val="single" w:color="auto" w:sz="4" w:space="0"/>
              <w:right w:val="single" w:color="auto" w:sz="4" w:space="0"/>
            </w:tcBorders>
            <w:shd w:val="clear" w:color="auto" w:fill="FFFFFF"/>
            <w:vAlign w:val="center"/>
          </w:tcPr>
          <w:p w14:paraId="6831CC9D">
            <w:pPr>
              <w:keepNext w:val="0"/>
              <w:keepLines w:val="0"/>
              <w:widowControl/>
              <w:suppressLineNumbers w:val="0"/>
              <w:snapToGrid w:val="0"/>
              <w:spacing w:before="0" w:beforeAutospacing="0" w:after="0" w:afterAutospacing="0"/>
              <w:ind w:left="0" w:right="0"/>
              <w:jc w:val="center"/>
              <w:rPr>
                <w:rFonts w:hint="default" w:ascii="Arial" w:hAnsi="Arial" w:eastAsia="宋体" w:cs="Arial"/>
                <w:b w:val="0"/>
                <w:bCs/>
                <w:color w:val="000000"/>
                <w:kern w:val="2"/>
                <w:sz w:val="21"/>
                <w:szCs w:val="21"/>
              </w:rPr>
            </w:pPr>
            <w:r>
              <w:rPr>
                <w:rFonts w:hint="default" w:ascii="Arial" w:hAnsi="Arial" w:eastAsia="宋体" w:cs="Arial"/>
                <w:b w:val="0"/>
                <w:bCs/>
                <w:color w:val="000000"/>
                <w:kern w:val="2"/>
                <w:sz w:val="21"/>
                <w:szCs w:val="21"/>
                <w:lang w:val="en-US" w:eastAsia="zh-CN" w:bidi="ar"/>
              </w:rPr>
              <w:t>颗粒物</w:t>
            </w:r>
          </w:p>
        </w:tc>
        <w:tc>
          <w:tcPr>
            <w:tcW w:w="1355" w:type="dxa"/>
            <w:tcBorders>
              <w:top w:val="single" w:color="auto" w:sz="4" w:space="0"/>
              <w:left w:val="single" w:color="auto" w:sz="4" w:space="0"/>
              <w:bottom w:val="single" w:color="auto" w:sz="4" w:space="0"/>
              <w:right w:val="single" w:color="auto" w:sz="4" w:space="0"/>
            </w:tcBorders>
            <w:shd w:val="clear" w:color="auto" w:fill="FFFFFF"/>
            <w:vAlign w:val="center"/>
          </w:tcPr>
          <w:p w14:paraId="3084F51C">
            <w:pPr>
              <w:keepNext w:val="0"/>
              <w:keepLines w:val="0"/>
              <w:widowControl w:val="0"/>
              <w:suppressLineNumbers w:val="0"/>
              <w:snapToGrid w:val="0"/>
              <w:spacing w:before="0" w:beforeAutospacing="0" w:after="0" w:afterAutospacing="0"/>
              <w:ind w:left="0" w:right="0"/>
              <w:jc w:val="center"/>
              <w:rPr>
                <w:rFonts w:hint="default" w:ascii="Arial" w:hAnsi="Arial" w:eastAsia="宋体" w:cs="Arial"/>
                <w:b w:val="0"/>
                <w:color w:val="000000"/>
                <w:kern w:val="2"/>
                <w:sz w:val="21"/>
                <w:szCs w:val="21"/>
                <w:lang w:val="en-US" w:eastAsia="zh-CN"/>
              </w:rPr>
            </w:pPr>
            <w:r>
              <w:rPr>
                <w:rFonts w:hint="eastAsia" w:ascii="Arial" w:hAnsi="Arial" w:eastAsia="宋体" w:cs="Arial"/>
                <w:b w:val="0"/>
                <w:color w:val="000000"/>
                <w:kern w:val="2"/>
                <w:sz w:val="21"/>
                <w:szCs w:val="21"/>
                <w:lang w:val="en-US" w:eastAsia="zh-CN"/>
              </w:rPr>
              <w:t>2.0</w:t>
            </w:r>
          </w:p>
        </w:tc>
        <w:tc>
          <w:tcPr>
            <w:tcW w:w="1216" w:type="dxa"/>
            <w:tcBorders>
              <w:top w:val="single" w:color="auto" w:sz="4" w:space="0"/>
              <w:left w:val="single" w:color="auto" w:sz="4" w:space="0"/>
              <w:bottom w:val="single" w:color="auto" w:sz="4" w:space="0"/>
              <w:right w:val="single" w:color="auto" w:sz="4" w:space="0"/>
            </w:tcBorders>
            <w:shd w:val="clear" w:color="auto" w:fill="FFFFFF"/>
            <w:vAlign w:val="center"/>
          </w:tcPr>
          <w:p w14:paraId="038515EF">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0.5</w:t>
            </w: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14:paraId="493C351B">
            <w:pPr>
              <w:keepNext w:val="0"/>
              <w:keepLines w:val="0"/>
              <w:widowControl w:val="0"/>
              <w:suppressLineNumbers w:val="0"/>
              <w:spacing w:before="0" w:beforeAutospacing="0" w:after="0" w:afterAutospacing="0" w:line="24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1</w:t>
            </w:r>
          </w:p>
        </w:tc>
      </w:tr>
    </w:tbl>
    <w:p w14:paraId="7CDDCF7B">
      <w:pPr>
        <w:pStyle w:val="47"/>
        <w:keepNext w:val="0"/>
        <w:keepLines w:val="0"/>
        <w:pageBreakBefore w:val="0"/>
        <w:widowControl w:val="0"/>
        <w:numPr>
          <w:ilvl w:val="2"/>
          <w:numId w:val="5"/>
        </w:numPr>
        <w:suppressLineNumbers w:val="0"/>
        <w:kinsoku/>
        <w:wordWrap/>
        <w:overflowPunct/>
        <w:topLinePunct w:val="0"/>
        <w:autoSpaceDE/>
        <w:autoSpaceDN/>
        <w:bidi w:val="0"/>
        <w:spacing w:before="0" w:beforeAutospacing="0" w:after="0" w:afterAutospacing="0" w:line="360" w:lineRule="auto"/>
        <w:ind w:left="388" w:leftChars="50" w:right="0" w:rightChars="0" w:hanging="283" w:firstLineChars="0"/>
        <w:jc w:val="both"/>
        <w:textAlignment w:val="auto"/>
        <w:outlineLvl w:val="3"/>
        <w:rPr>
          <w:rFonts w:hint="default" w:ascii="Arial" w:hAnsi="Arial" w:eastAsia="宋体" w:cs="Arial"/>
          <w:b/>
          <w:bCs/>
          <w:color w:val="000000"/>
          <w:kern w:val="28"/>
          <w:sz w:val="24"/>
          <w:szCs w:val="24"/>
        </w:rPr>
      </w:pPr>
      <w:r>
        <w:rPr>
          <w:rFonts w:hint="default" w:ascii="Arial" w:hAnsi="Arial" w:eastAsia="宋体" w:cs="Arial"/>
          <w:b/>
          <w:bCs/>
          <w:color w:val="000000"/>
          <w:kern w:val="28"/>
          <w:sz w:val="24"/>
          <w:szCs w:val="24"/>
          <w:lang w:val="en-US" w:eastAsia="zh-CN"/>
        </w:rPr>
        <w:t>废气环境影响分析</w:t>
      </w:r>
    </w:p>
    <w:p w14:paraId="5AC0FB6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0" w:rightChars="0" w:firstLine="480" w:firstLineChars="200"/>
        <w:jc w:val="both"/>
        <w:textAlignment w:val="auto"/>
        <w:rPr>
          <w:rFonts w:hint="default" w:ascii="Arial" w:hAnsi="Arial" w:eastAsia="宋体" w:cs="Arial"/>
          <w:b/>
          <w:bCs w:val="0"/>
          <w:color w:val="000000"/>
          <w:kern w:val="2"/>
          <w:sz w:val="24"/>
          <w:szCs w:val="24"/>
        </w:rPr>
      </w:pPr>
      <w:r>
        <w:rPr>
          <w:rFonts w:hint="default" w:ascii="Arial" w:hAnsi="Arial" w:eastAsia="宋体" w:cs="Arial"/>
          <w:color w:val="000000"/>
          <w:kern w:val="2"/>
          <w:sz w:val="24"/>
          <w:szCs w:val="24"/>
          <w:lang w:val="en-US" w:eastAsia="zh-CN" w:bidi="ar"/>
        </w:rPr>
        <w:t>1、项目有组织废气达标排放分析</w:t>
      </w:r>
    </w:p>
    <w:p w14:paraId="4CA522BB">
      <w:pPr>
        <w:pStyle w:val="47"/>
        <w:keepNext w:val="0"/>
        <w:keepLines w:val="0"/>
        <w:pageBreakBefore w:val="0"/>
        <w:widowControl w:val="0"/>
        <w:numPr>
          <w:ilvl w:val="3"/>
          <w:numId w:val="5"/>
        </w:numPr>
        <w:suppressLineNumbers w:val="0"/>
        <w:kinsoku/>
        <w:wordWrap/>
        <w:overflowPunct/>
        <w:topLinePunct w:val="0"/>
        <w:autoSpaceDE/>
        <w:autoSpaceDN/>
        <w:bidi w:val="0"/>
        <w:adjustRightInd w:val="0"/>
        <w:snapToGrid w:val="0"/>
        <w:spacing w:before="0" w:beforeAutospacing="0" w:after="0" w:afterAutospacing="0" w:line="360" w:lineRule="auto"/>
        <w:ind w:left="105" w:leftChars="50" w:right="0" w:rightChars="0" w:firstLine="0" w:firstLineChars="0"/>
        <w:jc w:val="center"/>
        <w:textAlignment w:val="auto"/>
        <w:rPr>
          <w:rFonts w:hint="default" w:ascii="Arial" w:hAnsi="Arial" w:eastAsia="宋体" w:cs="Arial"/>
          <w:b/>
          <w:bCs/>
          <w:color w:val="000000"/>
          <w:kern w:val="0"/>
          <w:sz w:val="24"/>
          <w:szCs w:val="24"/>
        </w:rPr>
      </w:pPr>
      <w:r>
        <w:rPr>
          <w:rFonts w:hint="eastAsia" w:ascii="Arial" w:hAnsi="Arial" w:cs="Arial"/>
          <w:b/>
          <w:bCs/>
          <w:color w:val="000000"/>
          <w:kern w:val="0"/>
          <w:sz w:val="24"/>
          <w:szCs w:val="24"/>
          <w:lang w:val="en-US" w:eastAsia="zh-CN" w:bidi="ar"/>
        </w:rPr>
        <w:t xml:space="preserve">  </w:t>
      </w:r>
      <w:r>
        <w:rPr>
          <w:rFonts w:hint="default" w:ascii="Arial" w:hAnsi="Arial" w:eastAsia="宋体" w:cs="Arial"/>
          <w:b/>
          <w:bCs/>
          <w:color w:val="000000"/>
          <w:kern w:val="0"/>
          <w:sz w:val="24"/>
          <w:szCs w:val="24"/>
          <w:lang w:val="en-US" w:eastAsia="zh-CN" w:bidi="ar"/>
        </w:rPr>
        <w:t>项目有组织废气达标排放分析</w:t>
      </w:r>
    </w:p>
    <w:tbl>
      <w:tblPr>
        <w:tblStyle w:val="52"/>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9"/>
        <w:gridCol w:w="645"/>
        <w:gridCol w:w="827"/>
        <w:gridCol w:w="948"/>
        <w:gridCol w:w="1009"/>
        <w:gridCol w:w="865"/>
        <w:gridCol w:w="988"/>
        <w:gridCol w:w="711"/>
        <w:gridCol w:w="711"/>
        <w:gridCol w:w="597"/>
      </w:tblGrid>
      <w:tr w14:paraId="6A87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859"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3251315">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排气筒名称</w:t>
            </w:r>
          </w:p>
        </w:tc>
        <w:tc>
          <w:tcPr>
            <w:tcW w:w="64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8893B8E">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污染因子</w:t>
            </w:r>
          </w:p>
        </w:tc>
        <w:tc>
          <w:tcPr>
            <w:tcW w:w="278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85A1BD0">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有组织</w:t>
            </w:r>
          </w:p>
        </w:tc>
        <w:tc>
          <w:tcPr>
            <w:tcW w:w="86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16AED97">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风量</w:t>
            </w:r>
          </w:p>
          <w:p w14:paraId="159B30DB">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m</w:t>
            </w:r>
            <w:r>
              <w:rPr>
                <w:rFonts w:hint="default" w:ascii="Arial" w:hAnsi="Arial" w:eastAsia="宋体" w:cs="Arial"/>
                <w:b w:val="0"/>
                <w:color w:val="000000"/>
                <w:kern w:val="2"/>
                <w:sz w:val="21"/>
                <w:szCs w:val="21"/>
                <w:vertAlign w:val="superscript"/>
                <w:lang w:val="en-US" w:eastAsia="zh-CN" w:bidi="ar"/>
              </w:rPr>
              <w:t>3</w:t>
            </w:r>
            <w:r>
              <w:rPr>
                <w:rFonts w:hint="default" w:ascii="Arial" w:hAnsi="Arial" w:eastAsia="宋体" w:cs="Arial"/>
                <w:b w:val="0"/>
                <w:color w:val="000000"/>
                <w:kern w:val="2"/>
                <w:sz w:val="21"/>
                <w:szCs w:val="21"/>
                <w:lang w:val="en-US" w:eastAsia="zh-CN" w:bidi="ar"/>
              </w:rPr>
              <w:t>/h</w:t>
            </w:r>
          </w:p>
        </w:tc>
        <w:tc>
          <w:tcPr>
            <w:tcW w:w="98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1C7E2FF">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排气筒高度m</w:t>
            </w:r>
          </w:p>
        </w:tc>
        <w:tc>
          <w:tcPr>
            <w:tcW w:w="1422" w:type="dxa"/>
            <w:gridSpan w:val="2"/>
            <w:tcBorders>
              <w:top w:val="single" w:color="auto" w:sz="4" w:space="0"/>
              <w:left w:val="single" w:color="auto" w:sz="4" w:space="0"/>
              <w:bottom w:val="nil"/>
              <w:right w:val="single" w:color="auto" w:sz="4" w:space="0"/>
            </w:tcBorders>
            <w:shd w:val="clear" w:color="auto" w:fill="FFFFFF"/>
            <w:vAlign w:val="center"/>
          </w:tcPr>
          <w:p w14:paraId="4CE2FECA">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排放标准</w:t>
            </w:r>
          </w:p>
        </w:tc>
        <w:tc>
          <w:tcPr>
            <w:tcW w:w="597"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4116D05">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是否达标</w:t>
            </w:r>
          </w:p>
        </w:tc>
      </w:tr>
      <w:tr w14:paraId="0EFE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859"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AA5256D">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6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A7B0D22">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827" w:type="dxa"/>
            <w:tcBorders>
              <w:top w:val="single" w:color="auto" w:sz="4" w:space="0"/>
              <w:left w:val="single" w:color="auto" w:sz="4" w:space="0"/>
              <w:bottom w:val="single" w:color="auto" w:sz="4" w:space="0"/>
              <w:right w:val="single" w:color="auto" w:sz="4" w:space="0"/>
            </w:tcBorders>
            <w:shd w:val="clear" w:color="auto" w:fill="FFFFFF"/>
            <w:vAlign w:val="center"/>
          </w:tcPr>
          <w:p w14:paraId="689C2B07">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排放量t/a</w:t>
            </w:r>
          </w:p>
        </w:tc>
        <w:tc>
          <w:tcPr>
            <w:tcW w:w="948" w:type="dxa"/>
            <w:tcBorders>
              <w:top w:val="single" w:color="auto" w:sz="4" w:space="0"/>
              <w:left w:val="single" w:color="auto" w:sz="4" w:space="0"/>
              <w:bottom w:val="single" w:color="auto" w:sz="4" w:space="0"/>
              <w:right w:val="single" w:color="auto" w:sz="4" w:space="0"/>
            </w:tcBorders>
            <w:shd w:val="clear" w:color="auto" w:fill="FFFFFF"/>
            <w:vAlign w:val="center"/>
          </w:tcPr>
          <w:p w14:paraId="4A24602F">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最大排放速率kg/h</w:t>
            </w:r>
          </w:p>
        </w:tc>
        <w:tc>
          <w:tcPr>
            <w:tcW w:w="1009" w:type="dxa"/>
            <w:tcBorders>
              <w:top w:val="single" w:color="auto" w:sz="4" w:space="0"/>
              <w:left w:val="single" w:color="auto" w:sz="4" w:space="0"/>
              <w:bottom w:val="single" w:color="auto" w:sz="4" w:space="0"/>
              <w:right w:val="single" w:color="auto" w:sz="4" w:space="0"/>
            </w:tcBorders>
            <w:shd w:val="clear" w:color="auto" w:fill="FFFFFF"/>
            <w:vAlign w:val="center"/>
          </w:tcPr>
          <w:p w14:paraId="40FC79AD">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最大排放浓度mg/m</w:t>
            </w:r>
            <w:r>
              <w:rPr>
                <w:rFonts w:hint="default" w:ascii="Arial" w:hAnsi="Arial" w:eastAsia="宋体" w:cs="Arial"/>
                <w:b w:val="0"/>
                <w:color w:val="000000"/>
                <w:kern w:val="2"/>
                <w:sz w:val="21"/>
                <w:szCs w:val="21"/>
                <w:vertAlign w:val="superscript"/>
                <w:lang w:val="en-US" w:eastAsia="zh-CN" w:bidi="ar"/>
              </w:rPr>
              <w:t>3</w:t>
            </w:r>
          </w:p>
        </w:tc>
        <w:tc>
          <w:tcPr>
            <w:tcW w:w="86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4037C34">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98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05EEE9B">
            <w:pPr>
              <w:keepNext w:val="0"/>
              <w:keepLines w:val="0"/>
              <w:suppressLineNumbers w:val="0"/>
              <w:spacing w:before="0" w:beforeAutospacing="0" w:after="0" w:afterAutospacing="0"/>
              <w:ind w:left="0" w:right="0"/>
              <w:rPr>
                <w:rFonts w:hint="default" w:ascii="Arial" w:hAnsi="Arial" w:eastAsia="宋体" w:cs="Arial"/>
                <w:sz w:val="20"/>
                <w:szCs w:val="20"/>
              </w:rPr>
            </w:pPr>
          </w:p>
        </w:tc>
        <w:tc>
          <w:tcPr>
            <w:tcW w:w="711" w:type="dxa"/>
            <w:tcBorders>
              <w:top w:val="single" w:color="auto" w:sz="4" w:space="0"/>
              <w:left w:val="single" w:color="auto" w:sz="4" w:space="0"/>
              <w:bottom w:val="single" w:color="auto" w:sz="4" w:space="0"/>
              <w:right w:val="single" w:color="auto" w:sz="4" w:space="0"/>
            </w:tcBorders>
            <w:shd w:val="clear" w:color="auto" w:fill="FFFFFF"/>
            <w:vAlign w:val="center"/>
          </w:tcPr>
          <w:p w14:paraId="051461A3">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浓度mg/m</w:t>
            </w:r>
            <w:r>
              <w:rPr>
                <w:rFonts w:hint="default" w:ascii="Arial" w:hAnsi="Arial" w:eastAsia="宋体" w:cs="Arial"/>
                <w:b w:val="0"/>
                <w:color w:val="000000"/>
                <w:kern w:val="2"/>
                <w:sz w:val="21"/>
                <w:szCs w:val="21"/>
                <w:vertAlign w:val="superscript"/>
                <w:lang w:val="en-US" w:eastAsia="zh-CN" w:bidi="ar"/>
              </w:rPr>
              <w:t>3</w:t>
            </w:r>
          </w:p>
        </w:tc>
        <w:tc>
          <w:tcPr>
            <w:tcW w:w="711" w:type="dxa"/>
            <w:tcBorders>
              <w:top w:val="single" w:color="auto" w:sz="4" w:space="0"/>
              <w:left w:val="single" w:color="auto" w:sz="4" w:space="0"/>
              <w:bottom w:val="single" w:color="auto" w:sz="4" w:space="0"/>
              <w:right w:val="single" w:color="auto" w:sz="4" w:space="0"/>
            </w:tcBorders>
            <w:shd w:val="clear" w:color="auto" w:fill="FFFFFF"/>
            <w:vAlign w:val="center"/>
          </w:tcPr>
          <w:p w14:paraId="3B502FDB">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lang w:val="en-US" w:eastAsia="zh-CN" w:bidi="ar"/>
              </w:rPr>
            </w:pPr>
            <w:r>
              <w:rPr>
                <w:rFonts w:hint="default" w:ascii="Arial" w:hAnsi="Arial" w:eastAsia="宋体" w:cs="Arial"/>
                <w:b w:val="0"/>
                <w:color w:val="000000"/>
                <w:kern w:val="2"/>
                <w:sz w:val="21"/>
                <w:szCs w:val="21"/>
                <w:lang w:val="en-US" w:eastAsia="zh-CN" w:bidi="ar"/>
              </w:rPr>
              <w:t>排放速率kg/h</w:t>
            </w:r>
          </w:p>
        </w:tc>
        <w:tc>
          <w:tcPr>
            <w:tcW w:w="597"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B4A48E5">
            <w:pPr>
              <w:keepNext w:val="0"/>
              <w:keepLines w:val="0"/>
              <w:suppressLineNumbers w:val="0"/>
              <w:spacing w:before="0" w:beforeAutospacing="0" w:after="0" w:afterAutospacing="0"/>
              <w:ind w:left="0" w:right="0"/>
              <w:rPr>
                <w:rFonts w:hint="default" w:ascii="Arial" w:hAnsi="Arial" w:eastAsia="宋体" w:cs="Arial"/>
                <w:sz w:val="20"/>
                <w:szCs w:val="20"/>
              </w:rPr>
            </w:pPr>
          </w:p>
        </w:tc>
      </w:tr>
      <w:tr w14:paraId="743A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859" w:type="dxa"/>
            <w:tcBorders>
              <w:top w:val="single" w:color="auto" w:sz="4" w:space="0"/>
              <w:left w:val="single" w:color="auto" w:sz="4" w:space="0"/>
              <w:bottom w:val="single" w:color="auto" w:sz="4" w:space="0"/>
              <w:right w:val="single" w:color="auto" w:sz="4" w:space="0"/>
            </w:tcBorders>
            <w:shd w:val="clear" w:color="auto" w:fill="FFFFFF"/>
            <w:vAlign w:val="center"/>
          </w:tcPr>
          <w:p w14:paraId="6B09F801">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DA001</w:t>
            </w:r>
          </w:p>
        </w:tc>
        <w:tc>
          <w:tcPr>
            <w:tcW w:w="645" w:type="dxa"/>
            <w:tcBorders>
              <w:top w:val="single" w:color="auto" w:sz="4" w:space="0"/>
              <w:left w:val="single" w:color="auto" w:sz="4" w:space="0"/>
              <w:bottom w:val="single" w:color="auto" w:sz="4" w:space="0"/>
              <w:right w:val="single" w:color="auto" w:sz="4" w:space="0"/>
            </w:tcBorders>
            <w:shd w:val="clear" w:color="auto" w:fill="FFFFFF"/>
            <w:vAlign w:val="center"/>
          </w:tcPr>
          <w:p w14:paraId="767EE6F8">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lang w:val="en-US" w:eastAsia="zh-CN"/>
              </w:rPr>
            </w:pPr>
            <w:r>
              <w:rPr>
                <w:rFonts w:hint="default" w:ascii="Arial" w:hAnsi="Arial" w:eastAsia="宋体" w:cs="Arial"/>
                <w:b w:val="0"/>
                <w:color w:val="000000"/>
                <w:kern w:val="2"/>
                <w:sz w:val="21"/>
                <w:szCs w:val="21"/>
                <w:lang w:val="en-US" w:eastAsia="zh-CN"/>
              </w:rPr>
              <w:t>颗粒物</w:t>
            </w:r>
          </w:p>
        </w:tc>
        <w:tc>
          <w:tcPr>
            <w:tcW w:w="827" w:type="dxa"/>
            <w:tcBorders>
              <w:top w:val="single" w:color="auto" w:sz="4" w:space="0"/>
              <w:left w:val="single" w:color="auto" w:sz="4" w:space="0"/>
              <w:bottom w:val="single" w:color="auto" w:sz="4" w:space="0"/>
              <w:right w:val="single" w:color="auto" w:sz="4" w:space="0"/>
            </w:tcBorders>
            <w:shd w:val="clear" w:color="auto" w:fill="FFFFFF"/>
            <w:vAlign w:val="center"/>
          </w:tcPr>
          <w:p w14:paraId="2CA89922">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rPr>
            </w:pPr>
            <w:r>
              <w:rPr>
                <w:rFonts w:hint="default" w:ascii="Arial" w:hAnsi="Arial" w:eastAsia="宋体" w:cs="Arial"/>
                <w:color w:val="000000"/>
                <w:kern w:val="2"/>
                <w:sz w:val="21"/>
                <w:szCs w:val="21"/>
                <w:lang w:val="en-US" w:eastAsia="zh-CN" w:bidi="ar"/>
              </w:rPr>
              <w:t>0.</w:t>
            </w:r>
            <w:r>
              <w:rPr>
                <w:rFonts w:hint="eastAsia" w:ascii="Arial" w:hAnsi="Arial" w:eastAsia="宋体" w:cs="Arial"/>
                <w:color w:val="000000"/>
                <w:kern w:val="2"/>
                <w:sz w:val="21"/>
                <w:szCs w:val="21"/>
                <w:lang w:val="en-US" w:eastAsia="zh-CN" w:bidi="ar"/>
              </w:rPr>
              <w:t>187</w:t>
            </w:r>
          </w:p>
        </w:tc>
        <w:tc>
          <w:tcPr>
            <w:tcW w:w="948" w:type="dxa"/>
            <w:tcBorders>
              <w:top w:val="single" w:color="auto" w:sz="4" w:space="0"/>
              <w:left w:val="single" w:color="auto" w:sz="4" w:space="0"/>
              <w:bottom w:val="single" w:color="auto" w:sz="4" w:space="0"/>
              <w:right w:val="single" w:color="auto" w:sz="4" w:space="0"/>
            </w:tcBorders>
            <w:shd w:val="clear" w:color="auto" w:fill="FFFFFF"/>
            <w:vAlign w:val="center"/>
          </w:tcPr>
          <w:p w14:paraId="64B7A514">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rPr>
            </w:pPr>
            <w:r>
              <w:rPr>
                <w:rFonts w:hint="default" w:ascii="Arial" w:hAnsi="Arial" w:eastAsia="宋体" w:cs="Arial"/>
                <w:color w:val="000000"/>
                <w:kern w:val="2"/>
                <w:sz w:val="21"/>
                <w:szCs w:val="21"/>
                <w:lang w:val="en-US" w:eastAsia="zh-CN" w:bidi="ar"/>
              </w:rPr>
              <w:t>0.</w:t>
            </w:r>
            <w:r>
              <w:rPr>
                <w:rFonts w:hint="eastAsia" w:ascii="Arial" w:hAnsi="Arial" w:eastAsia="宋体" w:cs="Arial"/>
                <w:color w:val="000000"/>
                <w:kern w:val="2"/>
                <w:sz w:val="21"/>
                <w:szCs w:val="21"/>
                <w:lang w:val="en-US" w:eastAsia="zh-CN" w:bidi="ar"/>
              </w:rPr>
              <w:t>04</w:t>
            </w:r>
          </w:p>
        </w:tc>
        <w:tc>
          <w:tcPr>
            <w:tcW w:w="1009" w:type="dxa"/>
            <w:tcBorders>
              <w:top w:val="single" w:color="auto" w:sz="4" w:space="0"/>
              <w:left w:val="single" w:color="auto" w:sz="4" w:space="0"/>
              <w:bottom w:val="single" w:color="auto" w:sz="4" w:space="0"/>
              <w:right w:val="single" w:color="auto" w:sz="4" w:space="0"/>
            </w:tcBorders>
            <w:shd w:val="clear" w:color="auto" w:fill="FFFFFF"/>
            <w:vAlign w:val="center"/>
          </w:tcPr>
          <w:p w14:paraId="0FCAE8D1">
            <w:pPr>
              <w:keepNext w:val="0"/>
              <w:keepLines w:val="0"/>
              <w:widowControl w:val="0"/>
              <w:suppressLineNumbers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rPr>
            </w:pPr>
            <w:r>
              <w:rPr>
                <w:rFonts w:hint="eastAsia" w:ascii="Arial" w:hAnsi="Arial" w:eastAsia="宋体" w:cs="Arial"/>
                <w:b w:val="0"/>
                <w:color w:val="000000"/>
                <w:kern w:val="2"/>
                <w:sz w:val="21"/>
                <w:szCs w:val="21"/>
                <w:lang w:val="en-US" w:eastAsia="zh-CN"/>
              </w:rPr>
              <w:t>7.49</w:t>
            </w:r>
          </w:p>
        </w:tc>
        <w:tc>
          <w:tcPr>
            <w:tcW w:w="865" w:type="dxa"/>
            <w:tcBorders>
              <w:top w:val="single" w:color="auto" w:sz="4" w:space="0"/>
              <w:left w:val="single" w:color="auto" w:sz="4" w:space="0"/>
              <w:bottom w:val="single" w:color="auto" w:sz="4" w:space="0"/>
              <w:right w:val="single" w:color="auto" w:sz="4" w:space="0"/>
            </w:tcBorders>
            <w:shd w:val="clear" w:color="auto" w:fill="FFFFFF"/>
            <w:vAlign w:val="center"/>
          </w:tcPr>
          <w:p w14:paraId="23F2832F">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lang w:val="en-US" w:eastAsia="zh-CN"/>
              </w:rPr>
            </w:pPr>
            <w:r>
              <w:rPr>
                <w:rFonts w:hint="eastAsia" w:ascii="Arial" w:hAnsi="Arial" w:eastAsia="宋体" w:cs="Arial"/>
                <w:b w:val="0"/>
                <w:color w:val="000000"/>
                <w:kern w:val="2"/>
                <w:sz w:val="21"/>
                <w:szCs w:val="21"/>
                <w:lang w:val="en-US" w:eastAsia="zh-CN"/>
              </w:rPr>
              <w:t>5000</w:t>
            </w:r>
          </w:p>
        </w:tc>
        <w:tc>
          <w:tcPr>
            <w:tcW w:w="988" w:type="dxa"/>
            <w:tcBorders>
              <w:top w:val="single" w:color="auto" w:sz="4" w:space="0"/>
              <w:left w:val="single" w:color="auto" w:sz="4" w:space="0"/>
              <w:bottom w:val="single" w:color="auto" w:sz="4" w:space="0"/>
              <w:right w:val="single" w:color="auto" w:sz="4" w:space="0"/>
            </w:tcBorders>
            <w:shd w:val="clear" w:color="auto" w:fill="FFFFFF"/>
            <w:vAlign w:val="center"/>
          </w:tcPr>
          <w:p w14:paraId="3CD8FD4C">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lang w:val="en-US"/>
              </w:rPr>
            </w:pPr>
            <w:r>
              <w:rPr>
                <w:rFonts w:hint="default" w:ascii="Arial" w:hAnsi="Arial" w:eastAsia="宋体" w:cs="Arial"/>
                <w:b w:val="0"/>
                <w:color w:val="000000"/>
                <w:kern w:val="2"/>
                <w:sz w:val="21"/>
                <w:szCs w:val="21"/>
                <w:lang w:val="en-US" w:eastAsia="zh-CN" w:bidi="ar"/>
              </w:rPr>
              <w:t>26</w:t>
            </w:r>
          </w:p>
        </w:tc>
        <w:tc>
          <w:tcPr>
            <w:tcW w:w="711" w:type="dxa"/>
            <w:tcBorders>
              <w:top w:val="single" w:color="auto" w:sz="4" w:space="0"/>
              <w:left w:val="single" w:color="auto" w:sz="4" w:space="0"/>
              <w:bottom w:val="single" w:color="auto" w:sz="4" w:space="0"/>
              <w:right w:val="single" w:color="auto" w:sz="4" w:space="0"/>
            </w:tcBorders>
            <w:shd w:val="clear" w:color="auto" w:fill="FFFFFF"/>
            <w:vAlign w:val="center"/>
          </w:tcPr>
          <w:p w14:paraId="55D958B1">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lang w:val="en-US" w:eastAsia="zh-CN"/>
              </w:rPr>
            </w:pPr>
            <w:r>
              <w:rPr>
                <w:rFonts w:hint="default" w:ascii="Arial" w:hAnsi="Arial" w:eastAsia="宋体" w:cs="Arial"/>
                <w:b w:val="0"/>
                <w:color w:val="000000"/>
                <w:kern w:val="2"/>
                <w:sz w:val="21"/>
                <w:szCs w:val="21"/>
                <w:lang w:val="en-US" w:eastAsia="zh-CN"/>
              </w:rPr>
              <w:t>120</w:t>
            </w:r>
          </w:p>
        </w:tc>
        <w:tc>
          <w:tcPr>
            <w:tcW w:w="711" w:type="dxa"/>
            <w:tcBorders>
              <w:top w:val="single" w:color="auto" w:sz="4" w:space="0"/>
              <w:left w:val="single" w:color="auto" w:sz="4" w:space="0"/>
              <w:bottom w:val="single" w:color="auto" w:sz="4" w:space="0"/>
              <w:right w:val="single" w:color="auto" w:sz="4" w:space="0"/>
            </w:tcBorders>
            <w:shd w:val="clear" w:color="auto" w:fill="FFFFFF"/>
            <w:vAlign w:val="center"/>
          </w:tcPr>
          <w:p w14:paraId="2166A7C7">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lang w:val="en-US" w:eastAsia="zh-CN"/>
              </w:rPr>
            </w:pPr>
            <w:r>
              <w:rPr>
                <w:rFonts w:hint="default" w:ascii="Arial" w:hAnsi="Arial" w:eastAsia="宋体" w:cs="Arial"/>
                <w:b w:val="0"/>
                <w:color w:val="000000"/>
                <w:kern w:val="2"/>
                <w:sz w:val="21"/>
                <w:szCs w:val="21"/>
                <w:lang w:val="en-US" w:eastAsia="zh-CN"/>
              </w:rPr>
              <w:t>5.9</w:t>
            </w:r>
          </w:p>
        </w:tc>
        <w:tc>
          <w:tcPr>
            <w:tcW w:w="597" w:type="dxa"/>
            <w:tcBorders>
              <w:top w:val="single" w:color="auto" w:sz="4" w:space="0"/>
              <w:left w:val="single" w:color="auto" w:sz="4" w:space="0"/>
              <w:bottom w:val="single" w:color="auto" w:sz="4" w:space="0"/>
              <w:right w:val="single" w:color="auto" w:sz="4" w:space="0"/>
            </w:tcBorders>
            <w:shd w:val="clear" w:color="auto" w:fill="FFFFFF"/>
            <w:vAlign w:val="center"/>
          </w:tcPr>
          <w:p w14:paraId="60555FDE">
            <w:pPr>
              <w:keepNext w:val="0"/>
              <w:keepLines w:val="0"/>
              <w:widowControl w:val="0"/>
              <w:suppressLineNumbers w:val="0"/>
              <w:spacing w:before="0" w:beforeAutospacing="0" w:after="0" w:afterAutospacing="0" w:line="280" w:lineRule="exact"/>
              <w:ind w:left="0" w:right="0"/>
              <w:jc w:val="center"/>
              <w:rPr>
                <w:rFonts w:hint="default" w:ascii="Arial" w:hAnsi="Arial" w:eastAsia="宋体" w:cs="Arial"/>
                <w:b w:val="0"/>
                <w:color w:val="000000"/>
                <w:kern w:val="2"/>
                <w:sz w:val="21"/>
                <w:szCs w:val="21"/>
              </w:rPr>
            </w:pPr>
            <w:r>
              <w:rPr>
                <w:rFonts w:hint="default" w:ascii="Arial" w:hAnsi="Arial" w:eastAsia="宋体" w:cs="Arial"/>
                <w:b w:val="0"/>
                <w:color w:val="000000"/>
                <w:kern w:val="2"/>
                <w:sz w:val="21"/>
                <w:szCs w:val="21"/>
                <w:lang w:val="en-US" w:eastAsia="zh-CN" w:bidi="ar"/>
              </w:rPr>
              <w:t>是</w:t>
            </w:r>
          </w:p>
        </w:tc>
      </w:tr>
    </w:tbl>
    <w:p w14:paraId="056E39FD">
      <w:pPr>
        <w:pStyle w:val="47"/>
        <w:keepNext w:val="0"/>
        <w:keepLines w:val="0"/>
        <w:widowControl w:val="0"/>
        <w:suppressLineNumbers w:val="0"/>
        <w:spacing w:before="0" w:beforeAutospacing="0" w:after="0" w:afterAutospacing="0" w:line="360" w:lineRule="auto"/>
        <w:ind w:left="0" w:right="0" w:firstLine="480" w:firstLineChars="200"/>
        <w:jc w:val="both"/>
        <w:rPr>
          <w:rFonts w:hint="default" w:ascii="Arial" w:hAnsi="Arial" w:eastAsia="宋体" w:cs="Arial"/>
          <w:color w:val="000000"/>
          <w:kern w:val="28"/>
          <w:sz w:val="24"/>
          <w:szCs w:val="24"/>
        </w:rPr>
      </w:pPr>
      <w:r>
        <w:rPr>
          <w:rFonts w:hint="default" w:ascii="Arial" w:hAnsi="Arial" w:eastAsia="宋体" w:cs="Arial"/>
          <w:color w:val="000000"/>
          <w:kern w:val="28"/>
          <w:sz w:val="24"/>
          <w:szCs w:val="24"/>
          <w:lang w:val="en-US" w:eastAsia="zh-CN" w:bidi="ar"/>
        </w:rPr>
        <w:t>综上，在切实落实废气处理措施的基础上，项目废气有组织排放浓度能实现达标排放。</w:t>
      </w:r>
    </w:p>
    <w:p w14:paraId="438296B4">
      <w:pPr>
        <w:pStyle w:val="47"/>
        <w:keepNext w:val="0"/>
        <w:keepLines w:val="0"/>
        <w:widowControl w:val="0"/>
        <w:suppressLineNumbers w:val="0"/>
        <w:autoSpaceDE w:val="0"/>
        <w:autoSpaceDN/>
        <w:spacing w:before="0" w:beforeAutospacing="0" w:after="0" w:afterAutospacing="0" w:line="360" w:lineRule="auto"/>
        <w:ind w:left="105" w:leftChars="50" w:right="0" w:firstLine="480" w:firstLineChars="200"/>
        <w:jc w:val="both"/>
        <w:rPr>
          <w:rFonts w:hint="default" w:ascii="Arial" w:hAnsi="Arial" w:eastAsia="宋体" w:cs="Arial"/>
          <w:color w:val="000000"/>
          <w:kern w:val="28"/>
          <w:sz w:val="24"/>
          <w:szCs w:val="24"/>
        </w:rPr>
      </w:pPr>
      <w:r>
        <w:rPr>
          <w:rFonts w:hint="default" w:ascii="Arial" w:hAnsi="Arial" w:eastAsia="宋体" w:cs="Arial"/>
          <w:color w:val="000000"/>
          <w:kern w:val="28"/>
          <w:sz w:val="24"/>
          <w:szCs w:val="24"/>
          <w:lang w:val="en-US" w:eastAsia="zh-CN" w:bidi="ar"/>
        </w:rPr>
        <w:t>2、废气处理设施技术可行性分析</w:t>
      </w:r>
    </w:p>
    <w:p w14:paraId="6FF8A5BC">
      <w:pPr>
        <w:pStyle w:val="47"/>
        <w:keepNext w:val="0"/>
        <w:keepLines w:val="0"/>
        <w:widowControl w:val="0"/>
        <w:suppressLineNumbers w:val="0"/>
        <w:autoSpaceDE w:val="0"/>
        <w:autoSpaceDN/>
        <w:spacing w:before="0" w:beforeAutospacing="0" w:after="0" w:afterAutospacing="0" w:line="360" w:lineRule="auto"/>
        <w:ind w:left="105" w:leftChars="50" w:right="0" w:firstLine="480" w:firstLineChars="200"/>
        <w:jc w:val="both"/>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bCs/>
          <w:color w:val="000000"/>
          <w:kern w:val="28"/>
          <w:sz w:val="24"/>
          <w:szCs w:val="24"/>
          <w:lang w:val="en-US" w:eastAsia="zh-CN" w:bidi="ar"/>
        </w:rPr>
        <w:t>本项目抛丸机配套除尘装置，经密闭收集后由布袋除尘器处理达标后通过26m高的排气筒排放。布袋除尘器是一种干式滤尘装置，适用于捕集细小、干燥、非纤维性粉尘。滤袋采用纺织的滤布或非纺织的毡制成，利用纤维织物的过滤作用对含尘气体进行过滤，当含尘气体进入袋式除尘器后，颗粒大、比重大的粉尘，由于重力的作用沉降下来，落入灰斗，含有较细小粉尘的气体在通过滤料时，粉尘被阻留，使气体得到净化。根据《环境工程技术手册废气处理工程技术手册（2012年版）》，布袋除尘器对含粉尘粒子的气体效率较高，</w:t>
      </w:r>
      <w:r>
        <w:rPr>
          <w:rFonts w:hint="default" w:ascii="Arial" w:hAnsi="Arial" w:eastAsia="宋体" w:cs="Arial"/>
          <w:color w:val="000000"/>
          <w:kern w:val="28"/>
          <w:sz w:val="24"/>
          <w:szCs w:val="24"/>
          <w:lang w:val="en-US" w:eastAsia="zh-CN" w:bidi="ar"/>
        </w:rPr>
        <w:t>本项目采用“布袋除尘”来处理抛丸粉尘，属于可行技术，</w:t>
      </w:r>
      <w:r>
        <w:rPr>
          <w:rFonts w:hint="default" w:ascii="Arial" w:hAnsi="Arial" w:eastAsia="宋体" w:cs="Arial"/>
          <w:bCs/>
          <w:color w:val="000000"/>
          <w:kern w:val="28"/>
          <w:sz w:val="24"/>
          <w:szCs w:val="24"/>
          <w:lang w:val="en-US" w:eastAsia="zh-CN" w:bidi="ar"/>
        </w:rPr>
        <w:t>只要企业落实环保设施竣工验收，重视废气设施运行和维护，做好运行台账记录，在废气污染防治装置正常运行的情况下，本项目对周边大气环境的影响是可接受的。</w:t>
      </w:r>
    </w:p>
    <w:p w14:paraId="75A0B238">
      <w:pPr>
        <w:pStyle w:val="76"/>
        <w:numPr>
          <w:ilvl w:val="2"/>
          <w:numId w:val="5"/>
        </w:numPr>
        <w:spacing w:line="360" w:lineRule="auto"/>
        <w:ind w:left="210" w:leftChars="0" w:firstLine="0" w:firstLineChars="0"/>
        <w:outlineLvl w:val="2"/>
        <w:rPr>
          <w:rFonts w:hint="default" w:ascii="Arial" w:hAnsi="Arial" w:eastAsia="宋体" w:cs="Arial"/>
          <w:b/>
          <w:bCs/>
          <w:sz w:val="24"/>
          <w:szCs w:val="24"/>
        </w:rPr>
      </w:pPr>
      <w:r>
        <w:rPr>
          <w:rFonts w:hint="default" w:ascii="Arial" w:hAnsi="Arial" w:eastAsia="宋体" w:cs="Arial"/>
          <w:b/>
          <w:bCs/>
          <w:color w:val="auto"/>
          <w:sz w:val="24"/>
          <w:highlight w:val="none"/>
        </w:rPr>
        <w:t>废气监测计划</w:t>
      </w:r>
    </w:p>
    <w:p w14:paraId="25364EDE">
      <w:pPr>
        <w:adjustRightInd w:val="0"/>
        <w:snapToGrid w:val="0"/>
        <w:spacing w:line="360" w:lineRule="auto"/>
        <w:ind w:firstLine="480" w:firstLineChars="200"/>
        <w:rPr>
          <w:rFonts w:hint="default" w:ascii="Arial" w:hAnsi="Arial" w:eastAsia="宋体" w:cs="Arial"/>
          <w:color w:val="auto"/>
          <w:sz w:val="24"/>
          <w:highlight w:val="none"/>
        </w:rPr>
      </w:pPr>
      <w:r>
        <w:rPr>
          <w:rFonts w:hint="default" w:ascii="Arial" w:hAnsi="Arial" w:eastAsia="宋体" w:cs="Arial"/>
          <w:color w:val="auto"/>
          <w:sz w:val="24"/>
          <w:highlight w:val="none"/>
        </w:rPr>
        <w:t>废气监测计划依据《排污单位自行监测技术指南总则》</w:t>
      </w:r>
      <w:r>
        <w:rPr>
          <w:rFonts w:hint="default" w:ascii="Arial" w:hAnsi="Arial" w:eastAsia="宋体" w:cs="Arial"/>
          <w:bCs/>
          <w:color w:val="auto"/>
          <w:kern w:val="28"/>
          <w:sz w:val="24"/>
          <w:highlight w:val="none"/>
        </w:rPr>
        <w:t>（HJ 819-2017）的</w:t>
      </w:r>
      <w:r>
        <w:rPr>
          <w:rFonts w:hint="default" w:ascii="Arial" w:hAnsi="Arial" w:eastAsia="宋体" w:cs="Arial"/>
          <w:color w:val="auto"/>
          <w:sz w:val="24"/>
          <w:highlight w:val="none"/>
        </w:rPr>
        <w:t>相关要求制定，具体监测计划建议如下。</w:t>
      </w:r>
    </w:p>
    <w:p w14:paraId="3FA28062">
      <w:pPr>
        <w:pStyle w:val="76"/>
        <w:keepNext w:val="0"/>
        <w:keepLines w:val="0"/>
        <w:pageBreakBefore w:val="0"/>
        <w:widowControl w:val="0"/>
        <w:numPr>
          <w:ilvl w:val="3"/>
          <w:numId w:val="5"/>
        </w:numPr>
        <w:kinsoku/>
        <w:wordWrap/>
        <w:overflowPunct/>
        <w:topLinePunct w:val="0"/>
        <w:autoSpaceDE/>
        <w:autoSpaceDN/>
        <w:bidi w:val="0"/>
        <w:adjustRightInd/>
        <w:snapToGrid/>
        <w:spacing w:line="240" w:lineRule="auto"/>
        <w:ind w:left="777" w:leftChars="0" w:firstLine="0" w:firstLineChars="0"/>
        <w:jc w:val="center"/>
        <w:textAlignment w:val="auto"/>
        <w:outlineLvl w:val="2"/>
        <w:rPr>
          <w:rFonts w:hint="default" w:ascii="Arial" w:hAnsi="Arial" w:eastAsia="宋体" w:cs="Arial"/>
          <w:b/>
          <w:bCs/>
          <w:sz w:val="24"/>
          <w:szCs w:val="24"/>
        </w:rPr>
      </w:pPr>
      <w:r>
        <w:rPr>
          <w:rFonts w:hint="default" w:ascii="Arial" w:hAnsi="Arial" w:eastAsia="宋体" w:cs="Arial"/>
          <w:b/>
          <w:bCs/>
          <w:color w:val="auto"/>
          <w:sz w:val="24"/>
          <w:highlight w:val="none"/>
          <w:lang w:val="en-US" w:eastAsia="zh-CN"/>
        </w:rPr>
        <w:t xml:space="preserve">  </w:t>
      </w:r>
      <w:r>
        <w:rPr>
          <w:rFonts w:hint="default" w:ascii="Arial" w:hAnsi="Arial" w:eastAsia="宋体" w:cs="Arial"/>
          <w:b/>
          <w:bCs/>
          <w:color w:val="auto"/>
          <w:sz w:val="24"/>
          <w:highlight w:val="none"/>
        </w:rPr>
        <w:t>废气监测计划</w:t>
      </w:r>
    </w:p>
    <w:tbl>
      <w:tblPr>
        <w:tblStyle w:val="52"/>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6"/>
        <w:gridCol w:w="1390"/>
        <w:gridCol w:w="1235"/>
        <w:gridCol w:w="3454"/>
      </w:tblGrid>
      <w:tr w14:paraId="4C07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pct"/>
            <w:tcBorders>
              <w:tl2br w:val="nil"/>
            </w:tcBorders>
            <w:shd w:val="clear" w:color="auto" w:fill="FFFFFF"/>
            <w:noWrap w:val="0"/>
            <w:vAlign w:val="center"/>
          </w:tcPr>
          <w:p w14:paraId="026CF409">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bCs/>
                <w:color w:val="000000"/>
                <w:sz w:val="24"/>
                <w:highlight w:val="none"/>
              </w:rPr>
            </w:pPr>
            <w:r>
              <w:rPr>
                <w:rFonts w:hint="default" w:ascii="Arial" w:hAnsi="Arial" w:eastAsia="宋体" w:cs="Arial"/>
                <w:b w:val="0"/>
                <w:color w:val="000000"/>
                <w:szCs w:val="21"/>
                <w:highlight w:val="none"/>
              </w:rPr>
              <w:t>类别</w:t>
            </w:r>
          </w:p>
        </w:tc>
        <w:tc>
          <w:tcPr>
            <w:tcW w:w="703" w:type="pct"/>
            <w:shd w:val="clear" w:color="auto" w:fill="FFFFFF"/>
            <w:noWrap w:val="0"/>
            <w:vAlign w:val="center"/>
          </w:tcPr>
          <w:p w14:paraId="2FCF03B1">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bCs/>
                <w:color w:val="000000"/>
                <w:sz w:val="24"/>
                <w:highlight w:val="none"/>
              </w:rPr>
            </w:pPr>
            <w:r>
              <w:rPr>
                <w:rFonts w:hint="default" w:ascii="Arial" w:hAnsi="Arial" w:eastAsia="宋体" w:cs="Arial"/>
                <w:b w:val="0"/>
                <w:color w:val="000000"/>
                <w:szCs w:val="21"/>
                <w:highlight w:val="none"/>
              </w:rPr>
              <w:t>监测点位</w:t>
            </w:r>
          </w:p>
        </w:tc>
        <w:tc>
          <w:tcPr>
            <w:tcW w:w="875" w:type="pct"/>
            <w:shd w:val="clear" w:color="auto" w:fill="FFFFFF"/>
            <w:noWrap w:val="0"/>
            <w:vAlign w:val="center"/>
          </w:tcPr>
          <w:p w14:paraId="582BCB94">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bCs/>
                <w:color w:val="000000"/>
                <w:sz w:val="24"/>
                <w:highlight w:val="none"/>
              </w:rPr>
            </w:pPr>
            <w:r>
              <w:rPr>
                <w:rFonts w:hint="default" w:ascii="Arial" w:hAnsi="Arial" w:eastAsia="宋体" w:cs="Arial"/>
                <w:b w:val="0"/>
                <w:color w:val="000000"/>
                <w:szCs w:val="21"/>
                <w:highlight w:val="none"/>
              </w:rPr>
              <w:t>监测指标</w:t>
            </w:r>
          </w:p>
        </w:tc>
        <w:tc>
          <w:tcPr>
            <w:tcW w:w="778" w:type="pct"/>
            <w:shd w:val="clear" w:color="auto" w:fill="FFFFFF"/>
            <w:noWrap w:val="0"/>
            <w:vAlign w:val="center"/>
          </w:tcPr>
          <w:p w14:paraId="26B9056D">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bCs/>
                <w:color w:val="000000"/>
                <w:sz w:val="24"/>
                <w:highlight w:val="none"/>
              </w:rPr>
            </w:pPr>
            <w:r>
              <w:rPr>
                <w:rFonts w:hint="default" w:ascii="Arial" w:hAnsi="Arial" w:eastAsia="宋体" w:cs="Arial"/>
                <w:b w:val="0"/>
                <w:color w:val="000000"/>
                <w:szCs w:val="21"/>
                <w:highlight w:val="none"/>
              </w:rPr>
              <w:t>监测频次</w:t>
            </w:r>
          </w:p>
        </w:tc>
        <w:tc>
          <w:tcPr>
            <w:tcW w:w="2175" w:type="pct"/>
            <w:shd w:val="clear" w:color="auto" w:fill="FFFFFF"/>
            <w:noWrap w:val="0"/>
            <w:vAlign w:val="center"/>
          </w:tcPr>
          <w:p w14:paraId="23242688">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bCs/>
                <w:color w:val="000000"/>
                <w:sz w:val="24"/>
                <w:highlight w:val="none"/>
              </w:rPr>
            </w:pPr>
            <w:r>
              <w:rPr>
                <w:rFonts w:hint="default" w:ascii="Arial" w:hAnsi="Arial" w:eastAsia="宋体" w:cs="Arial"/>
                <w:b w:val="0"/>
                <w:color w:val="000000"/>
                <w:szCs w:val="21"/>
                <w:highlight w:val="none"/>
              </w:rPr>
              <w:t>执行排放标准</w:t>
            </w:r>
          </w:p>
        </w:tc>
      </w:tr>
      <w:tr w14:paraId="0E30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67" w:type="pct"/>
            <w:vMerge w:val="restart"/>
            <w:shd w:val="clear" w:color="auto" w:fill="FFFFFF"/>
            <w:noWrap w:val="0"/>
            <w:vAlign w:val="center"/>
          </w:tcPr>
          <w:p w14:paraId="5C0F904B">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废气</w:t>
            </w:r>
          </w:p>
        </w:tc>
        <w:tc>
          <w:tcPr>
            <w:tcW w:w="703" w:type="pct"/>
            <w:shd w:val="clear" w:color="auto" w:fill="FFFFFF"/>
            <w:noWrap w:val="0"/>
            <w:vAlign w:val="center"/>
          </w:tcPr>
          <w:p w14:paraId="4BC12A26">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DA001</w:t>
            </w:r>
          </w:p>
        </w:tc>
        <w:tc>
          <w:tcPr>
            <w:tcW w:w="875" w:type="pct"/>
            <w:shd w:val="clear" w:color="auto" w:fill="FFFFFF"/>
            <w:noWrap w:val="0"/>
            <w:vAlign w:val="center"/>
          </w:tcPr>
          <w:p w14:paraId="361A2575">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颗粒物</w:t>
            </w:r>
          </w:p>
        </w:tc>
        <w:tc>
          <w:tcPr>
            <w:tcW w:w="778" w:type="pct"/>
            <w:vMerge w:val="restart"/>
            <w:shd w:val="clear" w:color="auto" w:fill="FFFFFF"/>
            <w:noWrap w:val="0"/>
            <w:vAlign w:val="center"/>
          </w:tcPr>
          <w:p w14:paraId="283B944F">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r>
              <w:rPr>
                <w:rFonts w:hint="default" w:ascii="Arial" w:hAnsi="Arial" w:eastAsia="宋体" w:cs="Arial"/>
                <w:b w:val="0"/>
                <w:color w:val="000000"/>
                <w:szCs w:val="21"/>
                <w:highlight w:val="none"/>
              </w:rPr>
              <w:t>1次/年</w:t>
            </w:r>
          </w:p>
        </w:tc>
        <w:tc>
          <w:tcPr>
            <w:tcW w:w="2175" w:type="pct"/>
            <w:vMerge w:val="restart"/>
            <w:shd w:val="clear" w:color="auto" w:fill="FFFFFF"/>
            <w:noWrap w:val="0"/>
            <w:vAlign w:val="center"/>
          </w:tcPr>
          <w:p w14:paraId="3DF50017">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r>
              <w:rPr>
                <w:rFonts w:hint="default" w:ascii="Arial" w:hAnsi="Arial" w:eastAsia="宋体" w:cs="Arial"/>
                <w:szCs w:val="21"/>
              </w:rPr>
              <w:t>《大气污染物综合排放标准》（GB 16297-1996）二级标准</w:t>
            </w:r>
            <w:r>
              <w:rPr>
                <w:rFonts w:hint="default" w:ascii="Arial" w:hAnsi="Arial" w:eastAsia="宋体" w:cs="Arial"/>
                <w:szCs w:val="21"/>
                <w:lang w:eastAsia="zh-CN"/>
              </w:rPr>
              <w:t>；</w:t>
            </w:r>
          </w:p>
        </w:tc>
      </w:tr>
      <w:tr w14:paraId="553E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67" w:type="pct"/>
            <w:vMerge w:val="continue"/>
            <w:shd w:val="clear" w:color="auto" w:fill="FFFFFF"/>
            <w:noWrap w:val="0"/>
            <w:vAlign w:val="center"/>
          </w:tcPr>
          <w:p w14:paraId="3BECC5A6">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lang w:val="en-US" w:eastAsia="zh-CN"/>
              </w:rPr>
            </w:pPr>
          </w:p>
        </w:tc>
        <w:tc>
          <w:tcPr>
            <w:tcW w:w="703" w:type="pct"/>
            <w:vMerge w:val="restart"/>
            <w:shd w:val="clear" w:color="auto" w:fill="FFFFFF"/>
            <w:noWrap w:val="0"/>
            <w:vAlign w:val="center"/>
          </w:tcPr>
          <w:p w14:paraId="1A831582">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kern w:val="2"/>
                <w:sz w:val="21"/>
                <w:szCs w:val="21"/>
                <w:highlight w:val="none"/>
                <w:lang w:val="en-US" w:eastAsia="zh-CN" w:bidi="ar-SA"/>
              </w:rPr>
            </w:pPr>
            <w:r>
              <w:rPr>
                <w:rFonts w:hint="default" w:ascii="Arial" w:hAnsi="Arial" w:eastAsia="宋体" w:cs="Arial"/>
                <w:b w:val="0"/>
                <w:color w:val="000000"/>
                <w:szCs w:val="21"/>
                <w:highlight w:val="none"/>
              </w:rPr>
              <w:t>厂界</w:t>
            </w:r>
          </w:p>
        </w:tc>
        <w:tc>
          <w:tcPr>
            <w:tcW w:w="875" w:type="pct"/>
            <w:shd w:val="clear" w:color="auto" w:fill="FFFFFF"/>
            <w:noWrap w:val="0"/>
            <w:vAlign w:val="center"/>
          </w:tcPr>
          <w:p w14:paraId="1EC5C3C4">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颗粒物</w:t>
            </w:r>
          </w:p>
        </w:tc>
        <w:tc>
          <w:tcPr>
            <w:tcW w:w="778" w:type="pct"/>
            <w:vMerge w:val="continue"/>
            <w:shd w:val="clear" w:color="auto" w:fill="FFFFFF"/>
            <w:noWrap w:val="0"/>
            <w:vAlign w:val="center"/>
          </w:tcPr>
          <w:p w14:paraId="7690D801">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p>
        </w:tc>
        <w:tc>
          <w:tcPr>
            <w:tcW w:w="2175" w:type="pct"/>
            <w:vMerge w:val="continue"/>
            <w:shd w:val="clear" w:color="auto" w:fill="FFFFFF"/>
            <w:noWrap w:val="0"/>
            <w:vAlign w:val="center"/>
          </w:tcPr>
          <w:p w14:paraId="73470851">
            <w:pPr>
              <w:pStyle w:val="76"/>
              <w:keepNext w:val="0"/>
              <w:keepLines w:val="0"/>
              <w:suppressLineNumbers w:val="0"/>
              <w:spacing w:before="0" w:beforeAutospacing="0" w:after="0" w:afterAutospacing="0"/>
              <w:ind w:left="0" w:right="0"/>
              <w:jc w:val="center"/>
              <w:outlineLvl w:val="3"/>
              <w:rPr>
                <w:rFonts w:hint="default" w:ascii="Arial" w:hAnsi="Arial" w:eastAsia="宋体" w:cs="Arial"/>
                <w:szCs w:val="21"/>
              </w:rPr>
            </w:pPr>
          </w:p>
        </w:tc>
      </w:tr>
      <w:tr w14:paraId="26DF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7" w:type="pct"/>
            <w:vMerge w:val="continue"/>
            <w:shd w:val="clear" w:color="auto" w:fill="FFFFFF"/>
            <w:noWrap w:val="0"/>
            <w:vAlign w:val="center"/>
          </w:tcPr>
          <w:p w14:paraId="271EB61C">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p>
        </w:tc>
        <w:tc>
          <w:tcPr>
            <w:tcW w:w="703" w:type="pct"/>
            <w:vMerge w:val="continue"/>
            <w:shd w:val="clear" w:color="auto" w:fill="FFFFFF"/>
            <w:noWrap w:val="0"/>
            <w:vAlign w:val="center"/>
          </w:tcPr>
          <w:p w14:paraId="42669C47">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kern w:val="2"/>
                <w:sz w:val="21"/>
                <w:szCs w:val="21"/>
                <w:highlight w:val="none"/>
                <w:lang w:val="en-US" w:eastAsia="zh-CN" w:bidi="ar-SA"/>
              </w:rPr>
            </w:pPr>
          </w:p>
        </w:tc>
        <w:tc>
          <w:tcPr>
            <w:tcW w:w="875" w:type="pct"/>
            <w:shd w:val="clear" w:color="auto" w:fill="FFFFFF"/>
            <w:noWrap w:val="0"/>
            <w:vAlign w:val="center"/>
          </w:tcPr>
          <w:p w14:paraId="54D3D142">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kern w:val="2"/>
                <w:sz w:val="21"/>
                <w:szCs w:val="21"/>
                <w:highlight w:val="none"/>
                <w:lang w:val="en-US" w:eastAsia="zh-CN" w:bidi="ar-SA"/>
              </w:rPr>
            </w:pPr>
            <w:r>
              <w:rPr>
                <w:rFonts w:hint="eastAsia" w:ascii="Arial" w:hAnsi="Arial" w:eastAsia="宋体" w:cs="Arial"/>
                <w:b w:val="0"/>
                <w:color w:val="000000"/>
                <w:kern w:val="2"/>
                <w:sz w:val="21"/>
                <w:szCs w:val="21"/>
                <w:highlight w:val="none"/>
                <w:lang w:val="en-US" w:eastAsia="zh-CN" w:bidi="ar-SA"/>
              </w:rPr>
              <w:t>非甲烷总烃</w:t>
            </w:r>
          </w:p>
        </w:tc>
        <w:tc>
          <w:tcPr>
            <w:tcW w:w="778" w:type="pct"/>
            <w:vMerge w:val="continue"/>
            <w:shd w:val="clear" w:color="auto" w:fill="FFFFFF"/>
            <w:noWrap w:val="0"/>
            <w:vAlign w:val="center"/>
          </w:tcPr>
          <w:p w14:paraId="101CEBB2">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p>
        </w:tc>
        <w:tc>
          <w:tcPr>
            <w:tcW w:w="2175" w:type="pct"/>
            <w:vMerge w:val="continue"/>
            <w:shd w:val="clear" w:color="auto" w:fill="FFFFFF"/>
            <w:noWrap w:val="0"/>
            <w:vAlign w:val="center"/>
          </w:tcPr>
          <w:p w14:paraId="1F7B1731">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p>
        </w:tc>
      </w:tr>
      <w:tr w14:paraId="2838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7" w:type="pct"/>
            <w:vMerge w:val="continue"/>
            <w:shd w:val="clear" w:color="auto" w:fill="FFFFFF"/>
            <w:noWrap w:val="0"/>
            <w:vAlign w:val="center"/>
          </w:tcPr>
          <w:p w14:paraId="470D4A19">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p>
        </w:tc>
        <w:tc>
          <w:tcPr>
            <w:tcW w:w="703" w:type="pct"/>
            <w:shd w:val="clear" w:color="auto" w:fill="FFFFFF"/>
            <w:noWrap w:val="0"/>
            <w:vAlign w:val="center"/>
          </w:tcPr>
          <w:p w14:paraId="17B31349">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kern w:val="2"/>
                <w:sz w:val="21"/>
                <w:szCs w:val="21"/>
                <w:highlight w:val="none"/>
                <w:lang w:val="en-US" w:eastAsia="zh-CN" w:bidi="ar-SA"/>
              </w:rPr>
            </w:pPr>
            <w:r>
              <w:rPr>
                <w:rFonts w:hint="eastAsia" w:ascii="Arial" w:hAnsi="Arial" w:eastAsia="宋体" w:cs="Arial"/>
                <w:b w:val="0"/>
                <w:color w:val="000000"/>
                <w:kern w:val="2"/>
                <w:sz w:val="21"/>
                <w:szCs w:val="21"/>
                <w:highlight w:val="none"/>
                <w:lang w:val="en-US" w:eastAsia="zh-CN" w:bidi="ar-SA"/>
              </w:rPr>
              <w:t>厂区内</w:t>
            </w:r>
          </w:p>
        </w:tc>
        <w:tc>
          <w:tcPr>
            <w:tcW w:w="875" w:type="pct"/>
            <w:shd w:val="clear" w:color="auto" w:fill="FFFFFF"/>
            <w:noWrap w:val="0"/>
            <w:vAlign w:val="center"/>
          </w:tcPr>
          <w:p w14:paraId="1F386385">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kern w:val="2"/>
                <w:sz w:val="21"/>
                <w:szCs w:val="21"/>
                <w:highlight w:val="none"/>
                <w:lang w:val="en-US" w:eastAsia="zh-CN" w:bidi="ar-SA"/>
              </w:rPr>
            </w:pPr>
            <w:r>
              <w:rPr>
                <w:rFonts w:hint="eastAsia" w:ascii="Arial" w:hAnsi="Arial" w:eastAsia="宋体" w:cs="Arial"/>
                <w:b w:val="0"/>
                <w:color w:val="000000"/>
                <w:kern w:val="2"/>
                <w:sz w:val="21"/>
                <w:szCs w:val="21"/>
                <w:highlight w:val="none"/>
                <w:lang w:val="en-US" w:eastAsia="zh-CN" w:bidi="ar-SA"/>
              </w:rPr>
              <w:t>非甲烷总烃</w:t>
            </w:r>
          </w:p>
        </w:tc>
        <w:tc>
          <w:tcPr>
            <w:tcW w:w="778" w:type="pct"/>
            <w:vMerge w:val="continue"/>
            <w:shd w:val="clear" w:color="auto" w:fill="FFFFFF"/>
            <w:noWrap w:val="0"/>
            <w:vAlign w:val="center"/>
          </w:tcPr>
          <w:p w14:paraId="0FAFCF72">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p>
        </w:tc>
        <w:tc>
          <w:tcPr>
            <w:tcW w:w="2175" w:type="pct"/>
            <w:shd w:val="clear" w:color="auto" w:fill="FFFFFF"/>
            <w:noWrap w:val="0"/>
            <w:vAlign w:val="center"/>
          </w:tcPr>
          <w:p w14:paraId="579795DE">
            <w:pPr>
              <w:pStyle w:val="76"/>
              <w:keepNext w:val="0"/>
              <w:keepLines w:val="0"/>
              <w:suppressLineNumbers w:val="0"/>
              <w:spacing w:before="0" w:beforeAutospacing="0" w:after="0" w:afterAutospacing="0"/>
              <w:ind w:left="0" w:right="0"/>
              <w:jc w:val="center"/>
              <w:outlineLvl w:val="3"/>
              <w:rPr>
                <w:rFonts w:hint="default" w:ascii="Arial" w:hAnsi="Arial" w:eastAsia="宋体" w:cs="Arial"/>
                <w:b w:val="0"/>
                <w:color w:val="000000"/>
                <w:szCs w:val="21"/>
                <w:highlight w:val="none"/>
              </w:rPr>
            </w:pPr>
            <w:r>
              <w:rPr>
                <w:rFonts w:hint="default" w:ascii="Arial" w:hAnsi="Arial" w:eastAsia="宋体" w:cs="Arial"/>
                <w:szCs w:val="21"/>
              </w:rPr>
              <w:t>《挥发性有机物无组织排放控制标准》（GB 37822-2019）中特别排放限值</w:t>
            </w:r>
          </w:p>
        </w:tc>
      </w:tr>
    </w:tbl>
    <w:p w14:paraId="229D44AE">
      <w:pPr>
        <w:pStyle w:val="76"/>
        <w:numPr>
          <w:ilvl w:val="2"/>
          <w:numId w:val="5"/>
        </w:numPr>
        <w:spacing w:line="360" w:lineRule="auto"/>
        <w:ind w:left="210" w:leftChars="0" w:firstLine="0" w:firstLineChars="0"/>
        <w:outlineLvl w:val="2"/>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废水环境影响和保护措施</w:t>
      </w:r>
    </w:p>
    <w:p w14:paraId="3E887DD2">
      <w:pPr>
        <w:spacing w:line="360" w:lineRule="auto"/>
        <w:outlineLvl w:val="3"/>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lang w:val="en-US" w:eastAsia="zh-CN"/>
          <w14:textFill>
            <w14:solidFill>
              <w14:schemeClr w14:val="tx1"/>
            </w14:solidFill>
          </w14:textFill>
        </w:rPr>
        <w:t>1、</w:t>
      </w:r>
      <w:r>
        <w:rPr>
          <w:rFonts w:hint="default" w:ascii="Arial" w:hAnsi="Arial" w:eastAsia="宋体" w:cs="Arial"/>
          <w:b/>
          <w:bCs/>
          <w:color w:val="000000" w:themeColor="text1"/>
          <w:sz w:val="24"/>
          <w:szCs w:val="24"/>
          <w14:textFill>
            <w14:solidFill>
              <w14:schemeClr w14:val="tx1"/>
            </w14:solidFill>
          </w14:textFill>
        </w:rPr>
        <w:t>废水污染源强核算</w:t>
      </w:r>
    </w:p>
    <w:p w14:paraId="793DCF03">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2" w:firstLineChars="0"/>
        <w:textAlignment w:val="auto"/>
        <w:rPr>
          <w:rFonts w:hint="default" w:ascii="Arial" w:hAnsi="Arial" w:eastAsia="宋体" w:cs="Arial"/>
          <w:bCs/>
          <w:color w:val="000000" w:themeColor="text1"/>
          <w:kern w:val="28"/>
          <w:sz w:val="24"/>
          <w:szCs w:val="24"/>
          <w14:textFill>
            <w14:solidFill>
              <w14:schemeClr w14:val="tx1"/>
            </w14:solidFill>
          </w14:textFill>
        </w:rPr>
      </w:pPr>
      <w:r>
        <w:rPr>
          <w:rFonts w:hint="default" w:ascii="Arial" w:hAnsi="Arial" w:eastAsia="宋体" w:cs="Arial"/>
          <w:bCs/>
          <w:color w:val="000000" w:themeColor="text1"/>
          <w:kern w:val="28"/>
          <w:sz w:val="24"/>
          <w:szCs w:val="24"/>
          <w:lang w:val="en-US" w:eastAsia="zh-CN" w:bidi="ar-SA"/>
          <w14:textFill>
            <w14:solidFill>
              <w14:schemeClr w14:val="tx1"/>
            </w14:solidFill>
          </w14:textFill>
        </w:rPr>
        <w:t>（1）清洗</w:t>
      </w:r>
      <w:r>
        <w:rPr>
          <w:rFonts w:hint="default" w:ascii="Arial" w:hAnsi="Arial" w:eastAsia="宋体" w:cs="Arial"/>
          <w:bCs/>
          <w:color w:val="000000" w:themeColor="text1"/>
          <w:kern w:val="28"/>
          <w:sz w:val="24"/>
          <w:szCs w:val="24"/>
          <w14:textFill>
            <w14:solidFill>
              <w14:schemeClr w14:val="tx1"/>
            </w14:solidFill>
          </w14:textFill>
        </w:rPr>
        <w:t>废水</w:t>
      </w:r>
    </w:p>
    <w:p w14:paraId="19845A1D">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color w:val="000000"/>
          <w:sz w:val="24"/>
          <w:lang w:val="en-US" w:eastAsia="zh-CN"/>
        </w:rPr>
      </w:pPr>
      <w:r>
        <w:rPr>
          <w:rFonts w:hint="default" w:ascii="Arial" w:hAnsi="Arial" w:eastAsia="宋体" w:cs="Arial"/>
          <w:bCs/>
          <w:color w:val="000000" w:themeColor="text1"/>
          <w:kern w:val="28"/>
          <w:sz w:val="24"/>
          <w:szCs w:val="24"/>
          <w:lang w:val="en-US" w:eastAsia="zh-CN"/>
          <w14:textFill>
            <w14:solidFill>
              <w14:schemeClr w14:val="tx1"/>
            </w14:solidFill>
          </w14:textFill>
        </w:rPr>
        <w:t>项目有2台清洗机，每台清洗机有1个清洗槽（0.5</w:t>
      </w:r>
      <w:r>
        <w:rPr>
          <w:rFonts w:hint="default" w:ascii="Arial" w:hAnsi="Arial" w:eastAsia="宋体" w:cs="Arial"/>
          <w:b w:val="0"/>
          <w:color w:val="000000" w:themeColor="text1"/>
          <w:sz w:val="21"/>
          <w:szCs w:val="21"/>
          <w14:textFill>
            <w14:solidFill>
              <w14:schemeClr w14:val="tx1"/>
            </w14:solidFill>
          </w14:textFill>
        </w:rPr>
        <w:t>m</w:t>
      </w:r>
      <w:r>
        <w:rPr>
          <w:rFonts w:hint="default" w:ascii="Arial" w:hAnsi="Arial" w:eastAsia="宋体" w:cs="Arial"/>
          <w:b w:val="0"/>
          <w:color w:val="000000" w:themeColor="text1"/>
          <w:sz w:val="21"/>
          <w:szCs w:val="21"/>
          <w:vertAlign w:val="superscript"/>
          <w14:textFill>
            <w14:solidFill>
              <w14:schemeClr w14:val="tx1"/>
            </w14:solidFill>
          </w14:textFill>
        </w:rPr>
        <w:t>3</w:t>
      </w:r>
      <w:r>
        <w:rPr>
          <w:rFonts w:hint="default" w:ascii="Arial" w:hAnsi="Arial" w:eastAsia="宋体" w:cs="Arial"/>
          <w:bCs/>
          <w:color w:val="000000" w:themeColor="text1"/>
          <w:kern w:val="28"/>
          <w:sz w:val="24"/>
          <w:szCs w:val="24"/>
          <w:lang w:val="en-US" w:eastAsia="zh-CN"/>
          <w14:textFill>
            <w14:solidFill>
              <w14:schemeClr w14:val="tx1"/>
            </w14:solidFill>
          </w14:textFill>
        </w:rPr>
        <w:t>），为高压喷淋清洗通过高压水枪，向工件表面喷射带清洗剂的温水（30-50℃，电加热），利用水流冲击力剥离杂质，槽液更换频率约为4周每次。项目使用清洗剂需使用自来水稀释，清洗剂工作浓度为10%，</w:t>
      </w:r>
      <w:r>
        <w:rPr>
          <w:rFonts w:hint="default" w:ascii="Arial" w:hAnsi="Arial" w:eastAsia="宋体" w:cs="Arial"/>
          <w:color w:val="000000"/>
          <w:sz w:val="24"/>
        </w:rPr>
        <w:t>工件带出及蒸发损耗</w:t>
      </w:r>
      <w:r>
        <w:rPr>
          <w:rFonts w:hint="default" w:ascii="Arial" w:hAnsi="Arial" w:eastAsia="宋体" w:cs="Arial"/>
          <w:color w:val="000000"/>
          <w:sz w:val="24"/>
          <w:lang w:val="en-US" w:eastAsia="zh-CN"/>
        </w:rPr>
        <w:t>按用</w:t>
      </w:r>
      <w:r>
        <w:rPr>
          <w:rFonts w:hint="default" w:ascii="Arial" w:hAnsi="Arial" w:eastAsia="宋体" w:cs="Arial"/>
          <w:color w:val="000000"/>
          <w:sz w:val="24"/>
        </w:rPr>
        <w:t>水量的1</w:t>
      </w:r>
      <w:r>
        <w:rPr>
          <w:rFonts w:hint="default" w:ascii="Arial" w:hAnsi="Arial" w:eastAsia="宋体" w:cs="Arial"/>
          <w:color w:val="000000"/>
          <w:sz w:val="24"/>
          <w:lang w:val="en-US" w:eastAsia="zh-CN"/>
        </w:rPr>
        <w:t>%计。</w:t>
      </w:r>
    </w:p>
    <w:p w14:paraId="48869471">
      <w:pPr>
        <w:pStyle w:val="910"/>
        <w:numPr>
          <w:ilvl w:val="3"/>
          <w:numId w:val="5"/>
        </w:numPr>
        <w:bidi w:val="0"/>
        <w:ind w:left="777" w:leftChars="0" w:firstLine="0" w:firstLineChars="0"/>
        <w:rPr>
          <w:rFonts w:hint="default" w:ascii="Arial" w:hAnsi="Arial" w:eastAsia="宋体" w:cs="Arial"/>
          <w:color w:val="000000"/>
          <w:lang w:val="en-US" w:eastAsia="zh-CN"/>
        </w:rPr>
      </w:pPr>
      <w:r>
        <w:rPr>
          <w:rFonts w:hint="eastAsia" w:ascii="Arial" w:hAnsi="Arial" w:cs="Arial"/>
          <w:color w:val="000000"/>
          <w:lang w:val="en-US" w:eastAsia="zh-CN"/>
        </w:rPr>
        <w:t xml:space="preserve">  </w:t>
      </w:r>
      <w:r>
        <w:rPr>
          <w:rFonts w:hint="default" w:ascii="Arial" w:hAnsi="Arial" w:eastAsia="宋体" w:cs="Arial"/>
          <w:color w:val="000000"/>
          <w:lang w:val="en-US" w:eastAsia="zh-CN"/>
        </w:rPr>
        <w:t>清洗废水产生一览表</w:t>
      </w:r>
    </w:p>
    <w:tbl>
      <w:tblPr>
        <w:tblStyle w:val="52"/>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032"/>
        <w:gridCol w:w="935"/>
        <w:gridCol w:w="1002"/>
        <w:gridCol w:w="649"/>
        <w:gridCol w:w="834"/>
        <w:gridCol w:w="1117"/>
        <w:gridCol w:w="1756"/>
      </w:tblGrid>
      <w:tr w14:paraId="4422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4" w:type="pct"/>
            <w:tcBorders>
              <w:tl2br w:val="nil"/>
            </w:tcBorders>
            <w:shd w:val="clear" w:color="auto" w:fill="FFFFFF"/>
            <w:noWrap w:val="0"/>
            <w:vAlign w:val="center"/>
          </w:tcPr>
          <w:p w14:paraId="6110D34C">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项目</w:t>
            </w:r>
          </w:p>
        </w:tc>
        <w:tc>
          <w:tcPr>
            <w:tcW w:w="636" w:type="pct"/>
            <w:shd w:val="clear" w:color="auto" w:fill="FFFFFF"/>
            <w:noWrap w:val="0"/>
            <w:vAlign w:val="center"/>
          </w:tcPr>
          <w:p w14:paraId="54A5C7BB">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清洗槽</w:t>
            </w:r>
          </w:p>
        </w:tc>
        <w:tc>
          <w:tcPr>
            <w:tcW w:w="576" w:type="pct"/>
            <w:shd w:val="clear" w:color="auto" w:fill="FFFFFF"/>
            <w:noWrap w:val="0"/>
            <w:vAlign w:val="center"/>
          </w:tcPr>
          <w:p w14:paraId="04892461">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药剂</w:t>
            </w:r>
          </w:p>
        </w:tc>
        <w:tc>
          <w:tcPr>
            <w:tcW w:w="617" w:type="pct"/>
            <w:shd w:val="clear" w:color="auto" w:fill="FFFFFF"/>
            <w:noWrap w:val="0"/>
            <w:vAlign w:val="center"/>
          </w:tcPr>
          <w:p w14:paraId="72F05C00">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处理槽容积m</w:t>
            </w:r>
            <w:r>
              <w:rPr>
                <w:rFonts w:hint="default" w:ascii="Arial" w:hAnsi="Arial" w:eastAsia="宋体" w:cs="Arial"/>
                <w:b w:val="0"/>
                <w:color w:val="000000"/>
                <w:sz w:val="21"/>
                <w:szCs w:val="21"/>
                <w:vertAlign w:val="superscript"/>
              </w:rPr>
              <w:t>3</w:t>
            </w:r>
          </w:p>
        </w:tc>
        <w:tc>
          <w:tcPr>
            <w:tcW w:w="400" w:type="pct"/>
            <w:shd w:val="clear" w:color="auto" w:fill="FFFFFF"/>
            <w:noWrap w:val="0"/>
            <w:vAlign w:val="center"/>
          </w:tcPr>
          <w:p w14:paraId="492437CB">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更换频次</w:t>
            </w:r>
          </w:p>
        </w:tc>
        <w:tc>
          <w:tcPr>
            <w:tcW w:w="514" w:type="pct"/>
            <w:shd w:val="clear" w:color="auto" w:fill="FFFFFF"/>
            <w:noWrap w:val="0"/>
            <w:vAlign w:val="center"/>
          </w:tcPr>
          <w:p w14:paraId="6FAF6F5A">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更换次数</w:t>
            </w:r>
          </w:p>
        </w:tc>
        <w:tc>
          <w:tcPr>
            <w:tcW w:w="688" w:type="pct"/>
            <w:shd w:val="clear" w:color="auto" w:fill="FFFFFF"/>
            <w:noWrap w:val="0"/>
            <w:vAlign w:val="center"/>
          </w:tcPr>
          <w:p w14:paraId="3035686B">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废水产生量t/a</w:t>
            </w:r>
          </w:p>
        </w:tc>
        <w:tc>
          <w:tcPr>
            <w:tcW w:w="1082" w:type="pct"/>
            <w:shd w:val="clear" w:color="auto" w:fill="FFFFFF"/>
            <w:noWrap w:val="0"/>
            <w:vAlign w:val="center"/>
          </w:tcPr>
          <w:p w14:paraId="027A9460">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污染因子</w:t>
            </w:r>
          </w:p>
        </w:tc>
      </w:tr>
      <w:tr w14:paraId="5B7B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4" w:type="pct"/>
            <w:shd w:val="clear" w:color="auto" w:fill="FFFFFF"/>
            <w:noWrap w:val="0"/>
            <w:vAlign w:val="center"/>
          </w:tcPr>
          <w:p w14:paraId="133C140D">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清洗机1</w:t>
            </w:r>
          </w:p>
        </w:tc>
        <w:tc>
          <w:tcPr>
            <w:tcW w:w="636" w:type="pct"/>
            <w:shd w:val="clear" w:color="auto" w:fill="FFFFFF"/>
            <w:noWrap w:val="0"/>
            <w:vAlign w:val="center"/>
          </w:tcPr>
          <w:p w14:paraId="6A977184">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清洗槽1</w:t>
            </w:r>
          </w:p>
        </w:tc>
        <w:tc>
          <w:tcPr>
            <w:tcW w:w="576" w:type="pct"/>
            <w:shd w:val="clear" w:color="auto" w:fill="FFFFFF"/>
            <w:noWrap w:val="0"/>
            <w:vAlign w:val="center"/>
          </w:tcPr>
          <w:p w14:paraId="738C5249">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sz w:val="21"/>
                <w:szCs w:val="21"/>
                <w:lang w:val="en-US" w:eastAsia="zh-CN"/>
              </w:rPr>
              <w:t>FC-D5400</w:t>
            </w:r>
          </w:p>
        </w:tc>
        <w:tc>
          <w:tcPr>
            <w:tcW w:w="617" w:type="pct"/>
            <w:shd w:val="clear" w:color="auto" w:fill="FFFFFF"/>
            <w:noWrap w:val="0"/>
            <w:vAlign w:val="center"/>
          </w:tcPr>
          <w:p w14:paraId="53385A2A">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0.5</w:t>
            </w:r>
          </w:p>
        </w:tc>
        <w:tc>
          <w:tcPr>
            <w:tcW w:w="400" w:type="pct"/>
            <w:shd w:val="clear" w:color="auto" w:fill="FFFFFF"/>
            <w:noWrap w:val="0"/>
            <w:vAlign w:val="center"/>
          </w:tcPr>
          <w:p w14:paraId="64A0E813">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4周</w:t>
            </w:r>
          </w:p>
        </w:tc>
        <w:tc>
          <w:tcPr>
            <w:tcW w:w="514" w:type="pct"/>
            <w:shd w:val="clear" w:color="auto" w:fill="FFFFFF"/>
            <w:noWrap w:val="0"/>
            <w:vAlign w:val="center"/>
          </w:tcPr>
          <w:p w14:paraId="3DDA570F">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9</w:t>
            </w:r>
          </w:p>
        </w:tc>
        <w:tc>
          <w:tcPr>
            <w:tcW w:w="688" w:type="pct"/>
            <w:shd w:val="clear" w:color="auto" w:fill="FFFFFF"/>
            <w:noWrap w:val="0"/>
            <w:vAlign w:val="center"/>
          </w:tcPr>
          <w:p w14:paraId="2960D2D1">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4.5</w:t>
            </w:r>
          </w:p>
        </w:tc>
        <w:tc>
          <w:tcPr>
            <w:tcW w:w="1082" w:type="pct"/>
            <w:shd w:val="clear" w:color="auto" w:fill="FFFFFF"/>
            <w:noWrap w:val="0"/>
            <w:vAlign w:val="center"/>
          </w:tcPr>
          <w:p w14:paraId="083CE01B">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CODcr、NH</w:t>
            </w:r>
            <w:r>
              <w:rPr>
                <w:rFonts w:hint="default" w:ascii="Arial" w:hAnsi="Arial" w:eastAsia="宋体" w:cs="Arial"/>
                <w:b w:val="0"/>
                <w:color w:val="000000"/>
                <w:sz w:val="21"/>
                <w:szCs w:val="21"/>
                <w:vertAlign w:val="subscript"/>
                <w:lang w:val="en-US" w:eastAsia="zh-CN"/>
              </w:rPr>
              <w:t>3</w:t>
            </w:r>
            <w:r>
              <w:rPr>
                <w:rFonts w:hint="default" w:ascii="Arial" w:hAnsi="Arial" w:eastAsia="宋体" w:cs="Arial"/>
                <w:b w:val="0"/>
                <w:color w:val="000000"/>
                <w:sz w:val="21"/>
                <w:szCs w:val="21"/>
                <w:vertAlign w:val="baseline"/>
                <w:lang w:val="en-US" w:eastAsia="zh-CN"/>
              </w:rPr>
              <w:t>-N</w:t>
            </w:r>
            <w:r>
              <w:rPr>
                <w:rFonts w:hint="default" w:ascii="Arial" w:hAnsi="Arial" w:eastAsia="宋体" w:cs="Arial"/>
                <w:b w:val="0"/>
                <w:color w:val="000000"/>
                <w:sz w:val="21"/>
                <w:szCs w:val="21"/>
                <w:lang w:val="en-US" w:eastAsia="zh-CN"/>
              </w:rPr>
              <w:t>、石油类、TN、LAS</w:t>
            </w:r>
          </w:p>
        </w:tc>
      </w:tr>
      <w:tr w14:paraId="29ED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4" w:type="pct"/>
            <w:shd w:val="clear" w:color="auto" w:fill="FFFFFF"/>
            <w:noWrap w:val="0"/>
            <w:vAlign w:val="center"/>
          </w:tcPr>
          <w:p w14:paraId="7DB1C5FA">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清洗机2</w:t>
            </w:r>
          </w:p>
        </w:tc>
        <w:tc>
          <w:tcPr>
            <w:tcW w:w="636" w:type="pct"/>
            <w:shd w:val="clear" w:color="auto" w:fill="FFFFFF"/>
            <w:noWrap w:val="0"/>
            <w:vAlign w:val="center"/>
          </w:tcPr>
          <w:p w14:paraId="3F60B16E">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清洗槽2</w:t>
            </w:r>
          </w:p>
        </w:tc>
        <w:tc>
          <w:tcPr>
            <w:tcW w:w="576" w:type="pct"/>
            <w:shd w:val="clear" w:color="auto" w:fill="FFFFFF"/>
            <w:noWrap w:val="0"/>
            <w:vAlign w:val="center"/>
          </w:tcPr>
          <w:p w14:paraId="3370692E">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sz w:val="21"/>
                <w:szCs w:val="21"/>
                <w:lang w:val="en-US" w:eastAsia="zh-CN"/>
              </w:rPr>
              <w:t>FL-E930</w:t>
            </w:r>
          </w:p>
        </w:tc>
        <w:tc>
          <w:tcPr>
            <w:tcW w:w="617" w:type="pct"/>
            <w:shd w:val="clear" w:color="auto" w:fill="FFFFFF"/>
            <w:noWrap w:val="0"/>
            <w:vAlign w:val="center"/>
          </w:tcPr>
          <w:p w14:paraId="740DB497">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0.5</w:t>
            </w:r>
          </w:p>
        </w:tc>
        <w:tc>
          <w:tcPr>
            <w:tcW w:w="400" w:type="pct"/>
            <w:shd w:val="clear" w:color="auto" w:fill="FFFFFF"/>
            <w:noWrap w:val="0"/>
            <w:vAlign w:val="center"/>
          </w:tcPr>
          <w:p w14:paraId="627E8684">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4周</w:t>
            </w:r>
          </w:p>
        </w:tc>
        <w:tc>
          <w:tcPr>
            <w:tcW w:w="514" w:type="pct"/>
            <w:shd w:val="clear" w:color="auto" w:fill="FFFFFF"/>
            <w:noWrap w:val="0"/>
            <w:vAlign w:val="center"/>
          </w:tcPr>
          <w:p w14:paraId="3795365D">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9</w:t>
            </w:r>
          </w:p>
        </w:tc>
        <w:tc>
          <w:tcPr>
            <w:tcW w:w="688" w:type="pct"/>
            <w:shd w:val="clear" w:color="auto" w:fill="FFFFFF"/>
            <w:noWrap w:val="0"/>
            <w:vAlign w:val="center"/>
          </w:tcPr>
          <w:p w14:paraId="7A30BAAD">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4.5</w:t>
            </w:r>
          </w:p>
        </w:tc>
        <w:tc>
          <w:tcPr>
            <w:tcW w:w="1082" w:type="pct"/>
            <w:shd w:val="clear" w:color="auto" w:fill="FFFFFF"/>
            <w:noWrap w:val="0"/>
            <w:vAlign w:val="center"/>
          </w:tcPr>
          <w:p w14:paraId="5CC386B0">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CODcr、NH</w:t>
            </w:r>
            <w:r>
              <w:rPr>
                <w:rFonts w:hint="default" w:ascii="Arial" w:hAnsi="Arial" w:eastAsia="宋体" w:cs="Arial"/>
                <w:b w:val="0"/>
                <w:color w:val="000000"/>
                <w:sz w:val="21"/>
                <w:szCs w:val="21"/>
                <w:vertAlign w:val="subscript"/>
                <w:lang w:val="en-US" w:eastAsia="zh-CN"/>
              </w:rPr>
              <w:t>3</w:t>
            </w:r>
            <w:r>
              <w:rPr>
                <w:rFonts w:hint="default" w:ascii="Arial" w:hAnsi="Arial" w:eastAsia="宋体" w:cs="Arial"/>
                <w:b w:val="0"/>
                <w:color w:val="000000"/>
                <w:sz w:val="21"/>
                <w:szCs w:val="21"/>
                <w:vertAlign w:val="baseline"/>
                <w:lang w:val="en-US" w:eastAsia="zh-CN"/>
              </w:rPr>
              <w:t>-N</w:t>
            </w:r>
            <w:r>
              <w:rPr>
                <w:rFonts w:hint="default" w:ascii="Arial" w:hAnsi="Arial" w:eastAsia="宋体" w:cs="Arial"/>
                <w:b w:val="0"/>
                <w:color w:val="000000"/>
                <w:sz w:val="21"/>
                <w:szCs w:val="21"/>
                <w:lang w:val="en-US" w:eastAsia="zh-CN"/>
              </w:rPr>
              <w:t>、石油类、TN、LAS</w:t>
            </w:r>
          </w:p>
        </w:tc>
      </w:tr>
      <w:tr w14:paraId="621C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4" w:type="pct"/>
            <w:shd w:val="clear" w:color="auto" w:fill="FFFFFF"/>
            <w:noWrap w:val="0"/>
            <w:vAlign w:val="center"/>
          </w:tcPr>
          <w:p w14:paraId="204BBA5D">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合计</w:t>
            </w:r>
          </w:p>
        </w:tc>
        <w:tc>
          <w:tcPr>
            <w:tcW w:w="636" w:type="pct"/>
            <w:shd w:val="clear" w:color="auto" w:fill="FFFFFF"/>
            <w:noWrap w:val="0"/>
            <w:vAlign w:val="center"/>
          </w:tcPr>
          <w:p w14:paraId="1A2ACF02">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w:t>
            </w:r>
          </w:p>
        </w:tc>
        <w:tc>
          <w:tcPr>
            <w:tcW w:w="576" w:type="pct"/>
            <w:shd w:val="clear" w:color="auto" w:fill="FFFFFF"/>
            <w:noWrap w:val="0"/>
            <w:vAlign w:val="center"/>
          </w:tcPr>
          <w:p w14:paraId="5CBBBE3B">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lang w:val="en-US" w:eastAsia="zh-CN"/>
              </w:rPr>
            </w:pPr>
            <w:r>
              <w:rPr>
                <w:rFonts w:hint="default" w:ascii="Arial" w:hAnsi="Arial" w:eastAsia="宋体" w:cs="Arial"/>
                <w:b w:val="0"/>
                <w:bCs/>
                <w:color w:val="000000"/>
                <w:kern w:val="28"/>
                <w:sz w:val="21"/>
                <w:szCs w:val="21"/>
                <w:lang w:val="en-US" w:eastAsia="zh-CN"/>
              </w:rPr>
              <w:t>/</w:t>
            </w:r>
          </w:p>
        </w:tc>
        <w:tc>
          <w:tcPr>
            <w:tcW w:w="617" w:type="pct"/>
            <w:shd w:val="clear" w:color="auto" w:fill="FFFFFF"/>
            <w:noWrap w:val="0"/>
            <w:vAlign w:val="center"/>
          </w:tcPr>
          <w:p w14:paraId="66971843">
            <w:pPr>
              <w:keepNext w:val="0"/>
              <w:keepLines w:val="0"/>
              <w:suppressLineNumbers w:val="0"/>
              <w:snapToGrid w:val="0"/>
              <w:spacing w:before="0"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bCs/>
                <w:color w:val="000000"/>
                <w:kern w:val="28"/>
                <w:sz w:val="21"/>
                <w:szCs w:val="21"/>
                <w:lang w:val="en-US" w:eastAsia="zh-CN"/>
              </w:rPr>
              <w:t>/</w:t>
            </w:r>
          </w:p>
        </w:tc>
        <w:tc>
          <w:tcPr>
            <w:tcW w:w="400" w:type="pct"/>
            <w:shd w:val="clear" w:color="auto" w:fill="FFFFFF"/>
            <w:noWrap w:val="0"/>
            <w:vAlign w:val="center"/>
          </w:tcPr>
          <w:p w14:paraId="6192099D">
            <w:pPr>
              <w:keepNext w:val="0"/>
              <w:keepLines w:val="0"/>
              <w:suppressLineNumbers w:val="0"/>
              <w:snapToGrid w:val="0"/>
              <w:spacing w:before="0" w:beforeAutospacing="0" w:after="0" w:afterAutospacing="0" w:line="240" w:lineRule="auto"/>
              <w:ind w:left="0" w:right="0" w:firstLine="0" w:firstLineChars="0"/>
              <w:jc w:val="center"/>
              <w:rPr>
                <w:rFonts w:hint="default" w:ascii="Arial" w:hAnsi="Arial" w:eastAsia="宋体" w:cs="Arial"/>
                <w:b w:val="0"/>
                <w:bCs/>
                <w:color w:val="000000"/>
                <w:kern w:val="28"/>
                <w:sz w:val="21"/>
                <w:szCs w:val="21"/>
              </w:rPr>
            </w:pPr>
            <w:r>
              <w:rPr>
                <w:rFonts w:hint="default" w:ascii="Arial" w:hAnsi="Arial" w:eastAsia="宋体" w:cs="Arial"/>
                <w:b w:val="0"/>
                <w:bCs/>
                <w:color w:val="000000"/>
                <w:kern w:val="28"/>
                <w:sz w:val="21"/>
                <w:szCs w:val="21"/>
                <w:lang w:val="en-US" w:eastAsia="zh-CN"/>
              </w:rPr>
              <w:t>/</w:t>
            </w:r>
          </w:p>
        </w:tc>
        <w:tc>
          <w:tcPr>
            <w:tcW w:w="514" w:type="pct"/>
            <w:shd w:val="clear" w:color="auto" w:fill="FFFFFF"/>
            <w:noWrap w:val="0"/>
            <w:vAlign w:val="center"/>
          </w:tcPr>
          <w:p w14:paraId="660016FD">
            <w:pPr>
              <w:keepNext w:val="0"/>
              <w:keepLines w:val="0"/>
              <w:suppressLineNumbers w:val="0"/>
              <w:snapToGrid w:val="0"/>
              <w:spacing w:before="0" w:beforeAutospacing="0" w:after="0" w:afterAutospacing="0" w:line="240" w:lineRule="auto"/>
              <w:ind w:left="0" w:right="0" w:firstLine="0" w:firstLineChars="0"/>
              <w:jc w:val="center"/>
              <w:rPr>
                <w:rFonts w:hint="default" w:ascii="Arial" w:hAnsi="Arial" w:eastAsia="宋体" w:cs="Arial"/>
                <w:b w:val="0"/>
                <w:color w:val="000000"/>
                <w:sz w:val="21"/>
                <w:szCs w:val="21"/>
              </w:rPr>
            </w:pPr>
            <w:r>
              <w:rPr>
                <w:rFonts w:hint="default" w:ascii="Arial" w:hAnsi="Arial" w:eastAsia="宋体" w:cs="Arial"/>
                <w:b w:val="0"/>
                <w:bCs/>
                <w:color w:val="000000"/>
                <w:kern w:val="28"/>
                <w:sz w:val="21"/>
                <w:szCs w:val="21"/>
                <w:lang w:val="en-US" w:eastAsia="zh-CN"/>
              </w:rPr>
              <w:t>/</w:t>
            </w:r>
          </w:p>
        </w:tc>
        <w:tc>
          <w:tcPr>
            <w:tcW w:w="688" w:type="pct"/>
            <w:shd w:val="clear" w:color="auto" w:fill="FFFFFF"/>
            <w:noWrap w:val="0"/>
            <w:vAlign w:val="center"/>
          </w:tcPr>
          <w:p w14:paraId="28A418E3">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9</w:t>
            </w:r>
          </w:p>
        </w:tc>
        <w:tc>
          <w:tcPr>
            <w:tcW w:w="1082" w:type="pct"/>
            <w:shd w:val="clear" w:color="auto" w:fill="FFFFFF"/>
            <w:noWrap w:val="0"/>
            <w:vAlign w:val="center"/>
          </w:tcPr>
          <w:p w14:paraId="594F7191">
            <w:pPr>
              <w:pStyle w:val="92"/>
              <w:keepNext w:val="0"/>
              <w:keepLines w:val="0"/>
              <w:suppressLineNumbers w:val="0"/>
              <w:snapToGrid w:val="0"/>
              <w:spacing w:beforeAutospacing="0" w:after="0" w:afterAutospacing="0" w:line="240" w:lineRule="auto"/>
              <w:ind w:left="0" w:right="0" w:firstLine="0" w:firstLineChars="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w:t>
            </w:r>
          </w:p>
        </w:tc>
      </w:tr>
    </w:tbl>
    <w:p w14:paraId="640331FD">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lang w:val="en-US" w:eastAsia="zh-CN"/>
        </w:rPr>
      </w:pPr>
      <w:r>
        <w:rPr>
          <w:rFonts w:hint="default" w:ascii="Arial" w:hAnsi="Arial" w:eastAsia="宋体" w:cs="Arial"/>
          <w:bCs/>
          <w:color w:val="000000"/>
          <w:kern w:val="28"/>
          <w:sz w:val="24"/>
          <w:szCs w:val="24"/>
          <w:lang w:val="en-US" w:eastAsia="zh-CN"/>
        </w:rPr>
        <w:t>综上，</w:t>
      </w:r>
      <w:r>
        <w:rPr>
          <w:rFonts w:hint="default" w:ascii="Arial" w:hAnsi="Arial" w:eastAsia="宋体" w:cs="Arial"/>
          <w:bCs/>
          <w:color w:val="000000"/>
          <w:kern w:val="28"/>
          <w:sz w:val="24"/>
          <w:szCs w:val="24"/>
        </w:rPr>
        <w:t>本项目</w:t>
      </w:r>
      <w:r>
        <w:rPr>
          <w:rFonts w:hint="default" w:ascii="Arial" w:hAnsi="Arial" w:eastAsia="宋体" w:cs="Arial"/>
          <w:color w:val="000000"/>
          <w:sz w:val="24"/>
          <w:lang w:val="en-US" w:eastAsia="zh-CN"/>
        </w:rPr>
        <w:t>清洗工序年用水量约为9.1/a，</w:t>
      </w:r>
      <w:r>
        <w:rPr>
          <w:rFonts w:hint="default" w:ascii="Arial" w:hAnsi="Arial" w:eastAsia="宋体" w:cs="Arial"/>
          <w:bCs/>
          <w:color w:val="000000"/>
          <w:kern w:val="28"/>
          <w:sz w:val="24"/>
          <w:szCs w:val="24"/>
          <w:lang w:val="en-US" w:eastAsia="zh-CN"/>
        </w:rPr>
        <w:t>清洗</w:t>
      </w:r>
      <w:r>
        <w:rPr>
          <w:rFonts w:hint="default" w:ascii="Arial" w:hAnsi="Arial" w:eastAsia="宋体" w:cs="Arial"/>
          <w:bCs/>
          <w:color w:val="000000"/>
          <w:kern w:val="28"/>
          <w:sz w:val="24"/>
          <w:szCs w:val="24"/>
          <w:lang w:eastAsia="zh-CN"/>
        </w:rPr>
        <w:t>废水</w:t>
      </w:r>
      <w:r>
        <w:rPr>
          <w:rFonts w:hint="default" w:ascii="Arial" w:hAnsi="Arial" w:eastAsia="宋体" w:cs="Arial"/>
          <w:bCs/>
          <w:color w:val="000000"/>
          <w:kern w:val="28"/>
          <w:sz w:val="24"/>
          <w:szCs w:val="24"/>
        </w:rPr>
        <w:t>产生量约为</w:t>
      </w:r>
      <w:r>
        <w:rPr>
          <w:rFonts w:hint="default" w:ascii="Arial" w:hAnsi="Arial" w:eastAsia="宋体" w:cs="Arial"/>
          <w:bCs/>
          <w:color w:val="000000"/>
          <w:kern w:val="28"/>
          <w:sz w:val="24"/>
          <w:szCs w:val="24"/>
          <w:lang w:val="en-US" w:eastAsia="zh-CN"/>
        </w:rPr>
        <w:t>9</w:t>
      </w:r>
      <w:r>
        <w:rPr>
          <w:rFonts w:hint="default" w:ascii="Arial" w:hAnsi="Arial" w:eastAsia="宋体" w:cs="Arial"/>
          <w:bCs/>
          <w:color w:val="000000"/>
          <w:kern w:val="28"/>
          <w:sz w:val="24"/>
          <w:szCs w:val="24"/>
        </w:rPr>
        <w:t>t/a</w:t>
      </w:r>
      <w:r>
        <w:rPr>
          <w:rFonts w:hint="default" w:ascii="Arial" w:hAnsi="Arial" w:eastAsia="宋体" w:cs="Arial"/>
          <w:bCs/>
          <w:color w:val="000000"/>
          <w:kern w:val="28"/>
          <w:sz w:val="24"/>
          <w:szCs w:val="24"/>
          <w:lang w:eastAsia="zh-CN"/>
        </w:rPr>
        <w:t>，</w:t>
      </w:r>
      <w:r>
        <w:rPr>
          <w:rFonts w:hint="default" w:ascii="Arial" w:hAnsi="Arial" w:eastAsia="宋体" w:cs="Arial"/>
          <w:bCs/>
          <w:color w:val="000000"/>
          <w:kern w:val="28"/>
          <w:sz w:val="24"/>
          <w:szCs w:val="24"/>
          <w:lang w:val="en-US" w:eastAsia="zh-CN"/>
        </w:rPr>
        <w:t>清洗废水作为危废由有</w:t>
      </w:r>
      <w:r>
        <w:rPr>
          <w:rFonts w:hint="default" w:ascii="Arial" w:hAnsi="Arial" w:eastAsia="宋体" w:cs="Arial"/>
          <w:color w:val="000000"/>
          <w:sz w:val="24"/>
          <w:lang w:val="en-US" w:eastAsia="zh-CN"/>
        </w:rPr>
        <w:t>资质单位处置，不外排。</w:t>
      </w:r>
    </w:p>
    <w:p w14:paraId="4F67CB58">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lang w:val="en-US" w:eastAsia="zh-CN"/>
        </w:rPr>
      </w:pPr>
    </w:p>
    <w:p w14:paraId="31DEDFFC">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eastAsia" w:ascii="Arial" w:hAnsi="Arial" w:eastAsia="宋体" w:cs="Arial"/>
          <w:color w:val="000000"/>
          <w:sz w:val="24"/>
          <w:lang w:val="en-US" w:eastAsia="zh-CN"/>
        </w:rPr>
      </w:pPr>
      <w:r>
        <w:rPr>
          <w:rFonts w:hint="eastAsia" w:ascii="Arial" w:hAnsi="Arial" w:eastAsia="宋体" w:cs="Arial"/>
          <w:color w:val="000000"/>
          <w:sz w:val="24"/>
          <w:lang w:val="en-US" w:eastAsia="zh-CN"/>
        </w:rPr>
        <w:t>（2）循环冷却水</w:t>
      </w:r>
    </w:p>
    <w:p w14:paraId="20AF5A54">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eastAsia" w:ascii="Arial" w:hAnsi="Arial" w:eastAsia="宋体" w:cs="Arial"/>
          <w:color w:val="000000"/>
          <w:sz w:val="24"/>
          <w:lang w:val="en-US" w:eastAsia="zh-CN"/>
        </w:rPr>
      </w:pPr>
      <w:r>
        <w:rPr>
          <w:rFonts w:hint="default" w:ascii="Arial" w:hAnsi="Arial" w:eastAsia="宋体" w:cs="Arial"/>
          <w:color w:val="000000"/>
          <w:sz w:val="24"/>
          <w:lang w:val="en-US" w:eastAsia="zh-CN"/>
        </w:rPr>
        <w:t>本项目</w:t>
      </w:r>
      <w:r>
        <w:rPr>
          <w:rFonts w:hint="eastAsia" w:ascii="Arial" w:hAnsi="Arial" w:eastAsia="宋体" w:cs="Arial"/>
          <w:color w:val="000000"/>
          <w:sz w:val="24"/>
          <w:lang w:val="en-US" w:eastAsia="zh-CN"/>
        </w:rPr>
        <w:t>油压机、中频加热炉需要</w:t>
      </w:r>
      <w:r>
        <w:rPr>
          <w:rFonts w:hint="default" w:ascii="Arial" w:hAnsi="Arial" w:eastAsia="宋体" w:cs="Arial"/>
          <w:color w:val="000000"/>
          <w:sz w:val="24"/>
          <w:lang w:val="en-US" w:eastAsia="zh-CN"/>
        </w:rPr>
        <w:t>使用冷却水</w:t>
      </w:r>
      <w:r>
        <w:rPr>
          <w:rFonts w:hint="eastAsia" w:ascii="Arial" w:hAnsi="Arial" w:eastAsia="宋体" w:cs="Arial"/>
          <w:color w:val="000000"/>
          <w:sz w:val="24"/>
          <w:lang w:val="en-US" w:eastAsia="zh-CN"/>
        </w:rPr>
        <w:t>对对设备进行冷却</w:t>
      </w:r>
      <w:r>
        <w:rPr>
          <w:rFonts w:hint="default" w:ascii="Arial" w:hAnsi="Arial" w:eastAsia="宋体" w:cs="Arial"/>
          <w:color w:val="000000"/>
          <w:sz w:val="24"/>
          <w:lang w:val="en-US" w:eastAsia="zh-CN"/>
        </w:rPr>
        <w:t>，冷却水循环使用、定期补充，不外排。循环冷却水使用过程中有蒸发损失，需定期补充，</w:t>
      </w:r>
      <w:r>
        <w:rPr>
          <w:rFonts w:hint="eastAsia" w:ascii="Arial" w:hAnsi="Arial" w:eastAsia="宋体" w:cs="Arial"/>
          <w:color w:val="000000"/>
          <w:sz w:val="24"/>
          <w:lang w:val="en-US" w:eastAsia="zh-CN"/>
        </w:rPr>
        <w:t>项目设1台</w:t>
      </w:r>
      <w:r>
        <w:rPr>
          <w:rFonts w:hint="default" w:ascii="Arial" w:hAnsi="Arial" w:eastAsia="宋体" w:cs="Arial"/>
          <w:color w:val="000000"/>
          <w:sz w:val="24"/>
          <w:lang w:val="en-US" w:eastAsia="zh-CN"/>
        </w:rPr>
        <w:t>循环水量为</w:t>
      </w:r>
      <w:r>
        <w:rPr>
          <w:rFonts w:hint="eastAsia" w:ascii="Arial" w:hAnsi="Arial" w:eastAsia="宋体" w:cs="Arial"/>
          <w:color w:val="000000"/>
          <w:sz w:val="24"/>
          <w:lang w:val="en-US" w:eastAsia="zh-CN"/>
        </w:rPr>
        <w:t>50</w:t>
      </w:r>
      <w:r>
        <w:rPr>
          <w:rFonts w:hint="default" w:ascii="Arial" w:hAnsi="Arial" w:eastAsia="宋体" w:cs="Arial"/>
          <w:color w:val="000000"/>
          <w:sz w:val="24"/>
          <w:lang w:val="en-US" w:eastAsia="zh-CN"/>
        </w:rPr>
        <w:t>t/h</w:t>
      </w:r>
      <w:r>
        <w:rPr>
          <w:rFonts w:hint="eastAsia" w:ascii="Arial" w:hAnsi="Arial" w:eastAsia="宋体" w:cs="Arial"/>
          <w:color w:val="000000"/>
          <w:sz w:val="24"/>
          <w:lang w:val="en-US" w:eastAsia="zh-CN"/>
        </w:rPr>
        <w:t>的冷却水塔</w:t>
      </w:r>
      <w:r>
        <w:rPr>
          <w:rFonts w:hint="default" w:ascii="Arial" w:hAnsi="Arial" w:eastAsia="宋体" w:cs="Arial"/>
          <w:color w:val="000000"/>
          <w:sz w:val="24"/>
          <w:lang w:val="en-US" w:eastAsia="zh-CN"/>
        </w:rPr>
        <w:t>。生产为二班制生产、每班12小时，冷却塔年运行</w:t>
      </w:r>
      <w:r>
        <w:rPr>
          <w:rFonts w:hint="eastAsia" w:ascii="Arial" w:hAnsi="Arial" w:eastAsia="宋体" w:cs="Arial"/>
          <w:color w:val="000000"/>
          <w:sz w:val="24"/>
          <w:lang w:val="en-US" w:eastAsia="zh-CN"/>
        </w:rPr>
        <w:t>约</w:t>
      </w:r>
      <w:r>
        <w:rPr>
          <w:rFonts w:hint="default" w:ascii="Arial" w:hAnsi="Arial" w:eastAsia="宋体" w:cs="Arial"/>
          <w:color w:val="000000"/>
          <w:sz w:val="24"/>
          <w:lang w:val="en-US" w:eastAsia="zh-CN"/>
        </w:rPr>
        <w:t>6000h，则项目年循环水量为</w:t>
      </w:r>
      <w:r>
        <w:rPr>
          <w:rFonts w:hint="eastAsia" w:ascii="Arial" w:hAnsi="Arial" w:eastAsia="宋体" w:cs="Arial"/>
          <w:color w:val="000000"/>
          <w:sz w:val="24"/>
          <w:lang w:val="en-US" w:eastAsia="zh-CN"/>
        </w:rPr>
        <w:t>30</w:t>
      </w:r>
      <w:r>
        <w:rPr>
          <w:rFonts w:hint="default" w:ascii="Arial" w:hAnsi="Arial" w:eastAsia="宋体" w:cs="Arial"/>
          <w:color w:val="000000"/>
          <w:sz w:val="24"/>
          <w:lang w:val="en-US" w:eastAsia="zh-CN"/>
        </w:rPr>
        <w:t>万吨，冷却水在使用过程中蒸发损失率按1.5%计，则补充水量约为</w:t>
      </w:r>
      <w:r>
        <w:rPr>
          <w:rFonts w:hint="eastAsia" w:ascii="Arial" w:hAnsi="Arial" w:eastAsia="宋体" w:cs="Arial"/>
          <w:color w:val="000000"/>
          <w:sz w:val="24"/>
          <w:lang w:val="en-US" w:eastAsia="zh-CN"/>
        </w:rPr>
        <w:t>4500</w:t>
      </w:r>
      <w:r>
        <w:rPr>
          <w:rFonts w:hint="default" w:ascii="Arial" w:hAnsi="Arial" w:eastAsia="宋体" w:cs="Arial"/>
          <w:color w:val="000000"/>
          <w:sz w:val="24"/>
          <w:lang w:val="en-US" w:eastAsia="zh-CN"/>
        </w:rPr>
        <w:t>t/a。本项目冷却水属于间接冷却水，通过间接冷却</w:t>
      </w:r>
      <w:r>
        <w:rPr>
          <w:rFonts w:hint="eastAsia" w:ascii="Arial" w:hAnsi="Arial" w:eastAsia="宋体" w:cs="Arial"/>
          <w:color w:val="000000"/>
          <w:sz w:val="24"/>
          <w:lang w:val="en-US" w:eastAsia="zh-CN"/>
        </w:rPr>
        <w:t>设备</w:t>
      </w:r>
      <w:r>
        <w:rPr>
          <w:rFonts w:hint="default" w:ascii="Arial" w:hAnsi="Arial" w:eastAsia="宋体" w:cs="Arial"/>
          <w:color w:val="000000"/>
          <w:sz w:val="24"/>
          <w:lang w:val="en-US" w:eastAsia="zh-CN"/>
        </w:rPr>
        <w:t>，可实现循环使用、不外排。</w:t>
      </w:r>
    </w:p>
    <w:p w14:paraId="4C9AE220">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lang w:val="en-US" w:eastAsia="zh-CN"/>
        </w:rPr>
      </w:pPr>
      <w:r>
        <w:rPr>
          <w:rFonts w:hint="eastAsia" w:ascii="Arial" w:hAnsi="Arial" w:eastAsia="宋体" w:cs="Arial"/>
          <w:color w:val="000000"/>
          <w:sz w:val="24"/>
          <w:lang w:val="en-US" w:eastAsia="zh-CN"/>
        </w:rPr>
        <w:t>（3）</w:t>
      </w:r>
      <w:r>
        <w:rPr>
          <w:rFonts w:hint="default" w:ascii="Arial" w:hAnsi="Arial" w:eastAsia="宋体" w:cs="Arial"/>
          <w:color w:val="000000"/>
          <w:sz w:val="24"/>
          <w:lang w:val="en-US" w:eastAsia="zh-CN"/>
        </w:rPr>
        <w:t>生活污水</w:t>
      </w:r>
    </w:p>
    <w:p w14:paraId="1BB15B08">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lang w:val="en-US" w:eastAsia="zh-CN"/>
        </w:rPr>
      </w:pPr>
      <w:r>
        <w:rPr>
          <w:rFonts w:hint="default" w:ascii="Arial" w:hAnsi="Arial" w:eastAsia="宋体" w:cs="Arial"/>
          <w:color w:val="000000"/>
          <w:sz w:val="24"/>
          <w:lang w:val="en-US" w:eastAsia="zh-CN"/>
        </w:rPr>
        <w:t>建设项目劳动定员30人，生产厂区不设员工食堂和宿舍，员工人均生活用水量按50L/d计，项目生产天数为250天。根据计算，项目生活用水量为1.5t/d、375t/a。生活污水产生量按用水量80%计，则生活污水产生量约1.2t/d、300t/a。建设项目生活污水水质参照城市污水水质：pH6~9、COD</w:t>
      </w:r>
      <w:r>
        <w:rPr>
          <w:rFonts w:hint="default" w:ascii="Arial" w:hAnsi="Arial" w:eastAsia="宋体" w:cs="Arial"/>
          <w:color w:val="000000"/>
          <w:sz w:val="24"/>
          <w:vertAlign w:val="subscript"/>
          <w:lang w:val="en-US" w:eastAsia="zh-CN"/>
        </w:rPr>
        <w:t>Cr</w:t>
      </w:r>
      <w:r>
        <w:rPr>
          <w:rFonts w:hint="eastAsia" w:ascii="Arial" w:hAnsi="Arial" w:eastAsia="宋体" w:cs="Arial"/>
          <w:color w:val="000000"/>
          <w:sz w:val="24"/>
          <w:lang w:val="en-US" w:eastAsia="zh-CN"/>
        </w:rPr>
        <w:t xml:space="preserve"> 3</w:t>
      </w:r>
      <w:r>
        <w:rPr>
          <w:rFonts w:hint="default" w:ascii="Arial" w:hAnsi="Arial" w:eastAsia="宋体" w:cs="Arial"/>
          <w:color w:val="000000"/>
          <w:sz w:val="24"/>
          <w:lang w:val="en-US" w:eastAsia="zh-CN"/>
        </w:rPr>
        <w:t>00mg/L、BOD</w:t>
      </w:r>
      <w:r>
        <w:rPr>
          <w:rFonts w:hint="default" w:ascii="Arial" w:hAnsi="Arial" w:eastAsia="宋体" w:cs="Arial"/>
          <w:color w:val="000000"/>
          <w:sz w:val="24"/>
          <w:vertAlign w:val="subscript"/>
          <w:lang w:val="en-US" w:eastAsia="zh-CN"/>
        </w:rPr>
        <w:t>5</w:t>
      </w:r>
      <w:r>
        <w:rPr>
          <w:rFonts w:hint="eastAsia" w:ascii="Arial" w:hAnsi="Arial" w:eastAsia="宋体" w:cs="Arial"/>
          <w:color w:val="000000"/>
          <w:sz w:val="24"/>
          <w:vertAlign w:val="baseline"/>
          <w:lang w:val="en-US" w:eastAsia="zh-CN"/>
        </w:rPr>
        <w:t xml:space="preserve"> </w:t>
      </w:r>
      <w:r>
        <w:rPr>
          <w:rFonts w:hint="default" w:ascii="Arial" w:hAnsi="Arial" w:eastAsia="宋体" w:cs="Arial"/>
          <w:color w:val="000000"/>
          <w:sz w:val="24"/>
          <w:lang w:val="en-US" w:eastAsia="zh-CN"/>
        </w:rPr>
        <w:t>1</w:t>
      </w:r>
      <w:r>
        <w:rPr>
          <w:rFonts w:hint="eastAsia" w:ascii="Arial" w:hAnsi="Arial" w:eastAsia="宋体" w:cs="Arial"/>
          <w:color w:val="000000"/>
          <w:sz w:val="24"/>
          <w:lang w:val="en-US" w:eastAsia="zh-CN"/>
        </w:rPr>
        <w:t>50</w:t>
      </w:r>
      <w:r>
        <w:rPr>
          <w:rFonts w:hint="default" w:ascii="Arial" w:hAnsi="Arial" w:eastAsia="宋体" w:cs="Arial"/>
          <w:color w:val="000000"/>
          <w:sz w:val="24"/>
          <w:lang w:val="en-US" w:eastAsia="zh-CN"/>
        </w:rPr>
        <w:t>mg/L、SS</w:t>
      </w:r>
      <w:r>
        <w:rPr>
          <w:rFonts w:hint="eastAsia" w:ascii="Arial" w:hAnsi="Arial" w:eastAsia="宋体" w:cs="Arial"/>
          <w:color w:val="000000"/>
          <w:sz w:val="24"/>
          <w:lang w:val="en-US" w:eastAsia="zh-CN"/>
        </w:rPr>
        <w:t xml:space="preserve"> </w:t>
      </w:r>
      <w:r>
        <w:rPr>
          <w:rFonts w:hint="default" w:ascii="Arial" w:hAnsi="Arial" w:eastAsia="宋体" w:cs="Arial"/>
          <w:color w:val="000000"/>
          <w:sz w:val="24"/>
          <w:lang w:val="en-US" w:eastAsia="zh-CN"/>
        </w:rPr>
        <w:t>200mg/L、NH</w:t>
      </w:r>
      <w:r>
        <w:rPr>
          <w:rFonts w:hint="default" w:ascii="Arial" w:hAnsi="Arial" w:eastAsia="宋体" w:cs="Arial"/>
          <w:color w:val="000000"/>
          <w:sz w:val="24"/>
          <w:vertAlign w:val="subscript"/>
          <w:lang w:val="en-US" w:eastAsia="zh-CN"/>
        </w:rPr>
        <w:t>3</w:t>
      </w:r>
      <w:r>
        <w:rPr>
          <w:rFonts w:hint="default" w:ascii="Arial" w:hAnsi="Arial" w:eastAsia="宋体" w:cs="Arial"/>
          <w:color w:val="000000"/>
          <w:sz w:val="24"/>
          <w:lang w:val="en-US" w:eastAsia="zh-CN"/>
        </w:rPr>
        <w:t>-N</w:t>
      </w:r>
      <w:r>
        <w:rPr>
          <w:rFonts w:hint="eastAsia" w:ascii="Arial" w:hAnsi="Arial" w:eastAsia="宋体" w:cs="Arial"/>
          <w:color w:val="000000"/>
          <w:sz w:val="24"/>
          <w:lang w:val="en-US" w:eastAsia="zh-CN"/>
        </w:rPr>
        <w:t xml:space="preserve"> </w:t>
      </w:r>
      <w:r>
        <w:rPr>
          <w:rFonts w:hint="default" w:ascii="Arial" w:hAnsi="Arial" w:eastAsia="宋体" w:cs="Arial"/>
          <w:color w:val="000000"/>
          <w:sz w:val="24"/>
          <w:lang w:val="en-US" w:eastAsia="zh-CN"/>
        </w:rPr>
        <w:t>25</w:t>
      </w:r>
      <w:r>
        <w:rPr>
          <w:rFonts w:hint="eastAsia" w:ascii="Arial" w:hAnsi="Arial" w:eastAsia="宋体" w:cs="Arial"/>
          <w:color w:val="000000"/>
          <w:sz w:val="24"/>
          <w:lang w:val="en-US" w:eastAsia="zh-CN"/>
        </w:rPr>
        <w:t xml:space="preserve"> </w:t>
      </w:r>
      <w:r>
        <w:rPr>
          <w:rFonts w:hint="default" w:ascii="Arial" w:hAnsi="Arial" w:eastAsia="宋体" w:cs="Arial"/>
          <w:color w:val="000000"/>
          <w:sz w:val="24"/>
          <w:lang w:val="en-US" w:eastAsia="zh-CN"/>
        </w:rPr>
        <w:t>mg/L、总氮</w:t>
      </w:r>
      <w:r>
        <w:rPr>
          <w:rFonts w:hint="eastAsia" w:ascii="Arial" w:hAnsi="Arial" w:eastAsia="宋体" w:cs="Arial"/>
          <w:color w:val="000000"/>
          <w:sz w:val="24"/>
          <w:lang w:val="en-US" w:eastAsia="zh-CN"/>
        </w:rPr>
        <w:t xml:space="preserve"> </w:t>
      </w:r>
      <w:r>
        <w:rPr>
          <w:rFonts w:hint="default" w:ascii="Arial" w:hAnsi="Arial" w:eastAsia="宋体" w:cs="Arial"/>
          <w:color w:val="000000"/>
          <w:sz w:val="24"/>
          <w:lang w:val="en-US" w:eastAsia="zh-CN"/>
        </w:rPr>
        <w:t>4</w:t>
      </w:r>
      <w:r>
        <w:rPr>
          <w:rFonts w:hint="eastAsia" w:ascii="Arial" w:hAnsi="Arial" w:eastAsia="宋体" w:cs="Arial"/>
          <w:color w:val="000000"/>
          <w:sz w:val="24"/>
          <w:lang w:val="en-US" w:eastAsia="zh-CN"/>
        </w:rPr>
        <w:t>5</w:t>
      </w:r>
      <w:r>
        <w:rPr>
          <w:rFonts w:hint="default" w:ascii="Arial" w:hAnsi="Arial" w:eastAsia="宋体" w:cs="Arial"/>
          <w:color w:val="000000"/>
          <w:sz w:val="24"/>
          <w:lang w:val="en-US" w:eastAsia="zh-CN"/>
        </w:rPr>
        <w:t xml:space="preserve">mg/L，总磷 </w:t>
      </w:r>
      <w:r>
        <w:rPr>
          <w:rFonts w:hint="eastAsia" w:ascii="Arial" w:hAnsi="Arial" w:eastAsia="宋体" w:cs="Arial"/>
          <w:color w:val="000000"/>
          <w:sz w:val="24"/>
          <w:lang w:val="en-US" w:eastAsia="zh-CN"/>
        </w:rPr>
        <w:t>5</w:t>
      </w:r>
      <w:r>
        <w:rPr>
          <w:rFonts w:hint="default" w:ascii="Arial" w:hAnsi="Arial" w:eastAsia="宋体" w:cs="Arial"/>
          <w:color w:val="000000"/>
          <w:sz w:val="24"/>
          <w:lang w:val="en-US" w:eastAsia="zh-CN"/>
        </w:rPr>
        <w:t>mg/L，则项目生活污水COD</w:t>
      </w:r>
      <w:r>
        <w:rPr>
          <w:rFonts w:hint="default" w:ascii="Arial" w:hAnsi="Arial" w:eastAsia="宋体" w:cs="Arial"/>
          <w:color w:val="000000"/>
          <w:sz w:val="24"/>
          <w:vertAlign w:val="subscript"/>
          <w:lang w:val="en-US" w:eastAsia="zh-CN"/>
        </w:rPr>
        <w:t>Cr</w:t>
      </w:r>
      <w:r>
        <w:rPr>
          <w:rFonts w:hint="default" w:ascii="Arial" w:hAnsi="Arial" w:eastAsia="宋体" w:cs="Arial"/>
          <w:color w:val="000000"/>
          <w:sz w:val="24"/>
          <w:lang w:val="en-US" w:eastAsia="zh-CN"/>
        </w:rPr>
        <w:t xml:space="preserve"> 和NH</w:t>
      </w:r>
      <w:r>
        <w:rPr>
          <w:rFonts w:hint="default" w:ascii="Arial" w:hAnsi="Arial" w:eastAsia="宋体" w:cs="Arial"/>
          <w:color w:val="000000"/>
          <w:sz w:val="24"/>
          <w:vertAlign w:val="subscript"/>
          <w:lang w:val="en-US" w:eastAsia="zh-CN"/>
        </w:rPr>
        <w:t>3</w:t>
      </w:r>
      <w:r>
        <w:rPr>
          <w:rFonts w:hint="default" w:ascii="Arial" w:hAnsi="Arial" w:eastAsia="宋体" w:cs="Arial"/>
          <w:color w:val="000000"/>
          <w:sz w:val="24"/>
          <w:lang w:val="en-US" w:eastAsia="zh-CN"/>
        </w:rPr>
        <w:t>-N产生量分别为0.09t/a、0.009t/a。</w:t>
      </w:r>
    </w:p>
    <w:p w14:paraId="485B88CD">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lang w:val="en-GB" w:eastAsia="zh-CN"/>
        </w:rPr>
        <w:sectPr>
          <w:headerReference r:id="rId23" w:type="default"/>
          <w:footerReference r:id="rId24"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741F5C3F">
      <w:pPr>
        <w:spacing w:line="360" w:lineRule="auto"/>
        <w:ind w:firstLine="480" w:firstLineChars="200"/>
        <w:rPr>
          <w:rFonts w:hint="default" w:ascii="Arial" w:hAnsi="Arial" w:eastAsia="宋体" w:cs="Arial"/>
          <w:bCs/>
          <w:sz w:val="24"/>
          <w:szCs w:val="24"/>
        </w:rPr>
      </w:pPr>
      <w:r>
        <w:rPr>
          <w:rFonts w:hint="default" w:ascii="Arial" w:hAnsi="Arial" w:eastAsia="宋体" w:cs="Arial"/>
          <w:bCs/>
          <w:sz w:val="24"/>
          <w:szCs w:val="24"/>
        </w:rPr>
        <w:t>本项目主要废水污染物产生和排放情况见下表。</w:t>
      </w:r>
    </w:p>
    <w:p w14:paraId="33E973D1">
      <w:pPr>
        <w:pStyle w:val="76"/>
        <w:numPr>
          <w:ilvl w:val="3"/>
          <w:numId w:val="5"/>
        </w:numPr>
        <w:ind w:left="777" w:leftChars="0" w:firstLine="482"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项目废水污染物产排情况</w:t>
      </w:r>
    </w:p>
    <w:tbl>
      <w:tblPr>
        <w:tblStyle w:val="52"/>
        <w:tblW w:w="48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9"/>
        <w:gridCol w:w="1133"/>
        <w:gridCol w:w="1133"/>
        <w:gridCol w:w="851"/>
        <w:gridCol w:w="850"/>
        <w:gridCol w:w="1133"/>
        <w:gridCol w:w="992"/>
        <w:gridCol w:w="1275"/>
        <w:gridCol w:w="709"/>
        <w:gridCol w:w="709"/>
        <w:gridCol w:w="850"/>
        <w:gridCol w:w="851"/>
        <w:gridCol w:w="850"/>
        <w:gridCol w:w="741"/>
      </w:tblGrid>
      <w:tr w14:paraId="41B9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restart"/>
            <w:tcBorders>
              <w:tl2br w:val="nil"/>
            </w:tcBorders>
            <w:shd w:val="clear" w:color="auto" w:fill="FFFFFF"/>
            <w:noWrap w:val="0"/>
            <w:vAlign w:val="center"/>
          </w:tcPr>
          <w:p w14:paraId="3037502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工序/</w:t>
            </w:r>
          </w:p>
          <w:p w14:paraId="0DBAE54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生产线</w:t>
            </w:r>
          </w:p>
        </w:tc>
        <w:tc>
          <w:tcPr>
            <w:tcW w:w="709" w:type="dxa"/>
            <w:vMerge w:val="restart"/>
            <w:shd w:val="clear" w:color="auto" w:fill="FFFFFF"/>
            <w:noWrap w:val="0"/>
            <w:vAlign w:val="center"/>
          </w:tcPr>
          <w:p w14:paraId="390259A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装置</w:t>
            </w:r>
          </w:p>
        </w:tc>
        <w:tc>
          <w:tcPr>
            <w:tcW w:w="1133" w:type="dxa"/>
            <w:vMerge w:val="restart"/>
            <w:shd w:val="clear" w:color="auto" w:fill="FFFFFF"/>
            <w:noWrap w:val="0"/>
            <w:vAlign w:val="center"/>
          </w:tcPr>
          <w:p w14:paraId="64EFF29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污染物</w:t>
            </w:r>
          </w:p>
        </w:tc>
        <w:tc>
          <w:tcPr>
            <w:tcW w:w="1133" w:type="dxa"/>
            <w:vMerge w:val="restart"/>
            <w:shd w:val="clear" w:color="auto" w:fill="FFFFFF"/>
            <w:noWrap w:val="0"/>
            <w:vAlign w:val="center"/>
          </w:tcPr>
          <w:p w14:paraId="51324D3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污染</w:t>
            </w:r>
          </w:p>
          <w:p w14:paraId="14FAED3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因子</w:t>
            </w:r>
          </w:p>
        </w:tc>
        <w:tc>
          <w:tcPr>
            <w:tcW w:w="3826" w:type="dxa"/>
            <w:gridSpan w:val="4"/>
            <w:shd w:val="clear" w:color="auto" w:fill="FFFFFF"/>
            <w:noWrap w:val="0"/>
            <w:vAlign w:val="center"/>
          </w:tcPr>
          <w:p w14:paraId="530F3BA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污染物产生</w:t>
            </w:r>
          </w:p>
        </w:tc>
        <w:tc>
          <w:tcPr>
            <w:tcW w:w="1984" w:type="dxa"/>
            <w:gridSpan w:val="2"/>
            <w:shd w:val="clear" w:color="auto" w:fill="FFFFFF"/>
            <w:noWrap w:val="0"/>
            <w:vAlign w:val="center"/>
          </w:tcPr>
          <w:p w14:paraId="63096C9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治理措施</w:t>
            </w:r>
          </w:p>
        </w:tc>
        <w:tc>
          <w:tcPr>
            <w:tcW w:w="3260" w:type="dxa"/>
            <w:gridSpan w:val="4"/>
            <w:shd w:val="clear" w:color="auto" w:fill="FFFFFF"/>
            <w:noWrap w:val="0"/>
            <w:vAlign w:val="center"/>
          </w:tcPr>
          <w:p w14:paraId="6572790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污染物排放</w:t>
            </w:r>
          </w:p>
        </w:tc>
        <w:tc>
          <w:tcPr>
            <w:tcW w:w="741" w:type="dxa"/>
            <w:vMerge w:val="restart"/>
            <w:shd w:val="clear" w:color="auto" w:fill="FFFFFF"/>
            <w:noWrap w:val="0"/>
            <w:vAlign w:val="center"/>
          </w:tcPr>
          <w:p w14:paraId="09A5E47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排放</w:t>
            </w:r>
          </w:p>
          <w:p w14:paraId="251A2AF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时间</w:t>
            </w:r>
          </w:p>
          <w:p w14:paraId="76E4E4B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d</w:t>
            </w:r>
          </w:p>
        </w:tc>
      </w:tr>
      <w:tr w14:paraId="6A57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shd w:val="clear" w:color="auto" w:fill="FFFFFF"/>
            <w:noWrap w:val="0"/>
            <w:vAlign w:val="center"/>
          </w:tcPr>
          <w:p w14:paraId="767EBE5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709" w:type="dxa"/>
            <w:vMerge w:val="continue"/>
            <w:shd w:val="clear" w:color="auto" w:fill="FFFFFF"/>
            <w:noWrap w:val="0"/>
            <w:vAlign w:val="center"/>
          </w:tcPr>
          <w:p w14:paraId="4D74B67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vMerge w:val="continue"/>
            <w:shd w:val="clear" w:color="auto" w:fill="FFFFFF"/>
            <w:noWrap w:val="0"/>
            <w:vAlign w:val="center"/>
          </w:tcPr>
          <w:p w14:paraId="06A2981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vMerge w:val="continue"/>
            <w:shd w:val="clear" w:color="auto" w:fill="FFFFFF"/>
            <w:noWrap w:val="0"/>
            <w:vAlign w:val="center"/>
          </w:tcPr>
          <w:p w14:paraId="230E7AA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1" w:type="dxa"/>
            <w:shd w:val="clear" w:color="auto" w:fill="FFFFFF"/>
            <w:noWrap w:val="0"/>
            <w:vAlign w:val="center"/>
          </w:tcPr>
          <w:p w14:paraId="160505A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核算</w:t>
            </w:r>
          </w:p>
          <w:p w14:paraId="0A06A83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方法</w:t>
            </w:r>
          </w:p>
        </w:tc>
        <w:tc>
          <w:tcPr>
            <w:tcW w:w="850" w:type="dxa"/>
            <w:shd w:val="clear" w:color="auto" w:fill="FFFFFF"/>
            <w:noWrap w:val="0"/>
            <w:vAlign w:val="center"/>
          </w:tcPr>
          <w:p w14:paraId="5D09FCA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产生水量</w:t>
            </w:r>
          </w:p>
          <w:p w14:paraId="0881DBF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1133" w:type="dxa"/>
            <w:shd w:val="clear" w:color="auto" w:fill="FFFFFF"/>
            <w:noWrap w:val="0"/>
            <w:vAlign w:val="center"/>
          </w:tcPr>
          <w:p w14:paraId="6E2AD74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产生浓度</w:t>
            </w:r>
          </w:p>
          <w:p w14:paraId="6B22674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mg/L</w:t>
            </w:r>
          </w:p>
        </w:tc>
        <w:tc>
          <w:tcPr>
            <w:tcW w:w="992" w:type="dxa"/>
            <w:shd w:val="clear" w:color="auto" w:fill="FFFFFF"/>
            <w:noWrap w:val="0"/>
            <w:vAlign w:val="center"/>
          </w:tcPr>
          <w:p w14:paraId="1EBE7E1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产生量</w:t>
            </w:r>
          </w:p>
          <w:p w14:paraId="0F7DE74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1275" w:type="dxa"/>
            <w:shd w:val="clear" w:color="auto" w:fill="FFFFFF"/>
            <w:noWrap w:val="0"/>
            <w:vAlign w:val="center"/>
          </w:tcPr>
          <w:p w14:paraId="709776B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工艺</w:t>
            </w:r>
          </w:p>
        </w:tc>
        <w:tc>
          <w:tcPr>
            <w:tcW w:w="709" w:type="dxa"/>
            <w:shd w:val="clear" w:color="auto" w:fill="FFFFFF"/>
            <w:noWrap w:val="0"/>
            <w:vAlign w:val="center"/>
          </w:tcPr>
          <w:p w14:paraId="4DA83A9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效率</w:t>
            </w:r>
          </w:p>
          <w:p w14:paraId="4085A23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709" w:type="dxa"/>
            <w:shd w:val="clear" w:color="auto" w:fill="FFFFFF"/>
            <w:noWrap w:val="0"/>
            <w:vAlign w:val="center"/>
          </w:tcPr>
          <w:p w14:paraId="2C8E444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核算</w:t>
            </w:r>
          </w:p>
          <w:p w14:paraId="33E1807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方法</w:t>
            </w:r>
          </w:p>
        </w:tc>
        <w:tc>
          <w:tcPr>
            <w:tcW w:w="850" w:type="dxa"/>
            <w:shd w:val="clear" w:color="auto" w:fill="FFFFFF"/>
            <w:noWrap w:val="0"/>
            <w:vAlign w:val="center"/>
          </w:tcPr>
          <w:p w14:paraId="726496E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排放废水量</w:t>
            </w:r>
          </w:p>
          <w:p w14:paraId="599A1F9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851" w:type="dxa"/>
            <w:shd w:val="clear" w:color="auto" w:fill="FFFFFF"/>
            <w:noWrap w:val="0"/>
            <w:vAlign w:val="center"/>
          </w:tcPr>
          <w:p w14:paraId="11CA9DE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纳管排放浓度</w:t>
            </w:r>
          </w:p>
          <w:p w14:paraId="576521A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mg/L</w:t>
            </w:r>
          </w:p>
        </w:tc>
        <w:tc>
          <w:tcPr>
            <w:tcW w:w="850" w:type="dxa"/>
            <w:shd w:val="clear" w:color="auto" w:fill="FFFFFF"/>
            <w:noWrap w:val="0"/>
            <w:vAlign w:val="center"/>
          </w:tcPr>
          <w:p w14:paraId="18BC82B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纳管排放量</w:t>
            </w:r>
          </w:p>
          <w:p w14:paraId="515E950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741" w:type="dxa"/>
            <w:vMerge w:val="continue"/>
            <w:shd w:val="clear" w:color="auto" w:fill="FFFFFF"/>
            <w:noWrap w:val="0"/>
            <w:vAlign w:val="center"/>
          </w:tcPr>
          <w:p w14:paraId="77E135D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r>
      <w:tr w14:paraId="7E7F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restart"/>
            <w:shd w:val="clear" w:color="auto" w:fill="FFFFFF"/>
            <w:noWrap w:val="0"/>
            <w:vAlign w:val="center"/>
          </w:tcPr>
          <w:p w14:paraId="4F395C52">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员工</w:t>
            </w:r>
          </w:p>
          <w:p w14:paraId="08CAFA2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生活</w:t>
            </w:r>
          </w:p>
        </w:tc>
        <w:tc>
          <w:tcPr>
            <w:tcW w:w="709" w:type="dxa"/>
            <w:vMerge w:val="restart"/>
            <w:shd w:val="clear" w:color="auto" w:fill="FFFFFF"/>
            <w:noWrap w:val="0"/>
            <w:vAlign w:val="center"/>
          </w:tcPr>
          <w:p w14:paraId="0CD1B15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1133" w:type="dxa"/>
            <w:vMerge w:val="restart"/>
            <w:shd w:val="clear" w:color="auto" w:fill="FFFFFF"/>
            <w:noWrap w:val="0"/>
            <w:vAlign w:val="center"/>
          </w:tcPr>
          <w:p w14:paraId="6521AE3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生活</w:t>
            </w:r>
          </w:p>
          <w:p w14:paraId="5BFE149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污水</w:t>
            </w:r>
          </w:p>
        </w:tc>
        <w:tc>
          <w:tcPr>
            <w:tcW w:w="1133" w:type="dxa"/>
            <w:shd w:val="clear" w:color="auto" w:fill="FFFFFF"/>
            <w:noWrap w:val="0"/>
            <w:vAlign w:val="center"/>
          </w:tcPr>
          <w:p w14:paraId="4D4A401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tc>
        <w:tc>
          <w:tcPr>
            <w:tcW w:w="851" w:type="dxa"/>
            <w:vMerge w:val="restart"/>
            <w:shd w:val="clear" w:color="auto" w:fill="FFFFFF"/>
            <w:noWrap w:val="0"/>
            <w:vAlign w:val="center"/>
          </w:tcPr>
          <w:p w14:paraId="2D1DEEF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类比法</w:t>
            </w:r>
          </w:p>
        </w:tc>
        <w:tc>
          <w:tcPr>
            <w:tcW w:w="850" w:type="dxa"/>
            <w:vMerge w:val="restart"/>
            <w:shd w:val="clear" w:color="auto" w:fill="FFFFFF"/>
            <w:noWrap w:val="0"/>
            <w:vAlign w:val="center"/>
          </w:tcPr>
          <w:p w14:paraId="07DA30D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300</w:t>
            </w:r>
          </w:p>
        </w:tc>
        <w:tc>
          <w:tcPr>
            <w:tcW w:w="1133" w:type="dxa"/>
            <w:shd w:val="clear" w:color="auto" w:fill="FFFFFF"/>
            <w:noWrap w:val="0"/>
            <w:vAlign w:val="center"/>
          </w:tcPr>
          <w:p w14:paraId="7C56F3C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300</w:t>
            </w:r>
          </w:p>
        </w:tc>
        <w:tc>
          <w:tcPr>
            <w:tcW w:w="992" w:type="dxa"/>
            <w:shd w:val="clear" w:color="auto" w:fill="FFFFFF"/>
            <w:noWrap w:val="0"/>
            <w:vAlign w:val="center"/>
          </w:tcPr>
          <w:p w14:paraId="16B641E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0.09</w:t>
            </w:r>
          </w:p>
        </w:tc>
        <w:tc>
          <w:tcPr>
            <w:tcW w:w="1275" w:type="dxa"/>
            <w:vMerge w:val="restart"/>
            <w:shd w:val="clear" w:color="auto" w:fill="FFFFFF"/>
            <w:noWrap w:val="0"/>
            <w:vAlign w:val="center"/>
          </w:tcPr>
          <w:p w14:paraId="3766B10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化粪池</w:t>
            </w:r>
          </w:p>
        </w:tc>
        <w:tc>
          <w:tcPr>
            <w:tcW w:w="709" w:type="dxa"/>
            <w:shd w:val="clear" w:color="auto" w:fill="FFFFFF"/>
            <w:noWrap w:val="0"/>
            <w:vAlign w:val="center"/>
          </w:tcPr>
          <w:p w14:paraId="3DF38F7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709" w:type="dxa"/>
            <w:vMerge w:val="restart"/>
            <w:shd w:val="clear" w:color="auto" w:fill="FFFFFF"/>
            <w:noWrap w:val="0"/>
            <w:vAlign w:val="center"/>
          </w:tcPr>
          <w:p w14:paraId="5417CD5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850" w:type="dxa"/>
            <w:vMerge w:val="restart"/>
            <w:shd w:val="clear" w:color="auto" w:fill="FFFFFF"/>
            <w:noWrap w:val="0"/>
            <w:vAlign w:val="center"/>
          </w:tcPr>
          <w:p w14:paraId="61AE3A0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300</w:t>
            </w:r>
          </w:p>
        </w:tc>
        <w:tc>
          <w:tcPr>
            <w:tcW w:w="851" w:type="dxa"/>
            <w:shd w:val="clear" w:color="auto" w:fill="FFFFFF"/>
            <w:noWrap w:val="0"/>
            <w:vAlign w:val="center"/>
          </w:tcPr>
          <w:p w14:paraId="3121042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300</w:t>
            </w:r>
          </w:p>
        </w:tc>
        <w:tc>
          <w:tcPr>
            <w:tcW w:w="850" w:type="dxa"/>
            <w:shd w:val="clear" w:color="auto" w:fill="FFFFFF"/>
            <w:noWrap w:val="0"/>
            <w:vAlign w:val="center"/>
          </w:tcPr>
          <w:p w14:paraId="75AD3D9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b w:val="0"/>
                <w:color w:val="000000"/>
                <w:szCs w:val="21"/>
              </w:rPr>
            </w:pPr>
            <w:r>
              <w:rPr>
                <w:rFonts w:hint="default" w:ascii="Arial" w:hAnsi="Arial" w:eastAsia="宋体" w:cs="Arial"/>
                <w:i w:val="0"/>
                <w:iCs w:val="0"/>
                <w:color w:val="000000"/>
                <w:kern w:val="0"/>
                <w:sz w:val="21"/>
                <w:szCs w:val="21"/>
                <w:u w:val="none"/>
                <w:lang w:val="en-US" w:eastAsia="zh-CN" w:bidi="ar"/>
              </w:rPr>
              <w:t xml:space="preserve">0.09 </w:t>
            </w:r>
          </w:p>
        </w:tc>
        <w:tc>
          <w:tcPr>
            <w:tcW w:w="741" w:type="dxa"/>
            <w:vMerge w:val="restart"/>
            <w:shd w:val="clear" w:color="auto" w:fill="FFFFFF"/>
            <w:noWrap w:val="0"/>
            <w:vAlign w:val="center"/>
          </w:tcPr>
          <w:p w14:paraId="30AF259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250</w:t>
            </w:r>
          </w:p>
        </w:tc>
      </w:tr>
      <w:tr w14:paraId="3921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shd w:val="clear" w:color="auto" w:fill="FFFFFF"/>
            <w:noWrap w:val="0"/>
            <w:vAlign w:val="center"/>
          </w:tcPr>
          <w:p w14:paraId="715405F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709" w:type="dxa"/>
            <w:vMerge w:val="continue"/>
            <w:shd w:val="clear" w:color="auto" w:fill="FFFFFF"/>
            <w:noWrap w:val="0"/>
            <w:vAlign w:val="center"/>
          </w:tcPr>
          <w:p w14:paraId="2A52BA4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vMerge w:val="continue"/>
            <w:shd w:val="clear" w:color="auto" w:fill="FFFFFF"/>
            <w:noWrap w:val="0"/>
            <w:vAlign w:val="center"/>
          </w:tcPr>
          <w:p w14:paraId="56F37AA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shd w:val="clear" w:color="auto" w:fill="FFFFFF"/>
            <w:noWrap w:val="0"/>
            <w:vAlign w:val="center"/>
          </w:tcPr>
          <w:p w14:paraId="61C7BC48">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NH</w:t>
            </w:r>
            <w:r>
              <w:rPr>
                <w:rFonts w:hint="default" w:ascii="Arial" w:hAnsi="Arial" w:eastAsia="宋体" w:cs="Arial"/>
                <w:b w:val="0"/>
                <w:color w:val="000000"/>
                <w:szCs w:val="21"/>
                <w:vertAlign w:val="subscript"/>
              </w:rPr>
              <w:t>3</w:t>
            </w:r>
            <w:r>
              <w:rPr>
                <w:rFonts w:hint="default" w:ascii="Arial" w:hAnsi="Arial" w:eastAsia="宋体" w:cs="Arial"/>
                <w:b w:val="0"/>
                <w:color w:val="000000"/>
                <w:szCs w:val="21"/>
              </w:rPr>
              <w:t>-N</w:t>
            </w:r>
          </w:p>
        </w:tc>
        <w:tc>
          <w:tcPr>
            <w:tcW w:w="851" w:type="dxa"/>
            <w:vMerge w:val="continue"/>
            <w:shd w:val="clear" w:color="auto" w:fill="FFFFFF"/>
            <w:noWrap w:val="0"/>
            <w:vAlign w:val="center"/>
          </w:tcPr>
          <w:p w14:paraId="1959A7C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0" w:type="dxa"/>
            <w:vMerge w:val="continue"/>
            <w:shd w:val="clear" w:color="auto" w:fill="FFFFFF"/>
            <w:noWrap w:val="0"/>
            <w:vAlign w:val="center"/>
          </w:tcPr>
          <w:p w14:paraId="0816802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shd w:val="clear" w:color="auto" w:fill="FFFFFF"/>
            <w:noWrap w:val="0"/>
            <w:vAlign w:val="center"/>
          </w:tcPr>
          <w:p w14:paraId="4EE1F07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25</w:t>
            </w:r>
          </w:p>
        </w:tc>
        <w:tc>
          <w:tcPr>
            <w:tcW w:w="992" w:type="dxa"/>
            <w:shd w:val="clear" w:color="auto" w:fill="FFFFFF"/>
            <w:noWrap w:val="0"/>
            <w:vAlign w:val="center"/>
          </w:tcPr>
          <w:p w14:paraId="3C0BABF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b w:val="0"/>
                <w:color w:val="000000"/>
                <w:szCs w:val="21"/>
                <w:lang w:val="en-US"/>
              </w:rPr>
            </w:pPr>
            <w:r>
              <w:rPr>
                <w:rFonts w:hint="default" w:ascii="Arial" w:hAnsi="Arial" w:eastAsia="宋体" w:cs="Arial"/>
                <w:i w:val="0"/>
                <w:iCs w:val="0"/>
                <w:color w:val="000000"/>
                <w:kern w:val="0"/>
                <w:sz w:val="21"/>
                <w:szCs w:val="21"/>
                <w:u w:val="none"/>
                <w:lang w:val="en-US" w:eastAsia="zh-CN" w:bidi="ar"/>
              </w:rPr>
              <w:t>0.00</w:t>
            </w:r>
            <w:r>
              <w:rPr>
                <w:rFonts w:hint="eastAsia" w:ascii="Arial" w:hAnsi="Arial" w:eastAsia="宋体" w:cs="Arial"/>
                <w:i w:val="0"/>
                <w:iCs w:val="0"/>
                <w:color w:val="000000"/>
                <w:kern w:val="0"/>
                <w:sz w:val="21"/>
                <w:szCs w:val="21"/>
                <w:u w:val="none"/>
                <w:lang w:val="en-US" w:eastAsia="zh-CN" w:bidi="ar"/>
              </w:rPr>
              <w:t>8</w:t>
            </w:r>
          </w:p>
        </w:tc>
        <w:tc>
          <w:tcPr>
            <w:tcW w:w="1275" w:type="dxa"/>
            <w:vMerge w:val="continue"/>
            <w:shd w:val="clear" w:color="auto" w:fill="FFFFFF"/>
            <w:noWrap w:val="0"/>
            <w:vAlign w:val="center"/>
          </w:tcPr>
          <w:p w14:paraId="7EEBA55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709" w:type="dxa"/>
            <w:shd w:val="clear" w:color="auto" w:fill="FFFFFF"/>
            <w:noWrap w:val="0"/>
            <w:vAlign w:val="center"/>
          </w:tcPr>
          <w:p w14:paraId="606F887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709" w:type="dxa"/>
            <w:vMerge w:val="continue"/>
            <w:shd w:val="clear" w:color="auto" w:fill="FFFFFF"/>
            <w:noWrap w:val="0"/>
            <w:vAlign w:val="center"/>
          </w:tcPr>
          <w:p w14:paraId="4473500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0" w:type="dxa"/>
            <w:vMerge w:val="continue"/>
            <w:shd w:val="clear" w:color="auto" w:fill="FFFFFF"/>
            <w:noWrap w:val="0"/>
            <w:vAlign w:val="center"/>
          </w:tcPr>
          <w:p w14:paraId="6BCE351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1" w:type="dxa"/>
            <w:shd w:val="clear" w:color="auto" w:fill="FFFFFF"/>
            <w:noWrap w:val="0"/>
            <w:vAlign w:val="center"/>
          </w:tcPr>
          <w:p w14:paraId="27AD30F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25</w:t>
            </w:r>
          </w:p>
        </w:tc>
        <w:tc>
          <w:tcPr>
            <w:tcW w:w="850" w:type="dxa"/>
            <w:shd w:val="clear" w:color="auto" w:fill="FFFFFF"/>
            <w:noWrap w:val="0"/>
            <w:vAlign w:val="center"/>
          </w:tcPr>
          <w:p w14:paraId="70F1190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0.00</w:t>
            </w:r>
            <w:r>
              <w:rPr>
                <w:rFonts w:hint="eastAsia" w:ascii="Arial" w:hAnsi="Arial" w:eastAsia="宋体" w:cs="Arial"/>
                <w:b w:val="0"/>
                <w:color w:val="000000"/>
                <w:szCs w:val="21"/>
                <w:lang w:val="en-US" w:eastAsia="zh-CN"/>
              </w:rPr>
              <w:t>8</w:t>
            </w:r>
          </w:p>
        </w:tc>
        <w:tc>
          <w:tcPr>
            <w:tcW w:w="741" w:type="dxa"/>
            <w:vMerge w:val="continue"/>
            <w:shd w:val="clear" w:color="auto" w:fill="FFFFFF"/>
            <w:noWrap w:val="0"/>
            <w:vAlign w:val="center"/>
          </w:tcPr>
          <w:p w14:paraId="41F3A890">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r>
      <w:tr w14:paraId="2E39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shd w:val="clear" w:color="auto" w:fill="FFFFFF"/>
            <w:noWrap w:val="0"/>
            <w:vAlign w:val="center"/>
          </w:tcPr>
          <w:p w14:paraId="0FD117A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709" w:type="dxa"/>
            <w:vMerge w:val="continue"/>
            <w:shd w:val="clear" w:color="auto" w:fill="FFFFFF"/>
            <w:noWrap w:val="0"/>
            <w:vAlign w:val="center"/>
          </w:tcPr>
          <w:p w14:paraId="0022FAC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vMerge w:val="continue"/>
            <w:shd w:val="clear" w:color="auto" w:fill="FFFFFF"/>
            <w:noWrap w:val="0"/>
            <w:vAlign w:val="center"/>
          </w:tcPr>
          <w:p w14:paraId="6ABE79A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shd w:val="clear" w:color="auto" w:fill="FFFFFF"/>
            <w:noWrap w:val="0"/>
            <w:vAlign w:val="center"/>
          </w:tcPr>
          <w:p w14:paraId="1E2664AF">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总磷</w:t>
            </w:r>
          </w:p>
        </w:tc>
        <w:tc>
          <w:tcPr>
            <w:tcW w:w="851" w:type="dxa"/>
            <w:vMerge w:val="continue"/>
            <w:shd w:val="clear" w:color="auto" w:fill="FFFFFF"/>
            <w:noWrap w:val="0"/>
            <w:vAlign w:val="center"/>
          </w:tcPr>
          <w:p w14:paraId="22E47FE1">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0" w:type="dxa"/>
            <w:vMerge w:val="continue"/>
            <w:shd w:val="clear" w:color="auto" w:fill="FFFFFF"/>
            <w:noWrap w:val="0"/>
            <w:vAlign w:val="center"/>
          </w:tcPr>
          <w:p w14:paraId="6BD2AC3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1133" w:type="dxa"/>
            <w:shd w:val="clear" w:color="auto" w:fill="FFFFFF"/>
            <w:noWrap w:val="0"/>
            <w:vAlign w:val="center"/>
          </w:tcPr>
          <w:p w14:paraId="4763C2FF">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5</w:t>
            </w:r>
          </w:p>
        </w:tc>
        <w:tc>
          <w:tcPr>
            <w:tcW w:w="992" w:type="dxa"/>
            <w:shd w:val="clear" w:color="auto" w:fill="FFFFFF"/>
            <w:noWrap w:val="0"/>
            <w:vAlign w:val="center"/>
          </w:tcPr>
          <w:p w14:paraId="20DF9CD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1"/>
                <w:szCs w:val="21"/>
                <w:u w:val="none"/>
                <w:lang w:val="en-US" w:eastAsia="zh-CN" w:bidi="ar"/>
              </w:rPr>
            </w:pPr>
            <w:r>
              <w:rPr>
                <w:rFonts w:hint="eastAsia" w:ascii="Arial" w:hAnsi="Arial" w:eastAsia="宋体" w:cs="Arial"/>
                <w:i w:val="0"/>
                <w:iCs w:val="0"/>
                <w:color w:val="000000"/>
                <w:kern w:val="0"/>
                <w:sz w:val="21"/>
                <w:szCs w:val="21"/>
                <w:u w:val="none"/>
                <w:lang w:val="en-US" w:eastAsia="zh-CN" w:bidi="ar"/>
              </w:rPr>
              <w:t>0.002</w:t>
            </w:r>
          </w:p>
        </w:tc>
        <w:tc>
          <w:tcPr>
            <w:tcW w:w="1275" w:type="dxa"/>
            <w:vMerge w:val="continue"/>
            <w:shd w:val="clear" w:color="auto" w:fill="FFFFFF"/>
            <w:noWrap w:val="0"/>
            <w:vAlign w:val="center"/>
          </w:tcPr>
          <w:p w14:paraId="76C5C0E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709" w:type="dxa"/>
            <w:shd w:val="clear" w:color="auto" w:fill="FFFFFF"/>
            <w:noWrap w:val="0"/>
            <w:vAlign w:val="center"/>
          </w:tcPr>
          <w:p w14:paraId="62C0478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w:t>
            </w:r>
          </w:p>
        </w:tc>
        <w:tc>
          <w:tcPr>
            <w:tcW w:w="709" w:type="dxa"/>
            <w:vMerge w:val="continue"/>
            <w:shd w:val="clear" w:color="auto" w:fill="FFFFFF"/>
            <w:noWrap w:val="0"/>
            <w:vAlign w:val="center"/>
          </w:tcPr>
          <w:p w14:paraId="14D786C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0" w:type="dxa"/>
            <w:vMerge w:val="continue"/>
            <w:shd w:val="clear" w:color="auto" w:fill="FFFFFF"/>
            <w:noWrap w:val="0"/>
            <w:vAlign w:val="center"/>
          </w:tcPr>
          <w:p w14:paraId="32DA4517">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c>
          <w:tcPr>
            <w:tcW w:w="851" w:type="dxa"/>
            <w:shd w:val="clear" w:color="auto" w:fill="FFFFFF"/>
            <w:noWrap w:val="0"/>
            <w:vAlign w:val="center"/>
          </w:tcPr>
          <w:p w14:paraId="2F072011">
            <w:pPr>
              <w:keepNext w:val="0"/>
              <w:keepLines w:val="0"/>
              <w:suppressLineNumbers w:val="0"/>
              <w:adjustRightInd w:val="0"/>
              <w:snapToGrid w:val="0"/>
              <w:spacing w:before="0" w:beforeAutospacing="0" w:after="0" w:afterAutospacing="0"/>
              <w:ind w:left="0" w:right="0"/>
              <w:jc w:val="center"/>
              <w:rPr>
                <w:rFonts w:hint="eastAsia"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5</w:t>
            </w:r>
          </w:p>
        </w:tc>
        <w:tc>
          <w:tcPr>
            <w:tcW w:w="850" w:type="dxa"/>
            <w:shd w:val="clear" w:color="auto" w:fill="FFFFFF"/>
            <w:noWrap w:val="0"/>
            <w:vAlign w:val="center"/>
          </w:tcPr>
          <w:p w14:paraId="038DF01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0.002</w:t>
            </w:r>
          </w:p>
        </w:tc>
        <w:tc>
          <w:tcPr>
            <w:tcW w:w="741" w:type="dxa"/>
            <w:vMerge w:val="continue"/>
            <w:shd w:val="clear" w:color="auto" w:fill="FFFFFF"/>
            <w:noWrap w:val="0"/>
            <w:vAlign w:val="center"/>
          </w:tcPr>
          <w:p w14:paraId="3A81251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 w:val="0"/>
                <w:color w:val="000000"/>
                <w:szCs w:val="21"/>
              </w:rPr>
            </w:pPr>
          </w:p>
        </w:tc>
      </w:tr>
    </w:tbl>
    <w:p w14:paraId="5B05C454">
      <w:pPr>
        <w:spacing w:line="360" w:lineRule="auto"/>
        <w:rPr>
          <w:rFonts w:hint="default" w:ascii="Arial" w:hAnsi="Arial" w:eastAsia="宋体" w:cs="Arial"/>
          <w:sz w:val="24"/>
          <w:szCs w:val="20"/>
          <w:lang w:val="en-GB"/>
        </w:rPr>
        <w:sectPr>
          <w:headerReference r:id="rId25" w:type="default"/>
          <w:pgSz w:w="16838" w:h="11906" w:orient="landscape"/>
          <w:pgMar w:top="1287" w:right="1440" w:bottom="1287" w:left="1440" w:header="851" w:footer="992" w:gutter="0"/>
          <w:pgBorders>
            <w:top w:val="single" w:color="auto" w:sz="4" w:space="1"/>
            <w:left w:val="single" w:color="auto" w:sz="4" w:space="4"/>
            <w:bottom w:val="single" w:color="auto" w:sz="4" w:space="1"/>
            <w:right w:val="single" w:color="auto" w:sz="4" w:space="4"/>
          </w:pgBorders>
          <w:cols w:space="425" w:num="1"/>
          <w:docGrid w:type="lines" w:linePitch="340" w:charSpace="0"/>
        </w:sectPr>
      </w:pPr>
    </w:p>
    <w:p w14:paraId="47511A7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Arial" w:hAnsi="Arial" w:eastAsia="宋体" w:cs="Arial"/>
          <w:sz w:val="24"/>
          <w:szCs w:val="20"/>
          <w:lang w:val="en-GB"/>
        </w:rPr>
      </w:pPr>
      <w:r>
        <w:rPr>
          <w:rFonts w:hint="default" w:ascii="Arial" w:hAnsi="Arial" w:eastAsia="宋体" w:cs="Arial"/>
          <w:sz w:val="24"/>
          <w:szCs w:val="20"/>
          <w:lang w:val="en-GB"/>
        </w:rPr>
        <w:t>项目废水类别、污染物及污染治理设施信息表详见</w:t>
      </w:r>
      <w:r>
        <w:rPr>
          <w:rFonts w:hint="eastAsia" w:ascii="Arial" w:hAnsi="Arial" w:eastAsia="宋体" w:cs="Arial"/>
          <w:sz w:val="24"/>
          <w:szCs w:val="20"/>
          <w:lang w:val="en-US" w:eastAsia="zh-CN"/>
        </w:rPr>
        <w:t>下表</w:t>
      </w:r>
      <w:r>
        <w:rPr>
          <w:rFonts w:hint="default" w:ascii="Arial" w:hAnsi="Arial" w:eastAsia="宋体" w:cs="Arial"/>
          <w:sz w:val="24"/>
          <w:szCs w:val="20"/>
          <w:lang w:val="en-GB"/>
        </w:rPr>
        <w:t>。</w:t>
      </w:r>
    </w:p>
    <w:p w14:paraId="3C6F2A84">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废水类别、污染物及污染治理设施信息表</w:t>
      </w:r>
    </w:p>
    <w:tbl>
      <w:tblPr>
        <w:tblStyle w:val="52"/>
        <w:tblW w:w="48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6"/>
        <w:gridCol w:w="396"/>
        <w:gridCol w:w="723"/>
        <w:gridCol w:w="708"/>
        <w:gridCol w:w="1092"/>
        <w:gridCol w:w="646"/>
        <w:gridCol w:w="646"/>
        <w:gridCol w:w="646"/>
        <w:gridCol w:w="782"/>
        <w:gridCol w:w="955"/>
        <w:gridCol w:w="1066"/>
      </w:tblGrid>
      <w:tr w14:paraId="6F27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66" w:type="dxa"/>
            <w:vMerge w:val="restart"/>
            <w:vAlign w:val="center"/>
          </w:tcPr>
          <w:p w14:paraId="059779C2">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序号</w:t>
            </w:r>
          </w:p>
        </w:tc>
        <w:tc>
          <w:tcPr>
            <w:tcW w:w="396" w:type="dxa"/>
            <w:vMerge w:val="restart"/>
            <w:vAlign w:val="center"/>
          </w:tcPr>
          <w:p w14:paraId="26F5F55D">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废水类别</w:t>
            </w:r>
          </w:p>
        </w:tc>
        <w:tc>
          <w:tcPr>
            <w:tcW w:w="722" w:type="dxa"/>
            <w:vMerge w:val="restart"/>
            <w:vAlign w:val="center"/>
          </w:tcPr>
          <w:p w14:paraId="402A8D62">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污染物种类</w:t>
            </w:r>
          </w:p>
        </w:tc>
        <w:tc>
          <w:tcPr>
            <w:tcW w:w="707" w:type="dxa"/>
            <w:vMerge w:val="restart"/>
            <w:vAlign w:val="center"/>
          </w:tcPr>
          <w:p w14:paraId="18F72099">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排放去向</w:t>
            </w:r>
          </w:p>
        </w:tc>
        <w:tc>
          <w:tcPr>
            <w:tcW w:w="1091" w:type="dxa"/>
            <w:vMerge w:val="restart"/>
            <w:vAlign w:val="center"/>
          </w:tcPr>
          <w:p w14:paraId="2595C116">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排放规律</w:t>
            </w:r>
          </w:p>
        </w:tc>
        <w:tc>
          <w:tcPr>
            <w:tcW w:w="1935" w:type="dxa"/>
            <w:gridSpan w:val="3"/>
            <w:vAlign w:val="center"/>
          </w:tcPr>
          <w:p w14:paraId="5898522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污染治理设施</w:t>
            </w:r>
          </w:p>
        </w:tc>
        <w:tc>
          <w:tcPr>
            <w:tcW w:w="781" w:type="dxa"/>
            <w:vMerge w:val="restart"/>
            <w:vAlign w:val="center"/>
          </w:tcPr>
          <w:p w14:paraId="495CFFE3">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排放口编号</w:t>
            </w:r>
          </w:p>
        </w:tc>
        <w:tc>
          <w:tcPr>
            <w:tcW w:w="954" w:type="dxa"/>
            <w:vMerge w:val="restart"/>
            <w:vAlign w:val="center"/>
          </w:tcPr>
          <w:p w14:paraId="5A18F5F4">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排放口设置是否符合要求</w:t>
            </w:r>
          </w:p>
        </w:tc>
        <w:tc>
          <w:tcPr>
            <w:tcW w:w="1065" w:type="dxa"/>
            <w:vMerge w:val="restart"/>
            <w:vAlign w:val="center"/>
          </w:tcPr>
          <w:p w14:paraId="5C64D184">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排放口类型</w:t>
            </w:r>
          </w:p>
        </w:tc>
      </w:tr>
      <w:tr w14:paraId="0559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66" w:type="dxa"/>
            <w:vMerge w:val="continue"/>
            <w:vAlign w:val="center"/>
          </w:tcPr>
          <w:p w14:paraId="72D019AE">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396" w:type="dxa"/>
            <w:vMerge w:val="continue"/>
            <w:vAlign w:val="center"/>
          </w:tcPr>
          <w:p w14:paraId="329E009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722" w:type="dxa"/>
            <w:vMerge w:val="continue"/>
            <w:vAlign w:val="center"/>
          </w:tcPr>
          <w:p w14:paraId="03A11795">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707" w:type="dxa"/>
            <w:vMerge w:val="continue"/>
            <w:vAlign w:val="center"/>
          </w:tcPr>
          <w:p w14:paraId="2C4BDD32">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1091" w:type="dxa"/>
            <w:vMerge w:val="continue"/>
            <w:vAlign w:val="center"/>
          </w:tcPr>
          <w:p w14:paraId="008A921F">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645" w:type="dxa"/>
            <w:vAlign w:val="center"/>
          </w:tcPr>
          <w:p w14:paraId="07B563CE">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污染治理设施编号</w:t>
            </w:r>
          </w:p>
        </w:tc>
        <w:tc>
          <w:tcPr>
            <w:tcW w:w="645" w:type="dxa"/>
            <w:vAlign w:val="center"/>
          </w:tcPr>
          <w:p w14:paraId="29A50C9F">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污染治理设施名称</w:t>
            </w:r>
          </w:p>
        </w:tc>
        <w:tc>
          <w:tcPr>
            <w:tcW w:w="645" w:type="dxa"/>
            <w:vAlign w:val="center"/>
          </w:tcPr>
          <w:p w14:paraId="0386B2D0">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污染治理设施工艺</w:t>
            </w:r>
          </w:p>
        </w:tc>
        <w:tc>
          <w:tcPr>
            <w:tcW w:w="781" w:type="dxa"/>
            <w:vMerge w:val="continue"/>
            <w:vAlign w:val="center"/>
          </w:tcPr>
          <w:p w14:paraId="457407A3">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954" w:type="dxa"/>
            <w:vMerge w:val="continue"/>
            <w:vAlign w:val="center"/>
          </w:tcPr>
          <w:p w14:paraId="49283F0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c>
          <w:tcPr>
            <w:tcW w:w="1065" w:type="dxa"/>
            <w:vMerge w:val="continue"/>
            <w:vAlign w:val="center"/>
          </w:tcPr>
          <w:p w14:paraId="0E3C4B5B">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p>
        </w:tc>
      </w:tr>
      <w:tr w14:paraId="30F7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66" w:type="dxa"/>
            <w:vAlign w:val="center"/>
          </w:tcPr>
          <w:p w14:paraId="7C68F1F7">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1</w:t>
            </w:r>
          </w:p>
        </w:tc>
        <w:tc>
          <w:tcPr>
            <w:tcW w:w="396" w:type="dxa"/>
            <w:vAlign w:val="center"/>
          </w:tcPr>
          <w:p w14:paraId="1773155E">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生活污水</w:t>
            </w:r>
          </w:p>
        </w:tc>
        <w:tc>
          <w:tcPr>
            <w:tcW w:w="722" w:type="dxa"/>
            <w:vAlign w:val="center"/>
          </w:tcPr>
          <w:p w14:paraId="7904C5C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COD</w:t>
            </w:r>
            <w:r>
              <w:rPr>
                <w:rFonts w:hint="default" w:ascii="Arial" w:hAnsi="Arial" w:eastAsia="宋体" w:cs="Arial"/>
                <w:szCs w:val="21"/>
                <w:vertAlign w:val="subscript"/>
              </w:rPr>
              <w:t>Cr</w:t>
            </w:r>
          </w:p>
          <w:p w14:paraId="4587B3B1">
            <w:pPr>
              <w:keepNext w:val="0"/>
              <w:keepLines w:val="0"/>
              <w:suppressLineNumbers w:val="0"/>
              <w:spacing w:before="0" w:beforeAutospacing="0" w:after="0" w:afterAutospacing="0" w:line="240" w:lineRule="exact"/>
              <w:ind w:left="0" w:right="0"/>
              <w:jc w:val="center"/>
              <w:rPr>
                <w:rFonts w:hint="default" w:ascii="Arial" w:hAnsi="Arial" w:eastAsia="宋体" w:cs="Arial"/>
                <w:szCs w:val="21"/>
                <w:lang w:val="en-US" w:eastAsia="zh-CN"/>
              </w:rPr>
            </w:pPr>
            <w:r>
              <w:rPr>
                <w:rFonts w:hint="default" w:ascii="Arial" w:hAnsi="Arial" w:eastAsia="宋体" w:cs="Arial"/>
                <w:szCs w:val="21"/>
              </w:rPr>
              <w:t>NH</w:t>
            </w:r>
            <w:r>
              <w:rPr>
                <w:rFonts w:hint="default" w:ascii="Arial" w:hAnsi="Arial" w:eastAsia="宋体" w:cs="Arial"/>
                <w:szCs w:val="21"/>
                <w:vertAlign w:val="subscript"/>
              </w:rPr>
              <w:t>3</w:t>
            </w:r>
            <w:r>
              <w:rPr>
                <w:rFonts w:hint="default" w:ascii="Arial" w:hAnsi="Arial" w:eastAsia="宋体" w:cs="Arial"/>
                <w:szCs w:val="21"/>
              </w:rPr>
              <w:t>-N</w:t>
            </w:r>
          </w:p>
        </w:tc>
        <w:tc>
          <w:tcPr>
            <w:tcW w:w="707" w:type="dxa"/>
            <w:vAlign w:val="center"/>
          </w:tcPr>
          <w:p w14:paraId="6966221A">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进入嘉兴市联合污水处理厂</w:t>
            </w:r>
          </w:p>
        </w:tc>
        <w:tc>
          <w:tcPr>
            <w:tcW w:w="1091" w:type="dxa"/>
            <w:vAlign w:val="center"/>
          </w:tcPr>
          <w:p w14:paraId="1183D07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间断排放，排放期间流量不稳定，但不属于冲击型排放</w:t>
            </w:r>
          </w:p>
        </w:tc>
        <w:tc>
          <w:tcPr>
            <w:tcW w:w="645" w:type="dxa"/>
            <w:vAlign w:val="center"/>
          </w:tcPr>
          <w:p w14:paraId="3AE98596">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1</w:t>
            </w:r>
          </w:p>
        </w:tc>
        <w:tc>
          <w:tcPr>
            <w:tcW w:w="645" w:type="dxa"/>
            <w:vAlign w:val="center"/>
          </w:tcPr>
          <w:p w14:paraId="05B1B7AD">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化粪池</w:t>
            </w:r>
          </w:p>
        </w:tc>
        <w:tc>
          <w:tcPr>
            <w:tcW w:w="645" w:type="dxa"/>
            <w:vAlign w:val="center"/>
          </w:tcPr>
          <w:p w14:paraId="1CF26A9E">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沉淀和厌氧发酵</w:t>
            </w:r>
          </w:p>
        </w:tc>
        <w:tc>
          <w:tcPr>
            <w:tcW w:w="781" w:type="dxa"/>
            <w:vAlign w:val="center"/>
          </w:tcPr>
          <w:p w14:paraId="1ED55FBD">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t>DW001</w:t>
            </w:r>
          </w:p>
        </w:tc>
        <w:tc>
          <w:tcPr>
            <w:tcW w:w="954" w:type="dxa"/>
            <w:vAlign w:val="center"/>
          </w:tcPr>
          <w:p w14:paraId="334D83A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FE"/>
            </w:r>
            <w:r>
              <w:rPr>
                <w:rFonts w:hint="default" w:ascii="Arial" w:hAnsi="Arial" w:eastAsia="宋体" w:cs="Arial"/>
                <w:szCs w:val="21"/>
              </w:rPr>
              <w:t>是</w:t>
            </w:r>
          </w:p>
          <w:p w14:paraId="020C3DE8">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A8"/>
            </w:r>
            <w:r>
              <w:rPr>
                <w:rFonts w:hint="default" w:ascii="Arial" w:hAnsi="Arial" w:eastAsia="宋体" w:cs="Arial"/>
                <w:szCs w:val="21"/>
              </w:rPr>
              <w:t>否</w:t>
            </w:r>
          </w:p>
        </w:tc>
        <w:tc>
          <w:tcPr>
            <w:tcW w:w="1065" w:type="dxa"/>
            <w:vAlign w:val="center"/>
          </w:tcPr>
          <w:p w14:paraId="640278C7">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FE"/>
            </w:r>
            <w:r>
              <w:rPr>
                <w:rFonts w:hint="default" w:ascii="Arial" w:hAnsi="Arial" w:eastAsia="宋体" w:cs="Arial"/>
                <w:szCs w:val="21"/>
              </w:rPr>
              <w:t>企业总排</w:t>
            </w:r>
          </w:p>
          <w:p w14:paraId="2FFA173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A8"/>
            </w:r>
            <w:r>
              <w:rPr>
                <w:rFonts w:hint="default" w:ascii="Arial" w:hAnsi="Arial" w:eastAsia="宋体" w:cs="Arial"/>
                <w:szCs w:val="21"/>
              </w:rPr>
              <w:t>雨水排放</w:t>
            </w:r>
          </w:p>
          <w:p w14:paraId="32A5327F">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A8"/>
            </w:r>
            <w:r>
              <w:rPr>
                <w:rFonts w:hint="default" w:ascii="Arial" w:hAnsi="Arial" w:eastAsia="宋体" w:cs="Arial"/>
                <w:szCs w:val="21"/>
              </w:rPr>
              <w:t>轻净下水排放</w:t>
            </w:r>
          </w:p>
          <w:p w14:paraId="0E20038C">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A8"/>
            </w:r>
            <w:r>
              <w:rPr>
                <w:rFonts w:hint="default" w:ascii="Arial" w:hAnsi="Arial" w:eastAsia="宋体" w:cs="Arial"/>
                <w:szCs w:val="21"/>
              </w:rPr>
              <w:t>温排水排放</w:t>
            </w:r>
          </w:p>
          <w:p w14:paraId="22183FC3">
            <w:pPr>
              <w:keepNext w:val="0"/>
              <w:keepLines w:val="0"/>
              <w:suppressLineNumbers w:val="0"/>
              <w:spacing w:before="0" w:beforeAutospacing="0" w:after="0" w:afterAutospacing="0" w:line="240" w:lineRule="exact"/>
              <w:ind w:left="0" w:right="0"/>
              <w:jc w:val="center"/>
              <w:rPr>
                <w:rFonts w:hint="default" w:ascii="Arial" w:hAnsi="Arial" w:eastAsia="宋体" w:cs="Arial"/>
                <w:szCs w:val="21"/>
              </w:rPr>
            </w:pPr>
            <w:r>
              <w:rPr>
                <w:rFonts w:hint="default" w:ascii="Arial" w:hAnsi="Arial" w:eastAsia="宋体" w:cs="Arial"/>
                <w:szCs w:val="21"/>
              </w:rPr>
              <w:sym w:font="Wingdings" w:char="00A8"/>
            </w:r>
            <w:r>
              <w:rPr>
                <w:rFonts w:hint="default" w:ascii="Arial" w:hAnsi="Arial" w:eastAsia="宋体" w:cs="Arial"/>
                <w:szCs w:val="21"/>
              </w:rPr>
              <w:t>车间或车间处理设施排放口</w:t>
            </w:r>
          </w:p>
        </w:tc>
      </w:tr>
    </w:tbl>
    <w:p w14:paraId="394E44B3">
      <w:pPr>
        <w:spacing w:line="360" w:lineRule="auto"/>
        <w:ind w:firstLine="480" w:firstLineChars="200"/>
        <w:rPr>
          <w:rFonts w:hint="default" w:ascii="Arial" w:hAnsi="Arial" w:eastAsia="宋体" w:cs="Arial"/>
          <w:bCs/>
          <w:sz w:val="24"/>
          <w:szCs w:val="24"/>
          <w:lang w:val="en-GB"/>
        </w:rPr>
      </w:pPr>
      <w:r>
        <w:rPr>
          <w:rFonts w:hint="default" w:ascii="Arial" w:hAnsi="Arial" w:eastAsia="宋体" w:cs="Arial"/>
          <w:bCs/>
          <w:sz w:val="24"/>
          <w:szCs w:val="24"/>
          <w:lang w:val="en-GB"/>
        </w:rPr>
        <w:t>废水排放口基本情况详见表4-</w:t>
      </w:r>
      <w:r>
        <w:rPr>
          <w:rFonts w:hint="eastAsia" w:ascii="Arial" w:hAnsi="Arial" w:eastAsia="宋体" w:cs="Arial"/>
          <w:bCs/>
          <w:sz w:val="24"/>
          <w:szCs w:val="24"/>
          <w:lang w:val="en-US" w:eastAsia="zh-CN"/>
        </w:rPr>
        <w:t>11</w:t>
      </w:r>
      <w:r>
        <w:rPr>
          <w:rFonts w:hint="default" w:ascii="Arial" w:hAnsi="Arial" w:eastAsia="宋体" w:cs="Arial"/>
          <w:bCs/>
          <w:sz w:val="24"/>
          <w:szCs w:val="24"/>
          <w:lang w:val="en-GB"/>
        </w:rPr>
        <w:t>，废水污染物排放执行标准详见表4-</w:t>
      </w:r>
      <w:r>
        <w:rPr>
          <w:rFonts w:hint="eastAsia" w:ascii="Arial" w:hAnsi="Arial" w:eastAsia="宋体" w:cs="Arial"/>
          <w:bCs/>
          <w:sz w:val="24"/>
          <w:szCs w:val="24"/>
          <w:lang w:val="en-US" w:eastAsia="zh-CN"/>
        </w:rPr>
        <w:t>12</w:t>
      </w:r>
      <w:r>
        <w:rPr>
          <w:rFonts w:hint="default" w:ascii="Arial" w:hAnsi="Arial" w:eastAsia="宋体" w:cs="Arial"/>
          <w:bCs/>
          <w:sz w:val="24"/>
          <w:szCs w:val="24"/>
          <w:lang w:val="en-GB"/>
        </w:rPr>
        <w:t>。</w:t>
      </w:r>
    </w:p>
    <w:p w14:paraId="45EF960A">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废水间接排放口基本情况表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5"/>
        <w:gridCol w:w="817"/>
        <w:gridCol w:w="683"/>
        <w:gridCol w:w="950"/>
        <w:gridCol w:w="1776"/>
        <w:gridCol w:w="558"/>
        <w:gridCol w:w="1150"/>
        <w:gridCol w:w="816"/>
        <w:gridCol w:w="912"/>
      </w:tblGrid>
      <w:tr w14:paraId="7851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275" w:type="dxa"/>
            <w:vMerge w:val="restart"/>
            <w:vAlign w:val="center"/>
          </w:tcPr>
          <w:p w14:paraId="34E7FD3F">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序号</w:t>
            </w:r>
          </w:p>
        </w:tc>
        <w:tc>
          <w:tcPr>
            <w:tcW w:w="817" w:type="dxa"/>
            <w:vMerge w:val="restart"/>
            <w:vAlign w:val="center"/>
          </w:tcPr>
          <w:p w14:paraId="77DE8579">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排放口编号</w:t>
            </w:r>
          </w:p>
        </w:tc>
        <w:tc>
          <w:tcPr>
            <w:tcW w:w="683" w:type="dxa"/>
            <w:vMerge w:val="restart"/>
            <w:vAlign w:val="center"/>
          </w:tcPr>
          <w:p w14:paraId="4B33D93F">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废水排放量/（万t/a）</w:t>
            </w:r>
          </w:p>
        </w:tc>
        <w:tc>
          <w:tcPr>
            <w:tcW w:w="950" w:type="dxa"/>
            <w:vMerge w:val="restart"/>
            <w:vAlign w:val="center"/>
          </w:tcPr>
          <w:p w14:paraId="7DB6435B">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排放去向</w:t>
            </w:r>
          </w:p>
        </w:tc>
        <w:tc>
          <w:tcPr>
            <w:tcW w:w="1776" w:type="dxa"/>
            <w:vMerge w:val="restart"/>
            <w:vAlign w:val="center"/>
          </w:tcPr>
          <w:p w14:paraId="5ABD91FE">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排放规律</w:t>
            </w:r>
          </w:p>
        </w:tc>
        <w:tc>
          <w:tcPr>
            <w:tcW w:w="558" w:type="dxa"/>
            <w:vMerge w:val="restart"/>
            <w:vAlign w:val="center"/>
          </w:tcPr>
          <w:p w14:paraId="2FFF0AFC">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间歇排放时段</w:t>
            </w:r>
          </w:p>
        </w:tc>
        <w:tc>
          <w:tcPr>
            <w:tcW w:w="2878" w:type="dxa"/>
            <w:gridSpan w:val="3"/>
            <w:vAlign w:val="center"/>
          </w:tcPr>
          <w:p w14:paraId="0C253668">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受纳污水处理厂信息</w:t>
            </w:r>
          </w:p>
        </w:tc>
      </w:tr>
      <w:tr w14:paraId="4B6A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275" w:type="dxa"/>
            <w:vMerge w:val="continue"/>
            <w:vAlign w:val="center"/>
          </w:tcPr>
          <w:p w14:paraId="6DCB12D2">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7" w:type="dxa"/>
            <w:vMerge w:val="continue"/>
            <w:vAlign w:val="center"/>
          </w:tcPr>
          <w:p w14:paraId="2676A1E8">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683" w:type="dxa"/>
            <w:vMerge w:val="continue"/>
            <w:vAlign w:val="center"/>
          </w:tcPr>
          <w:p w14:paraId="6FAD7B9D">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950" w:type="dxa"/>
            <w:vMerge w:val="continue"/>
            <w:vAlign w:val="center"/>
          </w:tcPr>
          <w:p w14:paraId="14C3B600">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776" w:type="dxa"/>
            <w:vMerge w:val="continue"/>
            <w:vAlign w:val="center"/>
          </w:tcPr>
          <w:p w14:paraId="18B82B9B">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558" w:type="dxa"/>
            <w:vMerge w:val="continue"/>
            <w:vAlign w:val="center"/>
          </w:tcPr>
          <w:p w14:paraId="10AA7832">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150" w:type="dxa"/>
            <w:vAlign w:val="center"/>
          </w:tcPr>
          <w:p w14:paraId="15948C76">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名称</w:t>
            </w:r>
          </w:p>
        </w:tc>
        <w:tc>
          <w:tcPr>
            <w:tcW w:w="816" w:type="dxa"/>
            <w:vAlign w:val="center"/>
          </w:tcPr>
          <w:p w14:paraId="3DFB7539">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污染物种类</w:t>
            </w:r>
          </w:p>
        </w:tc>
        <w:tc>
          <w:tcPr>
            <w:tcW w:w="912" w:type="dxa"/>
            <w:vAlign w:val="center"/>
          </w:tcPr>
          <w:p w14:paraId="5C761108">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污染物排放标准浓度限值/（mg/L）</w:t>
            </w:r>
          </w:p>
        </w:tc>
      </w:tr>
      <w:tr w14:paraId="616B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75" w:type="dxa"/>
            <w:vMerge w:val="restart"/>
            <w:vAlign w:val="center"/>
          </w:tcPr>
          <w:p w14:paraId="68270421">
            <w:pPr>
              <w:keepNext w:val="0"/>
              <w:keepLines w:val="0"/>
              <w:suppressLineNumbers w:val="0"/>
              <w:snapToGrid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c>
          <w:tcPr>
            <w:tcW w:w="817" w:type="dxa"/>
            <w:vMerge w:val="restart"/>
            <w:vAlign w:val="center"/>
          </w:tcPr>
          <w:p w14:paraId="2C37448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DW001</w:t>
            </w:r>
          </w:p>
        </w:tc>
        <w:tc>
          <w:tcPr>
            <w:tcW w:w="683" w:type="dxa"/>
            <w:vMerge w:val="restart"/>
            <w:vAlign w:val="center"/>
          </w:tcPr>
          <w:p w14:paraId="343FB23F">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0.03</w:t>
            </w:r>
          </w:p>
        </w:tc>
        <w:tc>
          <w:tcPr>
            <w:tcW w:w="950" w:type="dxa"/>
            <w:vMerge w:val="restart"/>
            <w:vAlign w:val="center"/>
          </w:tcPr>
          <w:p w14:paraId="0B79193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进入城市污水处理厂</w:t>
            </w:r>
          </w:p>
        </w:tc>
        <w:tc>
          <w:tcPr>
            <w:tcW w:w="1776" w:type="dxa"/>
            <w:vMerge w:val="restart"/>
            <w:vAlign w:val="center"/>
          </w:tcPr>
          <w:p w14:paraId="0AD1810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间断排放，排放期间流量不稳定，但不属于冲击型排放</w:t>
            </w:r>
          </w:p>
        </w:tc>
        <w:tc>
          <w:tcPr>
            <w:tcW w:w="558" w:type="dxa"/>
            <w:vMerge w:val="restart"/>
            <w:vAlign w:val="center"/>
          </w:tcPr>
          <w:p w14:paraId="6EB9256D">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全天</w:t>
            </w:r>
          </w:p>
        </w:tc>
        <w:tc>
          <w:tcPr>
            <w:tcW w:w="1150" w:type="dxa"/>
            <w:vMerge w:val="restart"/>
            <w:vAlign w:val="center"/>
          </w:tcPr>
          <w:p w14:paraId="7EE8F2C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嘉兴市联合污水处理厂</w:t>
            </w:r>
          </w:p>
        </w:tc>
        <w:tc>
          <w:tcPr>
            <w:tcW w:w="816" w:type="dxa"/>
            <w:vAlign w:val="center"/>
          </w:tcPr>
          <w:p w14:paraId="071B672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COD</w:t>
            </w:r>
            <w:r>
              <w:rPr>
                <w:rFonts w:hint="default" w:ascii="Arial" w:hAnsi="Arial" w:eastAsia="宋体" w:cs="Arial"/>
                <w:szCs w:val="21"/>
                <w:vertAlign w:val="subscript"/>
              </w:rPr>
              <w:t>Cr</w:t>
            </w:r>
          </w:p>
        </w:tc>
        <w:tc>
          <w:tcPr>
            <w:tcW w:w="912" w:type="dxa"/>
            <w:vAlign w:val="center"/>
          </w:tcPr>
          <w:p w14:paraId="1F10858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40</w:t>
            </w:r>
          </w:p>
        </w:tc>
      </w:tr>
      <w:tr w14:paraId="41FF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275" w:type="dxa"/>
            <w:vMerge w:val="continue"/>
            <w:vAlign w:val="center"/>
          </w:tcPr>
          <w:p w14:paraId="406961FE">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7" w:type="dxa"/>
            <w:vMerge w:val="continue"/>
            <w:vAlign w:val="center"/>
          </w:tcPr>
          <w:p w14:paraId="2CBF519E">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683" w:type="dxa"/>
            <w:vMerge w:val="continue"/>
            <w:vAlign w:val="center"/>
          </w:tcPr>
          <w:p w14:paraId="5C2EB49F">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950" w:type="dxa"/>
            <w:vMerge w:val="continue"/>
            <w:vAlign w:val="center"/>
          </w:tcPr>
          <w:p w14:paraId="38785EB0">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776" w:type="dxa"/>
            <w:vMerge w:val="continue"/>
            <w:vAlign w:val="center"/>
          </w:tcPr>
          <w:p w14:paraId="6CD68405">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558" w:type="dxa"/>
            <w:vMerge w:val="continue"/>
            <w:vAlign w:val="center"/>
          </w:tcPr>
          <w:p w14:paraId="671E6B32">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150" w:type="dxa"/>
            <w:vMerge w:val="continue"/>
            <w:vAlign w:val="center"/>
          </w:tcPr>
          <w:p w14:paraId="3A42FBD5">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6" w:type="dxa"/>
            <w:vAlign w:val="center"/>
          </w:tcPr>
          <w:p w14:paraId="66999A8D">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NH</w:t>
            </w:r>
            <w:r>
              <w:rPr>
                <w:rFonts w:hint="default" w:ascii="Arial" w:hAnsi="Arial" w:eastAsia="宋体" w:cs="Arial"/>
                <w:szCs w:val="21"/>
                <w:vertAlign w:val="subscript"/>
              </w:rPr>
              <w:t>3</w:t>
            </w:r>
            <w:r>
              <w:rPr>
                <w:rFonts w:hint="default" w:ascii="Arial" w:hAnsi="Arial" w:eastAsia="宋体" w:cs="Arial"/>
                <w:szCs w:val="21"/>
              </w:rPr>
              <w:t>-N</w:t>
            </w:r>
          </w:p>
        </w:tc>
        <w:tc>
          <w:tcPr>
            <w:tcW w:w="912" w:type="dxa"/>
            <w:vAlign w:val="center"/>
          </w:tcPr>
          <w:p w14:paraId="0464E11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2（4）</w:t>
            </w:r>
          </w:p>
        </w:tc>
      </w:tr>
      <w:tr w14:paraId="1E94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275" w:type="dxa"/>
            <w:vMerge w:val="continue"/>
            <w:vAlign w:val="center"/>
          </w:tcPr>
          <w:p w14:paraId="0E3445DA">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7" w:type="dxa"/>
            <w:vMerge w:val="continue"/>
            <w:vAlign w:val="center"/>
          </w:tcPr>
          <w:p w14:paraId="73DF15B0">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683" w:type="dxa"/>
            <w:vMerge w:val="continue"/>
            <w:vAlign w:val="center"/>
          </w:tcPr>
          <w:p w14:paraId="3BE9BD8F">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950" w:type="dxa"/>
            <w:vMerge w:val="continue"/>
            <w:vAlign w:val="center"/>
          </w:tcPr>
          <w:p w14:paraId="7C38CE01">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776" w:type="dxa"/>
            <w:vMerge w:val="continue"/>
            <w:vAlign w:val="center"/>
          </w:tcPr>
          <w:p w14:paraId="7C7E9301">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558" w:type="dxa"/>
            <w:vMerge w:val="continue"/>
            <w:vAlign w:val="center"/>
          </w:tcPr>
          <w:p w14:paraId="36D7A280">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150" w:type="dxa"/>
            <w:vMerge w:val="continue"/>
            <w:vAlign w:val="center"/>
          </w:tcPr>
          <w:p w14:paraId="429ABE0E">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6" w:type="dxa"/>
            <w:vAlign w:val="center"/>
          </w:tcPr>
          <w:p w14:paraId="2CE4E454">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TP</w:t>
            </w:r>
          </w:p>
        </w:tc>
        <w:tc>
          <w:tcPr>
            <w:tcW w:w="912" w:type="dxa"/>
            <w:vAlign w:val="center"/>
          </w:tcPr>
          <w:p w14:paraId="5EEFE2C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0.3</w:t>
            </w:r>
          </w:p>
        </w:tc>
      </w:tr>
    </w:tbl>
    <w:p w14:paraId="7AABE77D">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废水污染物排放执行标准表</w:t>
      </w:r>
    </w:p>
    <w:tbl>
      <w:tblPr>
        <w:tblStyle w:val="52"/>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0"/>
        <w:gridCol w:w="1007"/>
        <w:gridCol w:w="814"/>
        <w:gridCol w:w="4639"/>
        <w:gridCol w:w="1073"/>
      </w:tblGrid>
      <w:tr w14:paraId="445E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vMerge w:val="restart"/>
            <w:noWrap/>
            <w:vAlign w:val="center"/>
          </w:tcPr>
          <w:p w14:paraId="208E86C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序号</w:t>
            </w:r>
          </w:p>
        </w:tc>
        <w:tc>
          <w:tcPr>
            <w:tcW w:w="1006" w:type="dxa"/>
            <w:vMerge w:val="restart"/>
            <w:noWrap/>
            <w:vAlign w:val="center"/>
          </w:tcPr>
          <w:p w14:paraId="5D04661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排放口编号</w:t>
            </w:r>
          </w:p>
        </w:tc>
        <w:tc>
          <w:tcPr>
            <w:tcW w:w="813" w:type="dxa"/>
            <w:vMerge w:val="restart"/>
            <w:noWrap/>
            <w:vAlign w:val="center"/>
          </w:tcPr>
          <w:p w14:paraId="5F062B6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污染物种类</w:t>
            </w:r>
          </w:p>
        </w:tc>
        <w:tc>
          <w:tcPr>
            <w:tcW w:w="5706" w:type="dxa"/>
            <w:gridSpan w:val="2"/>
            <w:noWrap/>
            <w:vAlign w:val="center"/>
          </w:tcPr>
          <w:p w14:paraId="004F1DA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国家或地方污染物排放标准及其他按规定商定的排放协议</w:t>
            </w:r>
          </w:p>
        </w:tc>
      </w:tr>
      <w:tr w14:paraId="6B20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vMerge w:val="continue"/>
            <w:noWrap/>
            <w:vAlign w:val="center"/>
          </w:tcPr>
          <w:p w14:paraId="101A6481">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006" w:type="dxa"/>
            <w:vMerge w:val="continue"/>
            <w:noWrap/>
            <w:vAlign w:val="center"/>
          </w:tcPr>
          <w:p w14:paraId="2D3FA00A">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3" w:type="dxa"/>
            <w:vMerge w:val="continue"/>
            <w:noWrap/>
            <w:vAlign w:val="center"/>
          </w:tcPr>
          <w:p w14:paraId="33EF764C">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4634" w:type="dxa"/>
            <w:noWrap/>
            <w:vAlign w:val="center"/>
          </w:tcPr>
          <w:p w14:paraId="7103C32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名称</w:t>
            </w:r>
          </w:p>
        </w:tc>
        <w:tc>
          <w:tcPr>
            <w:tcW w:w="1072" w:type="dxa"/>
            <w:noWrap/>
            <w:vAlign w:val="center"/>
          </w:tcPr>
          <w:p w14:paraId="135256F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浓度限值/（mg/L）</w:t>
            </w:r>
          </w:p>
        </w:tc>
      </w:tr>
      <w:tr w14:paraId="0EAE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5" w:hRule="atLeast"/>
          <w:jc w:val="center"/>
        </w:trPr>
        <w:tc>
          <w:tcPr>
            <w:tcW w:w="509" w:type="dxa"/>
            <w:vMerge w:val="restart"/>
            <w:noWrap/>
            <w:vAlign w:val="center"/>
          </w:tcPr>
          <w:p w14:paraId="79B05B85">
            <w:pPr>
              <w:keepNext w:val="0"/>
              <w:keepLines w:val="0"/>
              <w:widowControl/>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c>
          <w:tcPr>
            <w:tcW w:w="1006" w:type="dxa"/>
            <w:vMerge w:val="restart"/>
            <w:noWrap/>
            <w:vAlign w:val="center"/>
          </w:tcPr>
          <w:p w14:paraId="5D476F5C">
            <w:pPr>
              <w:keepNext w:val="0"/>
              <w:keepLines w:val="0"/>
              <w:widowControl/>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DW001</w:t>
            </w:r>
          </w:p>
        </w:tc>
        <w:tc>
          <w:tcPr>
            <w:tcW w:w="813" w:type="dxa"/>
            <w:shd w:val="clear" w:color="auto" w:fill="FFFFFF"/>
            <w:noWrap/>
            <w:vAlign w:val="center"/>
          </w:tcPr>
          <w:p w14:paraId="48C549A7">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pH值</w:t>
            </w:r>
          </w:p>
        </w:tc>
        <w:tc>
          <w:tcPr>
            <w:tcW w:w="4634" w:type="dxa"/>
            <w:vMerge w:val="restart"/>
            <w:noWrap/>
            <w:vAlign w:val="center"/>
          </w:tcPr>
          <w:p w14:paraId="22F7D63E">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《污水排入城镇下水道水质标准》（GB/T 31962-2015）</w:t>
            </w:r>
            <w:r>
              <w:rPr>
                <w:rFonts w:hint="eastAsia" w:ascii="Arial" w:hAnsi="Arial" w:eastAsia="宋体" w:cs="Arial"/>
                <w:szCs w:val="21"/>
                <w:lang w:val="en-US" w:eastAsia="zh-CN"/>
              </w:rPr>
              <w:t>B</w:t>
            </w:r>
            <w:r>
              <w:rPr>
                <w:rFonts w:hint="default" w:ascii="Arial" w:hAnsi="Arial" w:eastAsia="宋体" w:cs="Arial"/>
                <w:szCs w:val="21"/>
              </w:rPr>
              <w:t>级标准</w:t>
            </w:r>
          </w:p>
        </w:tc>
        <w:tc>
          <w:tcPr>
            <w:tcW w:w="1072" w:type="dxa"/>
            <w:shd w:val="clear" w:color="auto" w:fill="FFFFFF"/>
            <w:noWrap/>
            <w:vAlign w:val="center"/>
          </w:tcPr>
          <w:p w14:paraId="4E9A77D1">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6</w:t>
            </w:r>
            <w:r>
              <w:rPr>
                <w:rFonts w:hint="default" w:ascii="Arial" w:hAnsi="Arial" w:eastAsia="宋体" w:cs="Arial"/>
                <w:b w:val="0"/>
                <w:color w:val="000000"/>
                <w:szCs w:val="21"/>
                <w:lang w:val="en-US" w:eastAsia="zh-CN"/>
              </w:rPr>
              <w:t>.5</w:t>
            </w:r>
            <w:r>
              <w:rPr>
                <w:rFonts w:hint="default" w:ascii="Arial" w:hAnsi="Arial" w:eastAsia="宋体" w:cs="Arial"/>
                <w:b w:val="0"/>
                <w:color w:val="000000"/>
                <w:szCs w:val="21"/>
              </w:rPr>
              <w:t>-9</w:t>
            </w:r>
            <w:r>
              <w:rPr>
                <w:rFonts w:hint="default" w:ascii="Arial" w:hAnsi="Arial" w:eastAsia="宋体" w:cs="Arial"/>
                <w:b w:val="0"/>
                <w:color w:val="000000"/>
                <w:szCs w:val="21"/>
                <w:lang w:val="en-US" w:eastAsia="zh-CN"/>
              </w:rPr>
              <w:t>.5</w:t>
            </w:r>
          </w:p>
        </w:tc>
      </w:tr>
      <w:tr w14:paraId="7508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vMerge w:val="continue"/>
            <w:noWrap/>
            <w:vAlign w:val="center"/>
          </w:tcPr>
          <w:p w14:paraId="0F092927">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006" w:type="dxa"/>
            <w:vMerge w:val="continue"/>
            <w:noWrap/>
            <w:vAlign w:val="center"/>
          </w:tcPr>
          <w:p w14:paraId="4AF22CD2">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3" w:type="dxa"/>
            <w:shd w:val="clear" w:color="auto" w:fill="FFFFFF"/>
            <w:noWrap/>
            <w:vAlign w:val="center"/>
          </w:tcPr>
          <w:p w14:paraId="19E6B806">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BOD</w:t>
            </w:r>
            <w:r>
              <w:rPr>
                <w:rFonts w:hint="default" w:ascii="Arial" w:hAnsi="Arial" w:eastAsia="宋体" w:cs="Arial"/>
                <w:b w:val="0"/>
                <w:color w:val="000000"/>
                <w:szCs w:val="21"/>
                <w:vertAlign w:val="subscript"/>
              </w:rPr>
              <w:t>5</w:t>
            </w:r>
          </w:p>
        </w:tc>
        <w:tc>
          <w:tcPr>
            <w:tcW w:w="4634" w:type="dxa"/>
            <w:vMerge w:val="continue"/>
            <w:noWrap/>
            <w:vAlign w:val="center"/>
          </w:tcPr>
          <w:p w14:paraId="0EBEBEA9">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072" w:type="dxa"/>
            <w:shd w:val="clear" w:color="auto" w:fill="FFFFFF"/>
            <w:noWrap/>
            <w:vAlign w:val="center"/>
          </w:tcPr>
          <w:p w14:paraId="74C0B732">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250</w:t>
            </w:r>
          </w:p>
        </w:tc>
      </w:tr>
      <w:tr w14:paraId="2F2D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vMerge w:val="continue"/>
            <w:noWrap/>
            <w:vAlign w:val="center"/>
          </w:tcPr>
          <w:p w14:paraId="33952961">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1006" w:type="dxa"/>
            <w:vMerge w:val="continue"/>
            <w:noWrap/>
            <w:vAlign w:val="center"/>
          </w:tcPr>
          <w:p w14:paraId="1D46AB97">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3" w:type="dxa"/>
            <w:shd w:val="clear" w:color="auto" w:fill="FFFFFF"/>
            <w:noWrap/>
            <w:vAlign w:val="center"/>
          </w:tcPr>
          <w:p w14:paraId="0C74F631">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tc>
        <w:tc>
          <w:tcPr>
            <w:tcW w:w="4634" w:type="dxa"/>
            <w:vMerge w:val="continue"/>
            <w:noWrap/>
            <w:vAlign w:val="center"/>
          </w:tcPr>
          <w:p w14:paraId="5AF1F125">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072" w:type="dxa"/>
            <w:shd w:val="clear" w:color="auto" w:fill="FFFFFF"/>
            <w:noWrap/>
            <w:vAlign w:val="center"/>
          </w:tcPr>
          <w:p w14:paraId="6E7474B0">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500</w:t>
            </w:r>
          </w:p>
        </w:tc>
      </w:tr>
      <w:tr w14:paraId="333D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noWrap/>
            <w:vAlign w:val="center"/>
          </w:tcPr>
          <w:p w14:paraId="484E7F73">
            <w:pPr>
              <w:keepNext w:val="0"/>
              <w:keepLines w:val="0"/>
              <w:widowControl/>
              <w:suppressLineNumbers w:val="0"/>
              <w:spacing w:before="0" w:beforeAutospacing="0" w:after="0" w:afterAutospacing="0"/>
              <w:ind w:left="0" w:right="0"/>
              <w:jc w:val="center"/>
              <w:rPr>
                <w:rFonts w:hint="eastAsia" w:ascii="Arial" w:hAnsi="Arial" w:eastAsia="宋体" w:cs="Arial"/>
                <w:szCs w:val="21"/>
                <w:lang w:val="en-US" w:eastAsia="zh-CN"/>
              </w:rPr>
            </w:pPr>
            <w:r>
              <w:rPr>
                <w:rFonts w:hint="eastAsia" w:ascii="Arial" w:hAnsi="Arial" w:eastAsia="宋体" w:cs="Arial"/>
                <w:szCs w:val="21"/>
                <w:lang w:val="en-US" w:eastAsia="zh-CN"/>
              </w:rPr>
              <w:t>2</w:t>
            </w:r>
          </w:p>
        </w:tc>
        <w:tc>
          <w:tcPr>
            <w:tcW w:w="1006" w:type="dxa"/>
            <w:vMerge w:val="continue"/>
            <w:noWrap/>
            <w:vAlign w:val="center"/>
          </w:tcPr>
          <w:p w14:paraId="506FA094">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3" w:type="dxa"/>
            <w:shd w:val="clear" w:color="auto" w:fill="FFFFFF"/>
            <w:noWrap/>
            <w:vAlign w:val="center"/>
          </w:tcPr>
          <w:p w14:paraId="3B34EBED">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氨氮</w:t>
            </w:r>
          </w:p>
        </w:tc>
        <w:tc>
          <w:tcPr>
            <w:tcW w:w="4634" w:type="dxa"/>
            <w:vMerge w:val="continue"/>
            <w:noWrap/>
            <w:vAlign w:val="center"/>
          </w:tcPr>
          <w:p w14:paraId="17C84A31">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072" w:type="dxa"/>
            <w:shd w:val="clear" w:color="auto" w:fill="FFFFFF"/>
            <w:noWrap/>
            <w:vAlign w:val="center"/>
          </w:tcPr>
          <w:p w14:paraId="299A1E38">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45</w:t>
            </w:r>
          </w:p>
        </w:tc>
      </w:tr>
      <w:tr w14:paraId="737B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noWrap/>
            <w:vAlign w:val="center"/>
          </w:tcPr>
          <w:p w14:paraId="0F234219">
            <w:pPr>
              <w:keepNext w:val="0"/>
              <w:keepLines w:val="0"/>
              <w:widowControl/>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3</w:t>
            </w:r>
          </w:p>
        </w:tc>
        <w:tc>
          <w:tcPr>
            <w:tcW w:w="1006" w:type="dxa"/>
            <w:vMerge w:val="continue"/>
            <w:noWrap/>
            <w:vAlign w:val="center"/>
          </w:tcPr>
          <w:p w14:paraId="28107F5E">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3" w:type="dxa"/>
            <w:shd w:val="clear" w:color="auto" w:fill="FFFFFF"/>
            <w:noWrap/>
            <w:vAlign w:val="center"/>
          </w:tcPr>
          <w:p w14:paraId="73D3BDF7">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总氮</w:t>
            </w:r>
          </w:p>
        </w:tc>
        <w:tc>
          <w:tcPr>
            <w:tcW w:w="4634" w:type="dxa"/>
            <w:vMerge w:val="continue"/>
            <w:noWrap/>
            <w:vAlign w:val="center"/>
          </w:tcPr>
          <w:p w14:paraId="485071E6">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072" w:type="dxa"/>
            <w:shd w:val="clear" w:color="auto" w:fill="FFFFFF"/>
            <w:noWrap/>
            <w:vAlign w:val="center"/>
          </w:tcPr>
          <w:p w14:paraId="377AB3B0">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70</w:t>
            </w:r>
          </w:p>
        </w:tc>
      </w:tr>
      <w:tr w14:paraId="208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9" w:type="dxa"/>
            <w:noWrap/>
            <w:vAlign w:val="center"/>
          </w:tcPr>
          <w:p w14:paraId="5AB93EC8">
            <w:pPr>
              <w:keepNext w:val="0"/>
              <w:keepLines w:val="0"/>
              <w:widowControl/>
              <w:suppressLineNumbers w:val="0"/>
              <w:spacing w:before="0" w:beforeAutospacing="0" w:after="0" w:afterAutospacing="0"/>
              <w:ind w:left="0" w:right="0"/>
              <w:jc w:val="center"/>
              <w:rPr>
                <w:rFonts w:hint="eastAsia" w:ascii="Arial" w:hAnsi="Arial" w:eastAsia="宋体" w:cs="Arial"/>
                <w:szCs w:val="21"/>
                <w:lang w:val="en-US" w:eastAsia="zh-CN"/>
              </w:rPr>
            </w:pPr>
            <w:r>
              <w:rPr>
                <w:rFonts w:hint="eastAsia" w:ascii="Arial" w:hAnsi="Arial" w:eastAsia="宋体" w:cs="Arial"/>
                <w:szCs w:val="21"/>
                <w:lang w:val="en-US" w:eastAsia="zh-CN"/>
              </w:rPr>
              <w:t>4</w:t>
            </w:r>
          </w:p>
        </w:tc>
        <w:tc>
          <w:tcPr>
            <w:tcW w:w="1006" w:type="dxa"/>
            <w:vMerge w:val="continue"/>
            <w:noWrap/>
            <w:vAlign w:val="center"/>
          </w:tcPr>
          <w:p w14:paraId="38045967">
            <w:pPr>
              <w:keepNext w:val="0"/>
              <w:keepLines w:val="0"/>
              <w:widowControl/>
              <w:suppressLineNumbers w:val="0"/>
              <w:spacing w:before="0" w:beforeAutospacing="0" w:after="0" w:afterAutospacing="0"/>
              <w:ind w:left="0" w:right="0"/>
              <w:jc w:val="center"/>
              <w:rPr>
                <w:rFonts w:hint="default" w:ascii="Arial" w:hAnsi="Arial" w:eastAsia="宋体" w:cs="Arial"/>
                <w:szCs w:val="21"/>
              </w:rPr>
            </w:pPr>
          </w:p>
        </w:tc>
        <w:tc>
          <w:tcPr>
            <w:tcW w:w="813" w:type="dxa"/>
            <w:shd w:val="clear" w:color="auto" w:fill="FFFFFF"/>
            <w:noWrap/>
            <w:vAlign w:val="center"/>
          </w:tcPr>
          <w:p w14:paraId="1F0FC49A">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TP</w:t>
            </w:r>
          </w:p>
        </w:tc>
        <w:tc>
          <w:tcPr>
            <w:tcW w:w="4634" w:type="dxa"/>
            <w:vMerge w:val="continue"/>
            <w:noWrap/>
            <w:vAlign w:val="center"/>
          </w:tcPr>
          <w:p w14:paraId="6798109B">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072" w:type="dxa"/>
            <w:shd w:val="clear" w:color="auto" w:fill="FFFFFF"/>
            <w:noWrap/>
            <w:vAlign w:val="center"/>
          </w:tcPr>
          <w:p w14:paraId="7D0E4335">
            <w:pPr>
              <w:keepNext w:val="0"/>
              <w:keepLines w:val="0"/>
              <w:suppressLineNumbers w:val="0"/>
              <w:adjustRightInd w:val="0"/>
              <w:snapToGrid w:val="0"/>
              <w:spacing w:before="0" w:beforeAutospacing="0" w:after="0" w:afterAutospacing="0"/>
              <w:ind w:left="0" w:leftChars="0" w:right="0" w:rightChars="0"/>
              <w:jc w:val="center"/>
              <w:rPr>
                <w:rFonts w:hint="eastAsia"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8</w:t>
            </w:r>
          </w:p>
        </w:tc>
      </w:tr>
    </w:tbl>
    <w:p w14:paraId="17BC7914">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4.2.2.2水环境影响分析</w:t>
      </w:r>
    </w:p>
    <w:p w14:paraId="15713AC8">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w:t>
      </w:r>
      <w:r>
        <w:rPr>
          <w:rFonts w:hint="default" w:ascii="Arial" w:hAnsi="Arial" w:eastAsia="宋体" w:cs="Arial"/>
          <w:bCs/>
          <w:sz w:val="24"/>
          <w:szCs w:val="24"/>
          <w:lang w:val="en-US" w:eastAsia="zh-CN"/>
        </w:rPr>
        <w:t>1</w:t>
      </w:r>
      <w:r>
        <w:rPr>
          <w:rFonts w:hint="default" w:ascii="Arial" w:hAnsi="Arial" w:eastAsia="宋体" w:cs="Arial"/>
          <w:bCs/>
          <w:sz w:val="24"/>
          <w:szCs w:val="24"/>
        </w:rPr>
        <w:t>）项目废水纳管至污水处理厂可行性分析</w:t>
      </w:r>
    </w:p>
    <w:p w14:paraId="62336B0C">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bCs/>
          <w:sz w:val="24"/>
          <w:szCs w:val="24"/>
        </w:rPr>
      </w:pPr>
      <w:r>
        <w:rPr>
          <w:rFonts w:hint="default" w:ascii="Arial" w:hAnsi="Arial" w:eastAsia="宋体" w:cs="Arial"/>
          <w:bCs/>
          <w:sz w:val="24"/>
          <w:szCs w:val="24"/>
        </w:rPr>
        <w:t>1）废水接管可行性分析</w:t>
      </w:r>
    </w:p>
    <w:p w14:paraId="2F44BDB3">
      <w:pPr>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bCs/>
          <w:color w:val="auto"/>
          <w:sz w:val="24"/>
          <w:szCs w:val="24"/>
        </w:rPr>
      </w:pPr>
      <w:r>
        <w:rPr>
          <w:rFonts w:hint="default" w:ascii="Arial" w:hAnsi="Arial" w:eastAsia="宋体" w:cs="Arial"/>
          <w:bCs/>
          <w:sz w:val="24"/>
          <w:szCs w:val="24"/>
        </w:rPr>
        <w:t>项目拟</w:t>
      </w:r>
      <w:r>
        <w:rPr>
          <w:rFonts w:hint="default" w:ascii="Arial" w:hAnsi="Arial" w:eastAsia="宋体" w:cs="Arial"/>
          <w:bCs/>
          <w:color w:val="auto"/>
          <w:sz w:val="24"/>
          <w:szCs w:val="24"/>
        </w:rPr>
        <w:t>建地属于嘉兴市联合污水处理厂的服务范围。据调查，项目周边污水管网配套完善，项目废水可纳管。项目废水经处理达标后，接入周边道路污水收集系统，最终送嘉兴市联合污水处理厂统一处理。嘉兴市联合污水处理厂现总处理能力60万t/d，目前尚有一定的处理余量。因此项目能满足废水接管要求。</w:t>
      </w:r>
    </w:p>
    <w:p w14:paraId="56FB9FB7">
      <w:pPr>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bCs/>
          <w:color w:val="auto"/>
          <w:sz w:val="24"/>
          <w:szCs w:val="24"/>
        </w:rPr>
      </w:pPr>
      <w:r>
        <w:rPr>
          <w:rFonts w:hint="default" w:ascii="Arial" w:hAnsi="Arial" w:eastAsia="宋体" w:cs="Arial"/>
          <w:bCs/>
          <w:color w:val="auto"/>
          <w:sz w:val="24"/>
          <w:szCs w:val="24"/>
        </w:rPr>
        <w:t>2）废水排放对污水处理厂的冲击影响以及污水处理厂污水处理工艺可行性分析</w:t>
      </w:r>
    </w:p>
    <w:p w14:paraId="381D57B0">
      <w:pPr>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color w:val="auto"/>
          <w:sz w:val="24"/>
        </w:rPr>
      </w:pPr>
      <w:r>
        <w:rPr>
          <w:rFonts w:hint="default" w:ascii="Arial" w:hAnsi="Arial" w:eastAsia="宋体" w:cs="Arial"/>
          <w:color w:val="auto"/>
          <w:sz w:val="24"/>
        </w:rPr>
        <w:t>嘉兴市污水处理工程包括嘉兴市所属市、区、县、镇（乡）截污输送干管、沿途提升加压泵站、污水处理厂、排海管道及附属设施。设计规模近期为30万m</w:t>
      </w:r>
      <w:r>
        <w:rPr>
          <w:rFonts w:hint="default" w:ascii="Arial" w:hAnsi="Arial" w:eastAsia="宋体" w:cs="Arial"/>
          <w:color w:val="auto"/>
          <w:sz w:val="24"/>
          <w:vertAlign w:val="superscript"/>
        </w:rPr>
        <w:t>3</w:t>
      </w:r>
      <w:r>
        <w:rPr>
          <w:rFonts w:hint="default" w:ascii="Arial" w:hAnsi="Arial" w:eastAsia="宋体" w:cs="Arial"/>
          <w:color w:val="auto"/>
          <w:sz w:val="24"/>
        </w:rPr>
        <w:t>/d，二期（2010年）为30万m</w:t>
      </w:r>
      <w:r>
        <w:rPr>
          <w:rFonts w:hint="default" w:ascii="Arial" w:hAnsi="Arial" w:eastAsia="宋体" w:cs="Arial"/>
          <w:color w:val="auto"/>
          <w:sz w:val="24"/>
          <w:vertAlign w:val="superscript"/>
        </w:rPr>
        <w:t>3</w:t>
      </w:r>
      <w:r>
        <w:rPr>
          <w:rFonts w:hint="default" w:ascii="Arial" w:hAnsi="Arial" w:eastAsia="宋体" w:cs="Arial"/>
          <w:color w:val="auto"/>
          <w:sz w:val="24"/>
        </w:rPr>
        <w:t>/d，总设计规模60万m</w:t>
      </w:r>
      <w:r>
        <w:rPr>
          <w:rFonts w:hint="default" w:ascii="Arial" w:hAnsi="Arial" w:eastAsia="宋体" w:cs="Arial"/>
          <w:color w:val="auto"/>
          <w:sz w:val="24"/>
          <w:vertAlign w:val="superscript"/>
        </w:rPr>
        <w:t>3</w:t>
      </w:r>
      <w:r>
        <w:rPr>
          <w:rFonts w:hint="default" w:ascii="Arial" w:hAnsi="Arial" w:eastAsia="宋体" w:cs="Arial"/>
          <w:color w:val="auto"/>
          <w:sz w:val="24"/>
        </w:rPr>
        <w:t>/d。工程主要接纳的是嘉兴市区和所辖县市各城镇的废水以及部分乡镇的生活污水，另外还有服务范围内的重点工业污水。</w:t>
      </w:r>
    </w:p>
    <w:p w14:paraId="06C46C8B">
      <w:pPr>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bCs/>
          <w:sz w:val="24"/>
          <w:szCs w:val="24"/>
          <w:lang w:val="en-GB"/>
        </w:rPr>
      </w:pPr>
      <w:r>
        <w:rPr>
          <w:rFonts w:hint="default" w:ascii="Arial" w:hAnsi="Arial" w:eastAsia="宋体" w:cs="Arial"/>
          <w:bCs/>
          <w:color w:val="auto"/>
          <w:sz w:val="24"/>
          <w:szCs w:val="24"/>
        </w:rPr>
        <w:t>建设项目实施后，全厂接管废水量约</w:t>
      </w:r>
      <w:r>
        <w:rPr>
          <w:rFonts w:hint="default" w:ascii="Arial" w:hAnsi="Arial" w:eastAsia="宋体" w:cs="Arial"/>
          <w:bCs/>
          <w:color w:val="auto"/>
          <w:sz w:val="24"/>
          <w:szCs w:val="24"/>
          <w:lang w:val="en-US" w:eastAsia="zh-CN"/>
        </w:rPr>
        <w:t>1.2</w:t>
      </w:r>
      <w:r>
        <w:rPr>
          <w:rFonts w:hint="default" w:ascii="Arial" w:hAnsi="Arial" w:eastAsia="宋体" w:cs="Arial"/>
          <w:bCs/>
          <w:color w:val="auto"/>
          <w:sz w:val="24"/>
          <w:szCs w:val="24"/>
        </w:rPr>
        <w:t>t/d，所占负荷相对于嘉兴市联合污水处理厂（总处理能力为60万t/d）来说极小，约占</w:t>
      </w:r>
      <w:r>
        <w:rPr>
          <w:rFonts w:hint="default" w:ascii="Arial" w:hAnsi="Arial" w:eastAsia="宋体" w:cs="Arial"/>
          <w:bCs/>
          <w:color w:val="auto"/>
          <w:sz w:val="24"/>
          <w:szCs w:val="24"/>
          <w:lang w:val="en-US" w:eastAsia="zh-CN"/>
        </w:rPr>
        <w:t>0.0002</w:t>
      </w:r>
      <w:r>
        <w:rPr>
          <w:rFonts w:hint="default" w:ascii="Arial" w:hAnsi="Arial" w:eastAsia="宋体" w:cs="Arial"/>
          <w:bCs/>
          <w:color w:val="auto"/>
          <w:sz w:val="24"/>
          <w:szCs w:val="24"/>
        </w:rPr>
        <w:t>%，且项目废水水质较为简单，主要纳管污染物为COD、氨氮、SS，嘉兴市联合污水处理厂二期工程处理工艺采用</w:t>
      </w:r>
      <w:r>
        <w:rPr>
          <w:rFonts w:hint="default" w:ascii="Arial" w:hAnsi="Arial" w:eastAsia="宋体" w:cs="Arial"/>
          <w:color w:val="auto"/>
          <w:sz w:val="24"/>
        </w:rPr>
        <w:t>A</w:t>
      </w:r>
      <w:r>
        <w:rPr>
          <w:rFonts w:hint="default" w:ascii="Arial" w:hAnsi="Arial" w:eastAsia="宋体" w:cs="Arial"/>
          <w:color w:val="auto"/>
          <w:sz w:val="24"/>
          <w:vertAlign w:val="superscript"/>
        </w:rPr>
        <w:t>2</w:t>
      </w:r>
      <w:r>
        <w:rPr>
          <w:rFonts w:hint="default" w:ascii="Arial" w:hAnsi="Arial" w:eastAsia="宋体" w:cs="Arial"/>
          <w:color w:val="auto"/>
          <w:sz w:val="24"/>
        </w:rPr>
        <w:t>/O生反池+二沉池</w:t>
      </w:r>
      <w:r>
        <w:rPr>
          <w:rFonts w:hint="default" w:ascii="Arial" w:hAnsi="Arial" w:eastAsia="宋体" w:cs="Arial"/>
          <w:bCs/>
          <w:color w:val="auto"/>
          <w:sz w:val="24"/>
          <w:szCs w:val="24"/>
        </w:rPr>
        <w:t>工艺处理后经二氧化氯和臭氧组</w:t>
      </w:r>
      <w:r>
        <w:rPr>
          <w:rFonts w:hint="default" w:ascii="Arial" w:hAnsi="Arial" w:eastAsia="宋体" w:cs="Arial"/>
          <w:bCs/>
          <w:sz w:val="24"/>
          <w:szCs w:val="24"/>
        </w:rPr>
        <w:t>合消毒，针对本项目纳管的污水在处理工艺上是完全可行的，目前该污水处理厂处理水量还存在一定余量；同时项目废水水质经处理后能达到《污水综合排放标准》（GB 8978—1996）中三级纳</w:t>
      </w:r>
      <w:r>
        <w:rPr>
          <w:rFonts w:hint="default" w:ascii="Arial" w:hAnsi="Arial" w:eastAsia="宋体" w:cs="Arial"/>
          <w:bCs/>
          <w:sz w:val="24"/>
          <w:szCs w:val="24"/>
          <w:lang w:val="en-GB"/>
        </w:rPr>
        <w:t>管标准要求，且污水处理厂污水能稳定达标排放，废水纳管不会对该污水处理厂的正常运行带来影响和冲击。因此，本项目废水接管后不会对嘉兴市联合污水处理厂产生不良影响。</w:t>
      </w:r>
    </w:p>
    <w:p w14:paraId="4E3D806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
          <w:sz w:val="24"/>
          <w:szCs w:val="24"/>
        </w:rPr>
      </w:pPr>
      <w:r>
        <w:rPr>
          <w:rFonts w:hint="default" w:ascii="Arial" w:hAnsi="Arial" w:eastAsia="宋体" w:cs="Arial"/>
          <w:bCs/>
          <w:sz w:val="24"/>
          <w:szCs w:val="24"/>
        </w:rPr>
        <w:t>3）</w:t>
      </w:r>
      <w:r>
        <w:rPr>
          <w:rFonts w:hint="default" w:ascii="Arial" w:hAnsi="Arial" w:eastAsia="宋体" w:cs="Arial"/>
          <w:b/>
          <w:sz w:val="24"/>
          <w:szCs w:val="24"/>
        </w:rPr>
        <w:t>污水处理厂达标性分析：</w:t>
      </w:r>
    </w:p>
    <w:p w14:paraId="5E13F31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highlight w:val="none"/>
        </w:rPr>
      </w:pPr>
      <w:r>
        <w:rPr>
          <w:rFonts w:hint="default" w:ascii="Arial" w:hAnsi="Arial" w:eastAsia="宋体" w:cs="Arial"/>
          <w:sz w:val="24"/>
          <w:szCs w:val="24"/>
          <w:highlight w:val="none"/>
        </w:rPr>
        <w:t>根据浙江省污染源自动监控信息管理平台，嘉兴市联合污水处理厂202</w:t>
      </w:r>
      <w:r>
        <w:rPr>
          <w:rFonts w:hint="eastAsia" w:ascii="Arial" w:hAnsi="Arial" w:eastAsia="宋体" w:cs="Arial"/>
          <w:sz w:val="24"/>
          <w:szCs w:val="24"/>
          <w:highlight w:val="none"/>
          <w:lang w:val="en-US" w:eastAsia="zh-CN"/>
        </w:rPr>
        <w:t>5</w:t>
      </w:r>
      <w:r>
        <w:rPr>
          <w:rFonts w:hint="default" w:ascii="Arial" w:hAnsi="Arial" w:eastAsia="宋体" w:cs="Arial"/>
          <w:sz w:val="24"/>
          <w:szCs w:val="24"/>
          <w:highlight w:val="none"/>
        </w:rPr>
        <w:t>年</w:t>
      </w:r>
      <w:r>
        <w:rPr>
          <w:rFonts w:hint="eastAsia" w:ascii="Arial" w:hAnsi="Arial" w:eastAsia="宋体" w:cs="Arial"/>
          <w:sz w:val="24"/>
          <w:szCs w:val="24"/>
          <w:highlight w:val="none"/>
          <w:lang w:val="en-US" w:eastAsia="zh-CN"/>
        </w:rPr>
        <w:t>7</w:t>
      </w:r>
      <w:r>
        <w:rPr>
          <w:rFonts w:hint="default" w:ascii="Arial" w:hAnsi="Arial" w:eastAsia="宋体" w:cs="Arial"/>
          <w:sz w:val="24"/>
          <w:szCs w:val="24"/>
          <w:highlight w:val="none"/>
        </w:rPr>
        <w:t>月</w:t>
      </w:r>
      <w:r>
        <w:rPr>
          <w:rFonts w:hint="eastAsia" w:ascii="Arial" w:hAnsi="Arial" w:eastAsia="宋体" w:cs="Arial"/>
          <w:sz w:val="24"/>
          <w:szCs w:val="24"/>
          <w:highlight w:val="none"/>
          <w:lang w:val="en-US" w:eastAsia="zh-CN"/>
        </w:rPr>
        <w:t>30</w:t>
      </w:r>
      <w:r>
        <w:rPr>
          <w:rFonts w:hint="default" w:ascii="Arial" w:hAnsi="Arial" w:eastAsia="宋体" w:cs="Arial"/>
          <w:sz w:val="24"/>
          <w:szCs w:val="24"/>
          <w:highlight w:val="none"/>
        </w:rPr>
        <w:t>日~</w:t>
      </w:r>
      <w:r>
        <w:rPr>
          <w:rFonts w:hint="eastAsia" w:ascii="Arial" w:hAnsi="Arial" w:eastAsia="宋体" w:cs="Arial"/>
          <w:sz w:val="24"/>
          <w:szCs w:val="24"/>
          <w:highlight w:val="none"/>
          <w:lang w:val="en-US" w:eastAsia="zh-CN"/>
        </w:rPr>
        <w:t>8</w:t>
      </w:r>
      <w:r>
        <w:rPr>
          <w:rFonts w:hint="default" w:ascii="Arial" w:hAnsi="Arial" w:eastAsia="宋体" w:cs="Arial"/>
          <w:sz w:val="24"/>
          <w:szCs w:val="24"/>
          <w:highlight w:val="none"/>
        </w:rPr>
        <w:t>月</w:t>
      </w:r>
      <w:r>
        <w:rPr>
          <w:rFonts w:hint="eastAsia" w:ascii="Arial" w:hAnsi="Arial" w:eastAsia="宋体" w:cs="Arial"/>
          <w:sz w:val="24"/>
          <w:szCs w:val="24"/>
          <w:highlight w:val="none"/>
          <w:lang w:val="en-US" w:eastAsia="zh-CN"/>
        </w:rPr>
        <w:t>5</w:t>
      </w:r>
      <w:r>
        <w:rPr>
          <w:rFonts w:hint="default" w:ascii="Arial" w:hAnsi="Arial" w:eastAsia="宋体" w:cs="Arial"/>
          <w:sz w:val="24"/>
          <w:szCs w:val="24"/>
          <w:highlight w:val="none"/>
        </w:rPr>
        <w:t>日废水监测数据见下表4-</w:t>
      </w:r>
      <w:r>
        <w:rPr>
          <w:rFonts w:hint="eastAsia" w:ascii="Arial" w:hAnsi="Arial" w:eastAsia="宋体" w:cs="Arial"/>
          <w:sz w:val="24"/>
          <w:szCs w:val="24"/>
          <w:highlight w:val="none"/>
          <w:lang w:val="en-US" w:eastAsia="zh-CN"/>
        </w:rPr>
        <w:t>13</w:t>
      </w:r>
      <w:r>
        <w:rPr>
          <w:rFonts w:hint="default" w:ascii="Arial" w:hAnsi="Arial" w:eastAsia="宋体" w:cs="Arial"/>
          <w:sz w:val="24"/>
          <w:szCs w:val="24"/>
          <w:highlight w:val="none"/>
        </w:rPr>
        <w:t>。</w:t>
      </w:r>
    </w:p>
    <w:p w14:paraId="11CB80AC">
      <w:pPr>
        <w:pStyle w:val="76"/>
        <w:numPr>
          <w:ilvl w:val="3"/>
          <w:numId w:val="5"/>
        </w:numPr>
        <w:ind w:left="777" w:leftChars="0" w:firstLineChars="0"/>
        <w:jc w:val="center"/>
        <w:outlineLvl w:val="3"/>
        <w:rPr>
          <w:rFonts w:hint="default" w:ascii="Arial" w:hAnsi="Arial" w:eastAsia="宋体" w:cs="Arial"/>
          <w:b/>
          <w:bCs/>
          <w:sz w:val="24"/>
          <w:szCs w:val="24"/>
          <w:highlight w:val="none"/>
        </w:rPr>
      </w:pPr>
      <w:r>
        <w:rPr>
          <w:rFonts w:hint="default" w:ascii="Arial" w:hAnsi="Arial" w:eastAsia="宋体" w:cs="Arial"/>
          <w:b/>
          <w:bCs/>
          <w:sz w:val="24"/>
          <w:szCs w:val="24"/>
          <w:highlight w:val="none"/>
        </w:rPr>
        <w:t xml:space="preserve">  废水总排口监测结果       单位：mg/L</w:t>
      </w:r>
      <w:r>
        <w:rPr>
          <w:rFonts w:hint="default" w:ascii="Arial" w:hAnsi="Arial" w:eastAsia="宋体" w:cs="Arial"/>
          <w:b/>
          <w:bCs/>
          <w:sz w:val="24"/>
          <w:szCs w:val="24"/>
          <w:highlight w:val="none"/>
          <w:lang w:eastAsia="zh-CN"/>
        </w:rPr>
        <w:t>（</w:t>
      </w:r>
      <w:r>
        <w:rPr>
          <w:rFonts w:hint="default" w:ascii="Arial" w:hAnsi="Arial" w:eastAsia="宋体" w:cs="Arial"/>
          <w:b/>
          <w:bCs/>
          <w:color w:val="000000" w:themeColor="text1"/>
          <w:lang w:val="en-US" w:eastAsia="zh-CN"/>
          <w14:textFill>
            <w14:solidFill>
              <w14:schemeClr w14:val="tx1"/>
            </w14:solidFill>
          </w14:textFill>
        </w:rPr>
        <w:t>pH除外</w:t>
      </w:r>
      <w:r>
        <w:rPr>
          <w:rFonts w:hint="default" w:ascii="Arial" w:hAnsi="Arial" w:eastAsia="宋体" w:cs="Arial"/>
          <w:b/>
          <w:bCs/>
          <w:sz w:val="24"/>
          <w:szCs w:val="24"/>
          <w:highlight w:val="none"/>
          <w:lang w:eastAsia="zh-CN"/>
        </w:rPr>
        <w:t>）</w:t>
      </w:r>
    </w:p>
    <w:tbl>
      <w:tblPr>
        <w:tblStyle w:val="5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13"/>
        <w:gridCol w:w="1575"/>
        <w:gridCol w:w="1482"/>
        <w:gridCol w:w="992"/>
        <w:gridCol w:w="1138"/>
        <w:gridCol w:w="1138"/>
      </w:tblGrid>
      <w:tr w14:paraId="1282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613" w:type="dxa"/>
            <w:shd w:val="clear" w:color="auto" w:fill="auto"/>
            <w:vAlign w:val="center"/>
          </w:tcPr>
          <w:p w14:paraId="7161856B">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监测时间</w:t>
            </w:r>
          </w:p>
        </w:tc>
        <w:tc>
          <w:tcPr>
            <w:tcW w:w="1575" w:type="dxa"/>
            <w:shd w:val="clear" w:color="auto" w:fill="auto"/>
            <w:vAlign w:val="center"/>
          </w:tcPr>
          <w:p w14:paraId="371815FA">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pH</w:t>
            </w:r>
            <w:r>
              <w:rPr>
                <w:rFonts w:hint="eastAsia" w:ascii="宋体" w:hAnsi="宋体" w:eastAsia="宋体" w:cs="宋体"/>
                <w:color w:val="000000"/>
                <w:kern w:val="2"/>
                <w:sz w:val="21"/>
                <w:szCs w:val="21"/>
                <w:lang w:val="en-US" w:eastAsia="zh-CN" w:bidi="ar"/>
              </w:rPr>
              <w:t>值</w:t>
            </w:r>
          </w:p>
        </w:tc>
        <w:tc>
          <w:tcPr>
            <w:tcW w:w="1482" w:type="dxa"/>
            <w:shd w:val="clear" w:color="auto" w:fill="auto"/>
            <w:vAlign w:val="center"/>
          </w:tcPr>
          <w:p w14:paraId="6B5E20A8">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化学需氧量</w:t>
            </w:r>
          </w:p>
        </w:tc>
        <w:tc>
          <w:tcPr>
            <w:tcW w:w="992" w:type="dxa"/>
            <w:shd w:val="clear" w:color="auto" w:fill="auto"/>
            <w:vAlign w:val="center"/>
          </w:tcPr>
          <w:p w14:paraId="323471C2">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氨氮</w:t>
            </w:r>
          </w:p>
        </w:tc>
        <w:tc>
          <w:tcPr>
            <w:tcW w:w="1138" w:type="dxa"/>
            <w:shd w:val="clear" w:color="auto" w:fill="auto"/>
            <w:vAlign w:val="center"/>
          </w:tcPr>
          <w:p w14:paraId="5F9BE35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总磷</w:t>
            </w:r>
          </w:p>
        </w:tc>
        <w:tc>
          <w:tcPr>
            <w:tcW w:w="1138" w:type="dxa"/>
            <w:shd w:val="clear" w:color="auto" w:fill="auto"/>
            <w:vAlign w:val="center"/>
          </w:tcPr>
          <w:p w14:paraId="7ECFA778">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总氮</w:t>
            </w:r>
          </w:p>
        </w:tc>
      </w:tr>
      <w:tr w14:paraId="23C6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2844C11A">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2025.07.30</w:t>
            </w:r>
          </w:p>
        </w:tc>
        <w:tc>
          <w:tcPr>
            <w:tcW w:w="1575" w:type="dxa"/>
            <w:shd w:val="clear" w:color="auto" w:fill="auto"/>
            <w:vAlign w:val="center"/>
          </w:tcPr>
          <w:p w14:paraId="255F3FD2">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6.88</w:t>
            </w:r>
          </w:p>
        </w:tc>
        <w:tc>
          <w:tcPr>
            <w:tcW w:w="1482" w:type="dxa"/>
            <w:shd w:val="clear" w:color="auto" w:fill="auto"/>
            <w:vAlign w:val="center"/>
          </w:tcPr>
          <w:p w14:paraId="599F382B">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13.89</w:t>
            </w:r>
          </w:p>
        </w:tc>
        <w:tc>
          <w:tcPr>
            <w:tcW w:w="992" w:type="dxa"/>
            <w:shd w:val="clear" w:color="auto" w:fill="auto"/>
            <w:vAlign w:val="center"/>
          </w:tcPr>
          <w:p w14:paraId="00C9F211">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0.01</w:t>
            </w:r>
          </w:p>
        </w:tc>
        <w:tc>
          <w:tcPr>
            <w:tcW w:w="1138" w:type="dxa"/>
            <w:shd w:val="clear" w:color="auto" w:fill="auto"/>
            <w:vAlign w:val="center"/>
          </w:tcPr>
          <w:p w14:paraId="25BC4E23">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0.1658</w:t>
            </w:r>
          </w:p>
        </w:tc>
        <w:tc>
          <w:tcPr>
            <w:tcW w:w="1138" w:type="dxa"/>
            <w:shd w:val="clear" w:color="auto" w:fill="auto"/>
            <w:vAlign w:val="center"/>
          </w:tcPr>
          <w:p w14:paraId="19AFDA80">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8.897</w:t>
            </w:r>
          </w:p>
        </w:tc>
      </w:tr>
      <w:tr w14:paraId="069E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1CDCFDA3">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2025.07.31</w:t>
            </w:r>
          </w:p>
        </w:tc>
        <w:tc>
          <w:tcPr>
            <w:tcW w:w="1575" w:type="dxa"/>
            <w:shd w:val="clear" w:color="auto" w:fill="auto"/>
            <w:vAlign w:val="center"/>
          </w:tcPr>
          <w:p w14:paraId="1599ECBD">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6.83</w:t>
            </w:r>
          </w:p>
        </w:tc>
        <w:tc>
          <w:tcPr>
            <w:tcW w:w="1482" w:type="dxa"/>
            <w:shd w:val="clear" w:color="auto" w:fill="auto"/>
            <w:vAlign w:val="center"/>
          </w:tcPr>
          <w:p w14:paraId="79251B11">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13.31</w:t>
            </w:r>
          </w:p>
        </w:tc>
        <w:tc>
          <w:tcPr>
            <w:tcW w:w="992" w:type="dxa"/>
            <w:shd w:val="clear" w:color="auto" w:fill="auto"/>
            <w:vAlign w:val="center"/>
          </w:tcPr>
          <w:p w14:paraId="22D29EDF">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0.01</w:t>
            </w:r>
          </w:p>
        </w:tc>
        <w:tc>
          <w:tcPr>
            <w:tcW w:w="1138" w:type="dxa"/>
            <w:shd w:val="clear" w:color="auto" w:fill="auto"/>
            <w:vAlign w:val="center"/>
          </w:tcPr>
          <w:p w14:paraId="365F8D23">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0.1916</w:t>
            </w:r>
          </w:p>
        </w:tc>
        <w:tc>
          <w:tcPr>
            <w:tcW w:w="1138" w:type="dxa"/>
            <w:shd w:val="clear" w:color="auto" w:fill="auto"/>
            <w:vAlign w:val="center"/>
          </w:tcPr>
          <w:p w14:paraId="7BF56388">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8.331</w:t>
            </w:r>
          </w:p>
        </w:tc>
      </w:tr>
      <w:tr w14:paraId="2994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58ADC2D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2025.08.01</w:t>
            </w:r>
          </w:p>
        </w:tc>
        <w:tc>
          <w:tcPr>
            <w:tcW w:w="1575" w:type="dxa"/>
            <w:shd w:val="clear" w:color="auto" w:fill="auto"/>
            <w:vAlign w:val="center"/>
          </w:tcPr>
          <w:p w14:paraId="765F26A9">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6.81</w:t>
            </w:r>
          </w:p>
        </w:tc>
        <w:tc>
          <w:tcPr>
            <w:tcW w:w="1482" w:type="dxa"/>
            <w:shd w:val="clear" w:color="auto" w:fill="auto"/>
            <w:vAlign w:val="center"/>
          </w:tcPr>
          <w:p w14:paraId="15F5248D">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10.04</w:t>
            </w:r>
          </w:p>
        </w:tc>
        <w:tc>
          <w:tcPr>
            <w:tcW w:w="992" w:type="dxa"/>
            <w:shd w:val="clear" w:color="auto" w:fill="auto"/>
            <w:vAlign w:val="center"/>
          </w:tcPr>
          <w:p w14:paraId="580FD11A">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0.0152</w:t>
            </w:r>
          </w:p>
        </w:tc>
        <w:tc>
          <w:tcPr>
            <w:tcW w:w="1138" w:type="dxa"/>
            <w:shd w:val="clear" w:color="auto" w:fill="auto"/>
            <w:vAlign w:val="center"/>
          </w:tcPr>
          <w:p w14:paraId="7D0637BD">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0.1615</w:t>
            </w:r>
          </w:p>
        </w:tc>
        <w:tc>
          <w:tcPr>
            <w:tcW w:w="1138" w:type="dxa"/>
            <w:shd w:val="clear" w:color="auto" w:fill="auto"/>
            <w:vAlign w:val="center"/>
          </w:tcPr>
          <w:p w14:paraId="0D967D33">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6.444</w:t>
            </w:r>
          </w:p>
        </w:tc>
      </w:tr>
      <w:tr w14:paraId="299A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60BB4AFB">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2025.08.02</w:t>
            </w:r>
          </w:p>
        </w:tc>
        <w:tc>
          <w:tcPr>
            <w:tcW w:w="1575" w:type="dxa"/>
            <w:shd w:val="clear" w:color="auto" w:fill="auto"/>
            <w:vAlign w:val="center"/>
          </w:tcPr>
          <w:p w14:paraId="271CCE7F">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6.92</w:t>
            </w:r>
          </w:p>
        </w:tc>
        <w:tc>
          <w:tcPr>
            <w:tcW w:w="1482" w:type="dxa"/>
            <w:shd w:val="clear" w:color="auto" w:fill="auto"/>
            <w:vAlign w:val="center"/>
          </w:tcPr>
          <w:p w14:paraId="4C2A8716">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10.42</w:t>
            </w:r>
          </w:p>
        </w:tc>
        <w:tc>
          <w:tcPr>
            <w:tcW w:w="992" w:type="dxa"/>
            <w:shd w:val="clear" w:color="auto" w:fill="auto"/>
            <w:vAlign w:val="center"/>
          </w:tcPr>
          <w:p w14:paraId="20BA68A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0.0154</w:t>
            </w:r>
          </w:p>
        </w:tc>
        <w:tc>
          <w:tcPr>
            <w:tcW w:w="1138" w:type="dxa"/>
            <w:shd w:val="clear" w:color="auto" w:fill="auto"/>
            <w:vAlign w:val="center"/>
          </w:tcPr>
          <w:p w14:paraId="5F753C53">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0.1716</w:t>
            </w:r>
          </w:p>
        </w:tc>
        <w:tc>
          <w:tcPr>
            <w:tcW w:w="1138" w:type="dxa"/>
            <w:shd w:val="clear" w:color="auto" w:fill="auto"/>
            <w:vAlign w:val="center"/>
          </w:tcPr>
          <w:p w14:paraId="140FE7B2">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5.681</w:t>
            </w:r>
          </w:p>
        </w:tc>
      </w:tr>
      <w:tr w14:paraId="00EA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6712E2B1">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2025.08.03</w:t>
            </w:r>
          </w:p>
        </w:tc>
        <w:tc>
          <w:tcPr>
            <w:tcW w:w="1575" w:type="dxa"/>
            <w:shd w:val="clear" w:color="auto" w:fill="auto"/>
            <w:vAlign w:val="center"/>
          </w:tcPr>
          <w:p w14:paraId="11A4414E">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6.95</w:t>
            </w:r>
          </w:p>
        </w:tc>
        <w:tc>
          <w:tcPr>
            <w:tcW w:w="1482" w:type="dxa"/>
            <w:shd w:val="clear" w:color="auto" w:fill="auto"/>
            <w:vAlign w:val="center"/>
          </w:tcPr>
          <w:p w14:paraId="61530AAB">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11.95</w:t>
            </w:r>
          </w:p>
        </w:tc>
        <w:tc>
          <w:tcPr>
            <w:tcW w:w="992" w:type="dxa"/>
            <w:shd w:val="clear" w:color="auto" w:fill="auto"/>
            <w:vAlign w:val="center"/>
          </w:tcPr>
          <w:p w14:paraId="34D89A69">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0.0806</w:t>
            </w:r>
          </w:p>
        </w:tc>
        <w:tc>
          <w:tcPr>
            <w:tcW w:w="1138" w:type="dxa"/>
            <w:shd w:val="clear" w:color="auto" w:fill="auto"/>
            <w:vAlign w:val="center"/>
          </w:tcPr>
          <w:p w14:paraId="72E25E7C">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0.2171</w:t>
            </w:r>
          </w:p>
        </w:tc>
        <w:tc>
          <w:tcPr>
            <w:tcW w:w="1138" w:type="dxa"/>
            <w:shd w:val="clear" w:color="auto" w:fill="auto"/>
            <w:vAlign w:val="center"/>
          </w:tcPr>
          <w:p w14:paraId="54DCDF96">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6.371</w:t>
            </w:r>
          </w:p>
        </w:tc>
      </w:tr>
      <w:tr w14:paraId="18C6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22EA118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2025.08.04</w:t>
            </w:r>
          </w:p>
        </w:tc>
        <w:tc>
          <w:tcPr>
            <w:tcW w:w="1575" w:type="dxa"/>
            <w:shd w:val="clear" w:color="auto" w:fill="auto"/>
            <w:vAlign w:val="center"/>
          </w:tcPr>
          <w:p w14:paraId="57B73CC8">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7.05</w:t>
            </w:r>
          </w:p>
        </w:tc>
        <w:tc>
          <w:tcPr>
            <w:tcW w:w="1482" w:type="dxa"/>
            <w:shd w:val="clear" w:color="auto" w:fill="auto"/>
            <w:vAlign w:val="center"/>
          </w:tcPr>
          <w:p w14:paraId="3941CB0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12.51</w:t>
            </w:r>
          </w:p>
        </w:tc>
        <w:tc>
          <w:tcPr>
            <w:tcW w:w="992" w:type="dxa"/>
            <w:shd w:val="clear" w:color="auto" w:fill="auto"/>
            <w:vAlign w:val="center"/>
          </w:tcPr>
          <w:p w14:paraId="462A15A6">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0.0105</w:t>
            </w:r>
          </w:p>
        </w:tc>
        <w:tc>
          <w:tcPr>
            <w:tcW w:w="1138" w:type="dxa"/>
            <w:shd w:val="clear" w:color="auto" w:fill="auto"/>
            <w:vAlign w:val="center"/>
          </w:tcPr>
          <w:p w14:paraId="780CB55B">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0.1792</w:t>
            </w:r>
          </w:p>
        </w:tc>
        <w:tc>
          <w:tcPr>
            <w:tcW w:w="1138" w:type="dxa"/>
            <w:shd w:val="clear" w:color="auto" w:fill="auto"/>
            <w:vAlign w:val="center"/>
          </w:tcPr>
          <w:p w14:paraId="7D4ECCAF">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8.264</w:t>
            </w:r>
          </w:p>
        </w:tc>
      </w:tr>
      <w:tr w14:paraId="466B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276EE24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2025.08.05</w:t>
            </w:r>
          </w:p>
        </w:tc>
        <w:tc>
          <w:tcPr>
            <w:tcW w:w="1575" w:type="dxa"/>
            <w:shd w:val="clear" w:color="auto" w:fill="auto"/>
            <w:vAlign w:val="center"/>
          </w:tcPr>
          <w:p w14:paraId="77463359">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7.05</w:t>
            </w:r>
          </w:p>
        </w:tc>
        <w:tc>
          <w:tcPr>
            <w:tcW w:w="1482" w:type="dxa"/>
            <w:shd w:val="clear" w:color="auto" w:fill="auto"/>
            <w:vAlign w:val="center"/>
          </w:tcPr>
          <w:p w14:paraId="5B7A4424">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12.27</w:t>
            </w:r>
          </w:p>
        </w:tc>
        <w:tc>
          <w:tcPr>
            <w:tcW w:w="992" w:type="dxa"/>
            <w:shd w:val="clear" w:color="auto" w:fill="auto"/>
            <w:vAlign w:val="center"/>
          </w:tcPr>
          <w:p w14:paraId="0C3FF19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0.01</w:t>
            </w:r>
          </w:p>
        </w:tc>
        <w:tc>
          <w:tcPr>
            <w:tcW w:w="1138" w:type="dxa"/>
            <w:shd w:val="clear" w:color="auto" w:fill="auto"/>
            <w:vAlign w:val="center"/>
          </w:tcPr>
          <w:p w14:paraId="220107D8">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0.1666</w:t>
            </w:r>
          </w:p>
        </w:tc>
        <w:tc>
          <w:tcPr>
            <w:tcW w:w="1138" w:type="dxa"/>
            <w:shd w:val="clear" w:color="auto" w:fill="auto"/>
            <w:vAlign w:val="center"/>
          </w:tcPr>
          <w:p w14:paraId="36A4F699">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9.112</w:t>
            </w:r>
          </w:p>
        </w:tc>
      </w:tr>
      <w:tr w14:paraId="6B87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5D43A01D">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浓度限值</w:t>
            </w:r>
          </w:p>
        </w:tc>
        <w:tc>
          <w:tcPr>
            <w:tcW w:w="1575" w:type="dxa"/>
            <w:shd w:val="clear" w:color="auto" w:fill="auto"/>
            <w:vAlign w:val="center"/>
          </w:tcPr>
          <w:p w14:paraId="49451585">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6~9</w:t>
            </w:r>
          </w:p>
        </w:tc>
        <w:tc>
          <w:tcPr>
            <w:tcW w:w="1482" w:type="dxa"/>
            <w:shd w:val="clear" w:color="auto" w:fill="auto"/>
            <w:vAlign w:val="center"/>
          </w:tcPr>
          <w:p w14:paraId="73089B63">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40</w:t>
            </w:r>
          </w:p>
        </w:tc>
        <w:tc>
          <w:tcPr>
            <w:tcW w:w="992" w:type="dxa"/>
            <w:shd w:val="clear" w:color="auto" w:fill="auto"/>
            <w:vAlign w:val="center"/>
          </w:tcPr>
          <w:p w14:paraId="6526E98B">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4</w:t>
            </w:r>
          </w:p>
        </w:tc>
        <w:tc>
          <w:tcPr>
            <w:tcW w:w="1138" w:type="dxa"/>
            <w:shd w:val="clear" w:color="auto" w:fill="auto"/>
            <w:vAlign w:val="center"/>
          </w:tcPr>
          <w:p w14:paraId="2C650D41">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0.3</w:t>
            </w:r>
          </w:p>
        </w:tc>
        <w:tc>
          <w:tcPr>
            <w:tcW w:w="1138" w:type="dxa"/>
            <w:shd w:val="clear" w:color="auto" w:fill="auto"/>
            <w:vAlign w:val="center"/>
          </w:tcPr>
          <w:p w14:paraId="7EFCD86F">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default" w:ascii="Arial" w:hAnsi="Arial" w:eastAsia="宋体" w:cs="Arial"/>
                <w:color w:val="000000"/>
                <w:kern w:val="2"/>
                <w:sz w:val="21"/>
                <w:szCs w:val="21"/>
                <w:lang w:val="en-US" w:eastAsia="zh-CN" w:bidi="ar"/>
              </w:rPr>
              <w:t>15</w:t>
            </w:r>
          </w:p>
        </w:tc>
      </w:tr>
      <w:tr w14:paraId="42C2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1613" w:type="dxa"/>
            <w:shd w:val="clear" w:color="auto" w:fill="auto"/>
            <w:vAlign w:val="center"/>
          </w:tcPr>
          <w:p w14:paraId="03E26F4A">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是否超标</w:t>
            </w:r>
          </w:p>
        </w:tc>
        <w:tc>
          <w:tcPr>
            <w:tcW w:w="1575" w:type="dxa"/>
            <w:shd w:val="clear" w:color="auto" w:fill="auto"/>
            <w:vAlign w:val="center"/>
          </w:tcPr>
          <w:p w14:paraId="433A5C37">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否</w:t>
            </w:r>
          </w:p>
        </w:tc>
        <w:tc>
          <w:tcPr>
            <w:tcW w:w="1482" w:type="dxa"/>
            <w:shd w:val="clear" w:color="auto" w:fill="auto"/>
            <w:vAlign w:val="center"/>
          </w:tcPr>
          <w:p w14:paraId="7DB05E04">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否</w:t>
            </w:r>
          </w:p>
        </w:tc>
        <w:tc>
          <w:tcPr>
            <w:tcW w:w="992" w:type="dxa"/>
            <w:shd w:val="clear" w:color="auto" w:fill="auto"/>
            <w:vAlign w:val="center"/>
          </w:tcPr>
          <w:p w14:paraId="0098F914">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否</w:t>
            </w:r>
          </w:p>
        </w:tc>
        <w:tc>
          <w:tcPr>
            <w:tcW w:w="1138" w:type="dxa"/>
            <w:shd w:val="clear" w:color="auto" w:fill="auto"/>
            <w:vAlign w:val="center"/>
          </w:tcPr>
          <w:p w14:paraId="2F66B19E">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否</w:t>
            </w:r>
          </w:p>
        </w:tc>
        <w:tc>
          <w:tcPr>
            <w:tcW w:w="1138" w:type="dxa"/>
            <w:shd w:val="clear" w:color="auto" w:fill="auto"/>
            <w:vAlign w:val="center"/>
          </w:tcPr>
          <w:p w14:paraId="2CC5EE04">
            <w:pPr>
              <w:keepNext w:val="0"/>
              <w:keepLines w:val="0"/>
              <w:widowControl w:val="0"/>
              <w:suppressLineNumbers w:val="0"/>
              <w:spacing w:before="0" w:beforeAutospacing="0" w:after="0" w:afterAutospacing="0"/>
              <w:ind w:left="105" w:leftChars="50" w:right="0" w:rightChars="0"/>
              <w:jc w:val="center"/>
              <w:rPr>
                <w:rFonts w:hint="default" w:ascii="Arial" w:hAnsi="Arial" w:eastAsia="宋体" w:cs="Arial"/>
                <w:color w:val="000000"/>
                <w:kern w:val="2"/>
                <w:sz w:val="21"/>
                <w:szCs w:val="21"/>
              </w:rPr>
            </w:pPr>
            <w:r>
              <w:rPr>
                <w:rFonts w:hint="eastAsia" w:ascii="宋体" w:hAnsi="宋体" w:eastAsia="宋体" w:cs="宋体"/>
                <w:color w:val="000000"/>
                <w:kern w:val="2"/>
                <w:sz w:val="21"/>
                <w:szCs w:val="21"/>
                <w:lang w:val="en-US" w:eastAsia="zh-CN" w:bidi="ar"/>
              </w:rPr>
              <w:t>否</w:t>
            </w:r>
          </w:p>
        </w:tc>
      </w:tr>
    </w:tbl>
    <w:p w14:paraId="148407AC">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嘉兴市联合污水处理厂出水水质中pH范围均符合《城镇污水处理厂污染物排放标准》中的一级A标准排放限值；COD</w:t>
      </w:r>
      <w:r>
        <w:rPr>
          <w:rFonts w:hint="default" w:ascii="Arial" w:hAnsi="Arial" w:eastAsia="宋体" w:cs="Arial"/>
          <w:sz w:val="24"/>
          <w:szCs w:val="24"/>
          <w:vertAlign w:val="subscript"/>
        </w:rPr>
        <w:t>Cr</w:t>
      </w:r>
      <w:r>
        <w:rPr>
          <w:rFonts w:hint="default" w:ascii="Arial" w:hAnsi="Arial" w:eastAsia="宋体" w:cs="Arial"/>
          <w:sz w:val="24"/>
          <w:szCs w:val="24"/>
        </w:rPr>
        <w:t>、氨氮、总磷、总氮浓度范围均符合</w:t>
      </w:r>
      <w:r>
        <w:rPr>
          <w:rFonts w:hint="default" w:ascii="Arial" w:hAnsi="Arial" w:eastAsia="宋体" w:cs="Arial"/>
          <w:bCs/>
          <w:sz w:val="24"/>
          <w:szCs w:val="24"/>
        </w:rPr>
        <w:t>《城镇污水处理厂主要水污染物排放标准》（DB33/2169-2018）排放限值</w:t>
      </w:r>
      <w:r>
        <w:rPr>
          <w:rFonts w:hint="default" w:ascii="Arial" w:hAnsi="Arial" w:eastAsia="宋体" w:cs="Arial"/>
          <w:sz w:val="24"/>
          <w:szCs w:val="24"/>
        </w:rPr>
        <w:t>，出水水质稳定。</w:t>
      </w:r>
    </w:p>
    <w:p w14:paraId="45D1F973">
      <w:pPr>
        <w:pStyle w:val="76"/>
        <w:keepNext w:val="0"/>
        <w:keepLines w:val="0"/>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bCs/>
          <w:sz w:val="24"/>
          <w:szCs w:val="24"/>
          <w:lang w:val="en-GB"/>
        </w:rPr>
      </w:pPr>
      <w:r>
        <w:rPr>
          <w:rFonts w:hint="default" w:ascii="Arial" w:hAnsi="Arial" w:eastAsia="宋体" w:cs="Arial"/>
          <w:bCs/>
          <w:sz w:val="24"/>
          <w:szCs w:val="24"/>
        </w:rPr>
        <w:t>（</w:t>
      </w:r>
      <w:r>
        <w:rPr>
          <w:rFonts w:hint="default" w:ascii="Arial" w:hAnsi="Arial" w:eastAsia="宋体" w:cs="Arial"/>
          <w:bCs/>
          <w:sz w:val="24"/>
          <w:szCs w:val="24"/>
          <w:lang w:val="en-US" w:eastAsia="zh-CN"/>
        </w:rPr>
        <w:t>2</w:t>
      </w:r>
      <w:r>
        <w:rPr>
          <w:rFonts w:hint="default" w:ascii="Arial" w:hAnsi="Arial" w:eastAsia="宋体" w:cs="Arial"/>
          <w:bCs/>
          <w:sz w:val="24"/>
          <w:szCs w:val="24"/>
        </w:rPr>
        <w:t>）</w:t>
      </w:r>
      <w:r>
        <w:rPr>
          <w:rFonts w:hint="default" w:ascii="Arial" w:hAnsi="Arial" w:eastAsia="宋体" w:cs="Arial"/>
          <w:bCs/>
          <w:sz w:val="24"/>
          <w:szCs w:val="24"/>
          <w:lang w:val="en-GB"/>
        </w:rPr>
        <w:t>废水排放对周围环境的影响</w:t>
      </w:r>
    </w:p>
    <w:p w14:paraId="6C740B0A">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sz w:val="24"/>
          <w:szCs w:val="24"/>
          <w:lang w:val="en-GB"/>
        </w:rPr>
      </w:pPr>
      <w:r>
        <w:rPr>
          <w:rFonts w:hint="default" w:ascii="Arial" w:hAnsi="Arial" w:eastAsia="宋体" w:cs="Arial"/>
          <w:bCs/>
          <w:sz w:val="24"/>
          <w:szCs w:val="24"/>
          <w:lang w:val="en-GB"/>
        </w:rPr>
        <w:t>项目废水经处理达标后排入污水管网，送嘉兴市联合污水处理厂达标处理后排入杭州湾，废水不排入项目周围水体。因此，在正常生产及雨污分流情况下，项目废水纳管排放对项目周围水环境基本无影响。</w:t>
      </w:r>
    </w:p>
    <w:p w14:paraId="5864B9E1">
      <w:pPr>
        <w:keepNext w:val="0"/>
        <w:keepLines w:val="0"/>
        <w:pageBreakBefore w:val="0"/>
        <w:widowControl w:val="0"/>
        <w:kinsoku/>
        <w:wordWrap/>
        <w:overflowPunct/>
        <w:topLinePunct w:val="0"/>
        <w:autoSpaceDE/>
        <w:autoSpaceDN/>
        <w:bidi w:val="0"/>
        <w:spacing w:line="360" w:lineRule="auto"/>
        <w:ind w:left="105" w:leftChars="50"/>
        <w:textAlignment w:val="auto"/>
        <w:rPr>
          <w:rFonts w:hint="default" w:ascii="Arial" w:hAnsi="Arial" w:eastAsia="宋体" w:cs="Arial"/>
          <w:b/>
          <w:bCs/>
          <w:sz w:val="24"/>
          <w:szCs w:val="24"/>
        </w:rPr>
      </w:pPr>
      <w:r>
        <w:rPr>
          <w:rFonts w:hint="default" w:ascii="Arial" w:hAnsi="Arial" w:eastAsia="宋体" w:cs="Arial"/>
          <w:b/>
          <w:bCs/>
          <w:sz w:val="24"/>
          <w:szCs w:val="24"/>
        </w:rPr>
        <w:t>4.2.2.3废水监测计划</w:t>
      </w:r>
    </w:p>
    <w:p w14:paraId="03C69316">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本项目废水监测计划依据《排污单位自行监测技术指南</w:t>
      </w:r>
      <w:r>
        <w:rPr>
          <w:rFonts w:hint="default" w:ascii="Arial" w:hAnsi="Arial" w:eastAsia="宋体" w:cs="Arial"/>
          <w:sz w:val="24"/>
          <w:lang w:val="en-US" w:eastAsia="zh-CN"/>
        </w:rPr>
        <w:t xml:space="preserve"> 总则</w:t>
      </w:r>
      <w:r>
        <w:rPr>
          <w:rFonts w:hint="default" w:ascii="Arial" w:hAnsi="Arial" w:eastAsia="宋体" w:cs="Arial"/>
          <w:sz w:val="24"/>
        </w:rPr>
        <w:t>》</w:t>
      </w:r>
      <w:r>
        <w:rPr>
          <w:rFonts w:hint="default" w:ascii="Arial" w:hAnsi="Arial" w:eastAsia="宋体" w:cs="Arial"/>
          <w:bCs/>
          <w:kern w:val="28"/>
          <w:sz w:val="24"/>
          <w:szCs w:val="24"/>
        </w:rPr>
        <w:t>（HJ819-2017）</w:t>
      </w:r>
      <w:r>
        <w:rPr>
          <w:rFonts w:hint="default" w:ascii="Arial" w:hAnsi="Arial" w:eastAsia="宋体" w:cs="Arial"/>
          <w:sz w:val="24"/>
        </w:rPr>
        <w:t>相关要求制定。</w:t>
      </w:r>
    </w:p>
    <w:p w14:paraId="754C65B7">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废水监测计划</w:t>
      </w:r>
    </w:p>
    <w:tbl>
      <w:tblPr>
        <w:tblStyle w:val="52"/>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18"/>
        <w:gridCol w:w="1706"/>
        <w:gridCol w:w="831"/>
        <w:gridCol w:w="3792"/>
      </w:tblGrid>
      <w:tr w14:paraId="65D1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69" w:type="dxa"/>
            <w:shd w:val="clear" w:color="auto" w:fill="auto"/>
            <w:vAlign w:val="center"/>
          </w:tcPr>
          <w:p w14:paraId="79620349">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项目</w:t>
            </w:r>
          </w:p>
        </w:tc>
        <w:tc>
          <w:tcPr>
            <w:tcW w:w="1118" w:type="dxa"/>
            <w:shd w:val="clear" w:color="auto" w:fill="auto"/>
            <w:vAlign w:val="center"/>
          </w:tcPr>
          <w:p w14:paraId="262F7B9B">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监测点位</w:t>
            </w:r>
          </w:p>
        </w:tc>
        <w:tc>
          <w:tcPr>
            <w:tcW w:w="1706" w:type="dxa"/>
            <w:shd w:val="clear" w:color="auto" w:fill="auto"/>
            <w:vAlign w:val="center"/>
          </w:tcPr>
          <w:p w14:paraId="220EC0E9">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监测指标</w:t>
            </w:r>
          </w:p>
        </w:tc>
        <w:tc>
          <w:tcPr>
            <w:tcW w:w="831" w:type="dxa"/>
            <w:shd w:val="clear" w:color="auto" w:fill="auto"/>
            <w:vAlign w:val="center"/>
          </w:tcPr>
          <w:p w14:paraId="3ECCDEDC">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监测频次</w:t>
            </w:r>
          </w:p>
        </w:tc>
        <w:tc>
          <w:tcPr>
            <w:tcW w:w="3792" w:type="dxa"/>
            <w:shd w:val="clear" w:color="auto" w:fill="auto"/>
            <w:vAlign w:val="center"/>
          </w:tcPr>
          <w:p w14:paraId="115084D9">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执行排放标准</w:t>
            </w:r>
          </w:p>
        </w:tc>
      </w:tr>
      <w:tr w14:paraId="5C5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669" w:type="dxa"/>
            <w:shd w:val="clear" w:color="auto" w:fill="auto"/>
            <w:vAlign w:val="center"/>
          </w:tcPr>
          <w:p w14:paraId="382A884E">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废水</w:t>
            </w:r>
          </w:p>
        </w:tc>
        <w:tc>
          <w:tcPr>
            <w:tcW w:w="1118" w:type="dxa"/>
            <w:shd w:val="clear" w:color="auto" w:fill="auto"/>
            <w:vAlign w:val="center"/>
          </w:tcPr>
          <w:p w14:paraId="319DCF17">
            <w:pPr>
              <w:keepNext w:val="0"/>
              <w:keepLines w:val="0"/>
              <w:suppressLineNumbers w:val="0"/>
              <w:spacing w:before="0" w:beforeAutospacing="0" w:after="0" w:afterAutospacing="0" w:line="280" w:lineRule="exact"/>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废水总排口</w:t>
            </w:r>
          </w:p>
        </w:tc>
        <w:tc>
          <w:tcPr>
            <w:tcW w:w="1706" w:type="dxa"/>
            <w:shd w:val="clear" w:color="auto" w:fill="auto"/>
            <w:vAlign w:val="center"/>
          </w:tcPr>
          <w:p w14:paraId="03912738">
            <w:pPr>
              <w:keepNext w:val="0"/>
              <w:keepLines w:val="0"/>
              <w:suppressLineNumbers w:val="0"/>
              <w:spacing w:before="0" w:beforeAutospacing="0" w:after="0" w:afterAutospacing="0" w:line="280" w:lineRule="exact"/>
              <w:ind w:left="0" w:right="0"/>
              <w:jc w:val="center"/>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b w:val="0"/>
                <w:color w:val="000000"/>
                <w:szCs w:val="21"/>
              </w:rPr>
              <w:t>pH、化学需氧量、氨氮、五日生化需氧量</w:t>
            </w:r>
            <w:r>
              <w:rPr>
                <w:rFonts w:hint="default" w:ascii="Arial" w:hAnsi="Arial" w:eastAsia="宋体" w:cs="Arial"/>
                <w:b w:val="0"/>
                <w:color w:val="000000"/>
                <w:szCs w:val="21"/>
                <w:lang w:eastAsia="zh-CN"/>
              </w:rPr>
              <w:t>、</w:t>
            </w:r>
            <w:r>
              <w:rPr>
                <w:rFonts w:hint="default" w:ascii="Arial" w:hAnsi="Arial" w:eastAsia="宋体" w:cs="Arial"/>
                <w:b w:val="0"/>
                <w:color w:val="000000"/>
                <w:szCs w:val="21"/>
                <w:lang w:val="en-US" w:eastAsia="zh-CN"/>
              </w:rPr>
              <w:t>TN、TP</w:t>
            </w:r>
          </w:p>
        </w:tc>
        <w:tc>
          <w:tcPr>
            <w:tcW w:w="831" w:type="dxa"/>
            <w:shd w:val="clear" w:color="auto" w:fill="auto"/>
            <w:vAlign w:val="center"/>
          </w:tcPr>
          <w:p w14:paraId="6A725930">
            <w:pPr>
              <w:keepNext w:val="0"/>
              <w:keepLines w:val="0"/>
              <w:suppressLineNumbers w:val="0"/>
              <w:spacing w:before="0" w:beforeAutospacing="0" w:after="0" w:afterAutospacing="0" w:line="280" w:lineRule="exact"/>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每年</w:t>
            </w:r>
          </w:p>
        </w:tc>
        <w:tc>
          <w:tcPr>
            <w:tcW w:w="3792" w:type="dxa"/>
            <w:shd w:val="clear" w:color="auto" w:fill="auto"/>
            <w:vAlign w:val="center"/>
          </w:tcPr>
          <w:p w14:paraId="0CCC45FE">
            <w:pPr>
              <w:keepNext w:val="0"/>
              <w:keepLines w:val="0"/>
              <w:suppressLineNumbers w:val="0"/>
              <w:spacing w:before="0" w:beforeAutospacing="0" w:after="0" w:afterAutospacing="0" w:line="280" w:lineRule="exact"/>
              <w:ind w:left="0" w:right="0"/>
              <w:jc w:val="center"/>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《污水排入下水道水质标准》（GB/T31962-2015）</w:t>
            </w:r>
          </w:p>
        </w:tc>
      </w:tr>
    </w:tbl>
    <w:p w14:paraId="3FCED9FB">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噪声环境影响和保护措施</w:t>
      </w:r>
    </w:p>
    <w:p w14:paraId="72FD21EB">
      <w:pPr>
        <w:pStyle w:val="76"/>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4.2.3.1噪声源强</w:t>
      </w:r>
    </w:p>
    <w:p w14:paraId="54578DC1">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GB"/>
        </w:rPr>
      </w:pPr>
      <w:r>
        <w:rPr>
          <w:rFonts w:hint="default" w:ascii="Arial" w:hAnsi="Arial" w:eastAsia="宋体" w:cs="Arial"/>
          <w:bCs/>
          <w:sz w:val="24"/>
          <w:szCs w:val="24"/>
          <w:lang w:val="en-GB"/>
        </w:rPr>
        <w:t>本项目噪声源主要是</w:t>
      </w:r>
      <w:r>
        <w:rPr>
          <w:rFonts w:hint="default" w:ascii="Arial" w:hAnsi="Arial" w:eastAsia="宋体" w:cs="Arial"/>
          <w:bCs/>
          <w:sz w:val="24"/>
          <w:szCs w:val="24"/>
          <w:lang w:val="en-US" w:eastAsia="zh-CN"/>
        </w:rPr>
        <w:t>锻压设备、机加工设备、</w:t>
      </w:r>
      <w:r>
        <w:rPr>
          <w:rFonts w:hint="default" w:ascii="Arial" w:hAnsi="Arial" w:eastAsia="宋体" w:cs="Arial"/>
          <w:bCs/>
          <w:sz w:val="24"/>
          <w:szCs w:val="24"/>
          <w:lang w:val="en-GB"/>
        </w:rPr>
        <w:t>清洗</w:t>
      </w:r>
      <w:r>
        <w:rPr>
          <w:rFonts w:hint="default" w:ascii="Arial" w:hAnsi="Arial" w:eastAsia="宋体" w:cs="Arial"/>
          <w:bCs/>
          <w:sz w:val="24"/>
          <w:szCs w:val="24"/>
          <w:lang w:val="en-US" w:eastAsia="zh-CN"/>
        </w:rPr>
        <w:t>机等</w:t>
      </w:r>
      <w:r>
        <w:rPr>
          <w:rFonts w:hint="default" w:ascii="Arial" w:hAnsi="Arial" w:eastAsia="宋体" w:cs="Arial"/>
          <w:bCs/>
          <w:sz w:val="24"/>
          <w:szCs w:val="24"/>
          <w:lang w:val="en-GB"/>
        </w:rPr>
        <w:t>设备运行产生的噪声。根据对同类型生产设备的类比调查，项目噪声污染源强核算结果及相关参数见表4-</w:t>
      </w:r>
      <w:r>
        <w:rPr>
          <w:rFonts w:hint="default" w:ascii="Arial" w:hAnsi="Arial" w:eastAsia="宋体" w:cs="Arial"/>
          <w:bCs/>
          <w:sz w:val="24"/>
          <w:szCs w:val="24"/>
          <w:lang w:val="en-US" w:eastAsia="zh-CN"/>
        </w:rPr>
        <w:t>1</w:t>
      </w:r>
      <w:r>
        <w:rPr>
          <w:rFonts w:hint="eastAsia" w:ascii="Arial" w:hAnsi="Arial" w:eastAsia="宋体" w:cs="Arial"/>
          <w:bCs/>
          <w:sz w:val="24"/>
          <w:szCs w:val="24"/>
          <w:lang w:val="en-US" w:eastAsia="zh-CN"/>
        </w:rPr>
        <w:t>5</w:t>
      </w:r>
      <w:r>
        <w:rPr>
          <w:rFonts w:hint="default" w:ascii="Arial" w:hAnsi="Arial" w:eastAsia="宋体" w:cs="Arial"/>
          <w:bCs/>
          <w:sz w:val="24"/>
          <w:szCs w:val="24"/>
          <w:lang w:val="en-GB"/>
        </w:rPr>
        <w:t>。</w:t>
      </w:r>
    </w:p>
    <w:p w14:paraId="5DF1F316">
      <w:pPr>
        <w:rPr>
          <w:rFonts w:hint="default" w:ascii="Arial" w:hAnsi="Arial" w:eastAsia="宋体" w:cs="Arial"/>
          <w:lang w:val="en-GB"/>
        </w:rPr>
      </w:pPr>
    </w:p>
    <w:p w14:paraId="2BA65C3F">
      <w:pPr>
        <w:pStyle w:val="76"/>
        <w:spacing w:line="360" w:lineRule="auto"/>
        <w:ind w:left="105" w:leftChars="50" w:firstLine="482"/>
        <w:rPr>
          <w:rFonts w:hint="default" w:ascii="Arial" w:hAnsi="Arial" w:eastAsia="宋体" w:cs="Arial"/>
          <w:b/>
          <w:bCs/>
          <w:sz w:val="24"/>
          <w:szCs w:val="24"/>
        </w:rPr>
        <w:sectPr>
          <w:headerReference r:id="rId26"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p w14:paraId="009F9871">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工业企业噪声源强调查清单</w:t>
      </w:r>
    </w:p>
    <w:tbl>
      <w:tblPr>
        <w:tblStyle w:val="52"/>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671"/>
        <w:gridCol w:w="1858"/>
        <w:gridCol w:w="567"/>
        <w:gridCol w:w="1547"/>
        <w:gridCol w:w="688"/>
        <w:gridCol w:w="638"/>
        <w:gridCol w:w="259"/>
        <w:gridCol w:w="379"/>
        <w:gridCol w:w="290"/>
        <w:gridCol w:w="349"/>
        <w:gridCol w:w="1174"/>
        <w:gridCol w:w="15"/>
        <w:gridCol w:w="1161"/>
        <w:gridCol w:w="716"/>
        <w:gridCol w:w="878"/>
        <w:gridCol w:w="964"/>
        <w:gridCol w:w="273"/>
        <w:gridCol w:w="692"/>
      </w:tblGrid>
      <w:tr w14:paraId="5263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06" w:type="dxa"/>
            <w:gridSpan w:val="19"/>
            <w:vAlign w:val="center"/>
          </w:tcPr>
          <w:p w14:paraId="198729E6">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r>
              <w:rPr>
                <w:rFonts w:hint="eastAsia" w:ascii="Arial" w:hAnsi="Arial" w:eastAsia="宋体" w:cs="Arial"/>
                <w:b/>
                <w:szCs w:val="21"/>
                <w:lang w:val="en-US" w:eastAsia="zh-CN"/>
              </w:rPr>
              <w:t>室外声源</w:t>
            </w:r>
          </w:p>
        </w:tc>
      </w:tr>
      <w:tr w14:paraId="79D8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83" w:type="dxa"/>
            <w:gridSpan w:val="4"/>
            <w:vMerge w:val="restart"/>
            <w:vAlign w:val="center"/>
          </w:tcPr>
          <w:p w14:paraId="3AE1FCC8">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r>
              <w:rPr>
                <w:rFonts w:hint="eastAsia" w:ascii="Arial" w:hAnsi="Arial" w:eastAsia="宋体" w:cs="Arial"/>
                <w:b/>
                <w:szCs w:val="21"/>
                <w:lang w:val="en-US" w:eastAsia="zh-CN"/>
              </w:rPr>
              <w:t>声源名称</w:t>
            </w:r>
          </w:p>
        </w:tc>
        <w:tc>
          <w:tcPr>
            <w:tcW w:w="2235" w:type="dxa"/>
            <w:gridSpan w:val="2"/>
            <w:vMerge w:val="restart"/>
            <w:vAlign w:val="center"/>
          </w:tcPr>
          <w:p w14:paraId="0D39ADBB">
            <w:pPr>
              <w:keepNext w:val="0"/>
              <w:keepLines w:val="0"/>
              <w:suppressLineNumbers w:val="0"/>
              <w:spacing w:before="0" w:beforeAutospacing="0" w:after="0" w:afterAutospacing="0"/>
              <w:ind w:left="0" w:right="0"/>
              <w:jc w:val="center"/>
              <w:rPr>
                <w:rFonts w:hint="default" w:ascii="Arial" w:hAnsi="Arial" w:eastAsia="宋体" w:cs="Arial"/>
                <w:b/>
                <w:szCs w:val="21"/>
              </w:rPr>
            </w:pPr>
            <w:r>
              <w:rPr>
                <w:rFonts w:hint="eastAsia" w:ascii="Arial" w:hAnsi="Arial" w:eastAsia="宋体" w:cs="Arial"/>
                <w:szCs w:val="21"/>
                <w:lang w:val="en-US" w:eastAsia="zh-CN"/>
              </w:rPr>
              <w:t>型号</w:t>
            </w:r>
          </w:p>
        </w:tc>
        <w:tc>
          <w:tcPr>
            <w:tcW w:w="1915" w:type="dxa"/>
            <w:gridSpan w:val="5"/>
            <w:vAlign w:val="center"/>
          </w:tcPr>
          <w:p w14:paraId="51494CF6">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r>
              <w:rPr>
                <w:rFonts w:hint="eastAsia" w:ascii="Arial" w:hAnsi="Arial" w:eastAsia="宋体" w:cs="Arial"/>
                <w:b/>
                <w:szCs w:val="21"/>
                <w:lang w:val="en-US" w:eastAsia="zh-CN"/>
              </w:rPr>
              <w:t>空间相对位置</w:t>
            </w:r>
          </w:p>
        </w:tc>
        <w:tc>
          <w:tcPr>
            <w:tcW w:w="1174" w:type="dxa"/>
            <w:vMerge w:val="restart"/>
            <w:vAlign w:val="center"/>
          </w:tcPr>
          <w:p w14:paraId="037EFFFA">
            <w:pPr>
              <w:keepNext w:val="0"/>
              <w:keepLines w:val="0"/>
              <w:suppressLineNumbers w:val="0"/>
              <w:spacing w:before="0" w:beforeAutospacing="0" w:after="0" w:afterAutospacing="0"/>
              <w:ind w:left="0" w:right="0"/>
              <w:jc w:val="center"/>
              <w:rPr>
                <w:rFonts w:hint="eastAsia" w:ascii="Arial" w:hAnsi="Arial" w:eastAsia="宋体" w:cs="Arial"/>
                <w:b/>
                <w:szCs w:val="21"/>
                <w:lang w:val="en-US" w:eastAsia="zh-CN"/>
              </w:rPr>
            </w:pPr>
            <w:r>
              <w:rPr>
                <w:rFonts w:hint="eastAsia" w:ascii="Arial" w:hAnsi="Arial" w:eastAsia="宋体" w:cs="Arial"/>
                <w:b/>
                <w:szCs w:val="21"/>
                <w:lang w:val="en-US" w:eastAsia="zh-CN"/>
              </w:rPr>
              <w:t>声源源强</w:t>
            </w:r>
          </w:p>
        </w:tc>
        <w:tc>
          <w:tcPr>
            <w:tcW w:w="3734" w:type="dxa"/>
            <w:gridSpan w:val="5"/>
            <w:vMerge w:val="restart"/>
            <w:vAlign w:val="center"/>
          </w:tcPr>
          <w:p w14:paraId="7DB30D41">
            <w:pPr>
              <w:keepNext w:val="0"/>
              <w:keepLines w:val="0"/>
              <w:suppressLineNumbers w:val="0"/>
              <w:spacing w:before="0" w:beforeAutospacing="0" w:after="0" w:afterAutospacing="0"/>
              <w:ind w:left="0" w:right="0"/>
              <w:jc w:val="center"/>
              <w:rPr>
                <w:rFonts w:hint="eastAsia" w:ascii="Arial" w:hAnsi="Arial" w:eastAsia="宋体" w:cs="Arial"/>
                <w:b/>
                <w:szCs w:val="21"/>
                <w:lang w:val="en-US" w:eastAsia="zh-CN"/>
              </w:rPr>
            </w:pPr>
            <w:r>
              <w:rPr>
                <w:rFonts w:hint="eastAsia" w:ascii="Arial" w:hAnsi="Arial" w:eastAsia="宋体" w:cs="Arial"/>
                <w:b/>
                <w:szCs w:val="21"/>
                <w:lang w:val="en-US" w:eastAsia="zh-CN"/>
              </w:rPr>
              <w:t>声源控制设施</w:t>
            </w:r>
          </w:p>
        </w:tc>
        <w:tc>
          <w:tcPr>
            <w:tcW w:w="965" w:type="dxa"/>
            <w:gridSpan w:val="2"/>
            <w:vMerge w:val="restart"/>
            <w:vAlign w:val="center"/>
          </w:tcPr>
          <w:p w14:paraId="58EF24CB">
            <w:pPr>
              <w:keepNext w:val="0"/>
              <w:keepLines w:val="0"/>
              <w:suppressLineNumbers w:val="0"/>
              <w:spacing w:before="0" w:beforeAutospacing="0" w:after="0" w:afterAutospacing="0"/>
              <w:ind w:left="0" w:right="0"/>
              <w:jc w:val="center"/>
              <w:rPr>
                <w:rFonts w:hint="eastAsia" w:ascii="Arial" w:hAnsi="Arial" w:eastAsia="宋体" w:cs="Arial"/>
                <w:b/>
                <w:szCs w:val="21"/>
                <w:lang w:val="en-US" w:eastAsia="zh-CN"/>
              </w:rPr>
            </w:pPr>
            <w:r>
              <w:rPr>
                <w:rFonts w:hint="eastAsia" w:ascii="Arial" w:hAnsi="Arial" w:eastAsia="宋体" w:cs="Arial"/>
                <w:b/>
                <w:szCs w:val="21"/>
                <w:lang w:val="en-US" w:eastAsia="zh-CN"/>
              </w:rPr>
              <w:t>运行时段</w:t>
            </w:r>
          </w:p>
        </w:tc>
      </w:tr>
      <w:tr w14:paraId="73F4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83" w:type="dxa"/>
            <w:gridSpan w:val="4"/>
            <w:vMerge w:val="continue"/>
            <w:vAlign w:val="center"/>
          </w:tcPr>
          <w:p w14:paraId="49BB3C51">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p>
        </w:tc>
        <w:tc>
          <w:tcPr>
            <w:tcW w:w="2235" w:type="dxa"/>
            <w:gridSpan w:val="2"/>
            <w:vMerge w:val="continue"/>
            <w:vAlign w:val="center"/>
          </w:tcPr>
          <w:p w14:paraId="604A42C5">
            <w:pPr>
              <w:keepNext w:val="0"/>
              <w:keepLines w:val="0"/>
              <w:suppressLineNumbers w:val="0"/>
              <w:spacing w:before="0" w:beforeAutospacing="0" w:after="0" w:afterAutospacing="0"/>
              <w:ind w:left="0" w:right="0"/>
              <w:jc w:val="center"/>
              <w:rPr>
                <w:rFonts w:hint="default" w:ascii="Arial" w:hAnsi="Arial" w:eastAsia="宋体" w:cs="Arial"/>
                <w:b/>
                <w:szCs w:val="21"/>
              </w:rPr>
            </w:pPr>
          </w:p>
        </w:tc>
        <w:tc>
          <w:tcPr>
            <w:tcW w:w="638" w:type="dxa"/>
            <w:vAlign w:val="center"/>
          </w:tcPr>
          <w:p w14:paraId="6E95C31A">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r>
              <w:rPr>
                <w:rFonts w:hint="eastAsia" w:ascii="Arial" w:hAnsi="Arial" w:eastAsia="宋体" w:cs="Arial"/>
                <w:b/>
                <w:szCs w:val="21"/>
                <w:lang w:val="en-US" w:eastAsia="zh-CN"/>
              </w:rPr>
              <w:t>X</w:t>
            </w:r>
          </w:p>
        </w:tc>
        <w:tc>
          <w:tcPr>
            <w:tcW w:w="638" w:type="dxa"/>
            <w:gridSpan w:val="2"/>
            <w:vAlign w:val="center"/>
          </w:tcPr>
          <w:p w14:paraId="5DEA0DCF">
            <w:pPr>
              <w:keepNext w:val="0"/>
              <w:keepLines w:val="0"/>
              <w:suppressLineNumbers w:val="0"/>
              <w:spacing w:before="0" w:beforeAutospacing="0" w:after="0" w:afterAutospacing="0"/>
              <w:ind w:left="0" w:right="0"/>
              <w:jc w:val="center"/>
              <w:rPr>
                <w:rFonts w:hint="eastAsia" w:ascii="Arial" w:hAnsi="Arial" w:eastAsia="宋体" w:cs="Arial"/>
                <w:b/>
                <w:szCs w:val="21"/>
                <w:lang w:val="en-US" w:eastAsia="zh-CN"/>
              </w:rPr>
            </w:pPr>
            <w:r>
              <w:rPr>
                <w:rFonts w:hint="eastAsia" w:ascii="Arial" w:hAnsi="Arial" w:eastAsia="宋体" w:cs="Arial"/>
                <w:b/>
                <w:szCs w:val="21"/>
                <w:lang w:val="en-US" w:eastAsia="zh-CN"/>
              </w:rPr>
              <w:t>Y</w:t>
            </w:r>
          </w:p>
        </w:tc>
        <w:tc>
          <w:tcPr>
            <w:tcW w:w="639" w:type="dxa"/>
            <w:gridSpan w:val="2"/>
            <w:vAlign w:val="center"/>
          </w:tcPr>
          <w:p w14:paraId="3BD61F0F">
            <w:pPr>
              <w:keepNext w:val="0"/>
              <w:keepLines w:val="0"/>
              <w:suppressLineNumbers w:val="0"/>
              <w:spacing w:before="0" w:beforeAutospacing="0" w:after="0" w:afterAutospacing="0"/>
              <w:ind w:left="0" w:right="0"/>
              <w:jc w:val="center"/>
              <w:rPr>
                <w:rFonts w:hint="eastAsia" w:ascii="Arial" w:hAnsi="Arial" w:eastAsia="宋体" w:cs="Arial"/>
                <w:b/>
                <w:szCs w:val="21"/>
                <w:lang w:val="en-US" w:eastAsia="zh-CN"/>
              </w:rPr>
            </w:pPr>
            <w:r>
              <w:rPr>
                <w:rFonts w:hint="eastAsia" w:ascii="Arial" w:hAnsi="Arial" w:eastAsia="宋体" w:cs="Arial"/>
                <w:b/>
                <w:szCs w:val="21"/>
                <w:lang w:val="en-US" w:eastAsia="zh-CN"/>
              </w:rPr>
              <w:t>Z</w:t>
            </w:r>
          </w:p>
        </w:tc>
        <w:tc>
          <w:tcPr>
            <w:tcW w:w="1174" w:type="dxa"/>
            <w:vMerge w:val="continue"/>
            <w:vAlign w:val="center"/>
          </w:tcPr>
          <w:p w14:paraId="79612078">
            <w:pPr>
              <w:keepNext w:val="0"/>
              <w:keepLines w:val="0"/>
              <w:suppressLineNumbers w:val="0"/>
              <w:spacing w:before="0" w:beforeAutospacing="0" w:after="0" w:afterAutospacing="0"/>
              <w:ind w:left="0" w:right="0"/>
              <w:jc w:val="center"/>
              <w:rPr>
                <w:rFonts w:hint="default" w:ascii="Arial" w:hAnsi="Arial" w:eastAsia="宋体" w:cs="Arial"/>
                <w:b/>
                <w:szCs w:val="21"/>
              </w:rPr>
            </w:pPr>
          </w:p>
        </w:tc>
        <w:tc>
          <w:tcPr>
            <w:tcW w:w="3734" w:type="dxa"/>
            <w:gridSpan w:val="5"/>
            <w:vMerge w:val="continue"/>
            <w:vAlign w:val="center"/>
          </w:tcPr>
          <w:p w14:paraId="5C9AF026">
            <w:pPr>
              <w:keepNext w:val="0"/>
              <w:keepLines w:val="0"/>
              <w:suppressLineNumbers w:val="0"/>
              <w:spacing w:before="0" w:beforeAutospacing="0" w:after="0" w:afterAutospacing="0"/>
              <w:ind w:left="0" w:right="0"/>
              <w:jc w:val="both"/>
              <w:rPr>
                <w:rFonts w:hint="eastAsia" w:ascii="Arial" w:hAnsi="Arial" w:eastAsia="宋体" w:cs="Arial"/>
                <w:b/>
                <w:szCs w:val="21"/>
                <w:lang w:val="en-US" w:eastAsia="zh-CN"/>
              </w:rPr>
            </w:pPr>
          </w:p>
        </w:tc>
        <w:tc>
          <w:tcPr>
            <w:tcW w:w="965" w:type="dxa"/>
            <w:gridSpan w:val="2"/>
            <w:vMerge w:val="continue"/>
            <w:vAlign w:val="center"/>
          </w:tcPr>
          <w:p w14:paraId="70A9A608">
            <w:pPr>
              <w:keepNext w:val="0"/>
              <w:keepLines w:val="0"/>
              <w:suppressLineNumbers w:val="0"/>
              <w:spacing w:before="0" w:beforeAutospacing="0" w:after="0" w:afterAutospacing="0"/>
              <w:ind w:left="0" w:right="0"/>
              <w:jc w:val="both"/>
              <w:rPr>
                <w:rFonts w:hint="eastAsia" w:ascii="Arial" w:hAnsi="Arial" w:eastAsia="宋体" w:cs="Arial"/>
                <w:b/>
                <w:szCs w:val="21"/>
                <w:lang w:val="en-US" w:eastAsia="zh-CN"/>
              </w:rPr>
            </w:pPr>
          </w:p>
        </w:tc>
      </w:tr>
      <w:tr w14:paraId="38E9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83" w:type="dxa"/>
            <w:gridSpan w:val="4"/>
            <w:vAlign w:val="center"/>
          </w:tcPr>
          <w:p w14:paraId="4FEA05E7">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空压机</w:t>
            </w:r>
          </w:p>
        </w:tc>
        <w:tc>
          <w:tcPr>
            <w:tcW w:w="2235" w:type="dxa"/>
            <w:gridSpan w:val="2"/>
            <w:vAlign w:val="center"/>
          </w:tcPr>
          <w:p w14:paraId="60EEFEF2">
            <w:pPr>
              <w:keepNext w:val="0"/>
              <w:keepLines w:val="0"/>
              <w:suppressLineNumbers w:val="0"/>
              <w:spacing w:before="0" w:beforeAutospacing="0" w:after="0" w:afterAutospacing="0"/>
              <w:ind w:left="0" w:right="0"/>
              <w:jc w:val="center"/>
              <w:rPr>
                <w:rFonts w:hint="eastAsia" w:ascii="Arial" w:hAnsi="Arial" w:eastAsia="宋体" w:cs="Arial"/>
                <w:b w:val="0"/>
                <w:bCs/>
                <w:szCs w:val="21"/>
                <w:lang w:val="en-US" w:eastAsia="zh-CN"/>
              </w:rPr>
            </w:pPr>
            <w:r>
              <w:rPr>
                <w:rFonts w:hint="eastAsia" w:ascii="Arial" w:hAnsi="Arial" w:eastAsia="宋体" w:cs="Arial"/>
                <w:b w:val="0"/>
                <w:bCs/>
                <w:szCs w:val="21"/>
                <w:lang w:val="en-US" w:eastAsia="zh-CN"/>
              </w:rPr>
              <w:t>/</w:t>
            </w:r>
          </w:p>
        </w:tc>
        <w:tc>
          <w:tcPr>
            <w:tcW w:w="638" w:type="dxa"/>
            <w:vAlign w:val="center"/>
          </w:tcPr>
          <w:p w14:paraId="41F6D203">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122</w:t>
            </w:r>
          </w:p>
        </w:tc>
        <w:tc>
          <w:tcPr>
            <w:tcW w:w="638" w:type="dxa"/>
            <w:gridSpan w:val="2"/>
            <w:vAlign w:val="center"/>
          </w:tcPr>
          <w:p w14:paraId="749871D4">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107</w:t>
            </w:r>
          </w:p>
        </w:tc>
        <w:tc>
          <w:tcPr>
            <w:tcW w:w="639" w:type="dxa"/>
            <w:gridSpan w:val="2"/>
            <w:vAlign w:val="center"/>
          </w:tcPr>
          <w:p w14:paraId="64037859">
            <w:pPr>
              <w:keepNext w:val="0"/>
              <w:keepLines w:val="0"/>
              <w:suppressLineNumbers w:val="0"/>
              <w:spacing w:before="0" w:beforeAutospacing="0" w:after="0" w:afterAutospacing="0"/>
              <w:ind w:left="0" w:right="0"/>
              <w:jc w:val="center"/>
              <w:rPr>
                <w:rFonts w:hint="eastAsia" w:ascii="Arial" w:hAnsi="Arial" w:eastAsia="宋体" w:cs="Arial"/>
                <w:b w:val="0"/>
                <w:bCs/>
                <w:szCs w:val="21"/>
                <w:lang w:val="en-US" w:eastAsia="zh-CN"/>
              </w:rPr>
            </w:pPr>
            <w:r>
              <w:rPr>
                <w:rFonts w:hint="eastAsia" w:ascii="Arial" w:hAnsi="Arial" w:eastAsia="宋体" w:cs="Arial"/>
                <w:b w:val="0"/>
                <w:bCs/>
                <w:szCs w:val="21"/>
                <w:lang w:val="en-US" w:eastAsia="zh-CN"/>
              </w:rPr>
              <w:t>1</w:t>
            </w:r>
          </w:p>
        </w:tc>
        <w:tc>
          <w:tcPr>
            <w:tcW w:w="1174" w:type="dxa"/>
            <w:vAlign w:val="center"/>
          </w:tcPr>
          <w:p w14:paraId="769A2BCE">
            <w:pPr>
              <w:keepNext w:val="0"/>
              <w:keepLines w:val="0"/>
              <w:suppressLineNumbers w:val="0"/>
              <w:spacing w:before="0" w:beforeAutospacing="0" w:after="0" w:afterAutospacing="0"/>
              <w:ind w:left="0" w:right="0"/>
              <w:jc w:val="center"/>
              <w:rPr>
                <w:rFonts w:hint="eastAsia" w:ascii="Arial" w:hAnsi="Arial" w:eastAsia="宋体" w:cs="Arial"/>
                <w:b w:val="0"/>
                <w:bCs/>
                <w:szCs w:val="21"/>
                <w:lang w:val="en-US" w:eastAsia="zh-CN"/>
              </w:rPr>
            </w:pPr>
            <w:r>
              <w:rPr>
                <w:rFonts w:hint="eastAsia" w:ascii="Arial" w:hAnsi="Arial" w:eastAsia="宋体" w:cs="Arial"/>
                <w:b w:val="0"/>
                <w:bCs/>
                <w:szCs w:val="21"/>
                <w:lang w:val="en-US" w:eastAsia="zh-CN"/>
              </w:rPr>
              <w:t>75</w:t>
            </w:r>
            <w:r>
              <w:rPr>
                <w:rFonts w:hint="default" w:ascii="Arial" w:hAnsi="Arial" w:eastAsia="宋体" w:cs="Arial"/>
                <w:b w:val="0"/>
                <w:bCs/>
                <w:szCs w:val="21"/>
              </w:rPr>
              <w:t>/1</w:t>
            </w:r>
          </w:p>
        </w:tc>
        <w:tc>
          <w:tcPr>
            <w:tcW w:w="3734" w:type="dxa"/>
            <w:gridSpan w:val="5"/>
            <w:vAlign w:val="center"/>
          </w:tcPr>
          <w:p w14:paraId="457D581F">
            <w:pPr>
              <w:keepNext w:val="0"/>
              <w:keepLines w:val="0"/>
              <w:suppressLineNumbers w:val="0"/>
              <w:spacing w:before="0" w:beforeAutospacing="0" w:after="0" w:afterAutospacing="0"/>
              <w:ind w:left="0" w:right="0"/>
              <w:jc w:val="center"/>
              <w:rPr>
                <w:rFonts w:hint="eastAsia" w:ascii="Arial" w:hAnsi="Arial" w:eastAsia="宋体" w:cs="Arial"/>
                <w:b w:val="0"/>
                <w:bCs/>
                <w:szCs w:val="21"/>
                <w:lang w:eastAsia="zh-CN"/>
              </w:rPr>
            </w:pPr>
            <w:r>
              <w:rPr>
                <w:rFonts w:hint="eastAsia" w:ascii="Arial" w:hAnsi="Arial" w:eastAsia="宋体" w:cs="Arial"/>
                <w:b w:val="0"/>
                <w:bCs/>
                <w:szCs w:val="21"/>
                <w:lang w:val="en-US" w:eastAsia="zh-CN"/>
              </w:rPr>
              <w:t>隔声围挡</w:t>
            </w:r>
          </w:p>
        </w:tc>
        <w:tc>
          <w:tcPr>
            <w:tcW w:w="965" w:type="dxa"/>
            <w:gridSpan w:val="2"/>
            <w:vAlign w:val="center"/>
          </w:tcPr>
          <w:p w14:paraId="4343AE2E">
            <w:pPr>
              <w:keepNext w:val="0"/>
              <w:keepLines w:val="0"/>
              <w:suppressLineNumbers w:val="0"/>
              <w:spacing w:before="0" w:beforeAutospacing="0" w:after="0" w:afterAutospacing="0"/>
              <w:ind w:left="0" w:right="0"/>
              <w:jc w:val="center"/>
              <w:rPr>
                <w:rFonts w:hint="eastAsia" w:ascii="Arial" w:hAnsi="Arial" w:eastAsia="宋体" w:cs="Arial"/>
                <w:b w:val="0"/>
                <w:bCs/>
                <w:szCs w:val="21"/>
                <w:lang w:val="en-US" w:eastAsia="zh-CN"/>
              </w:rPr>
            </w:pPr>
            <w:r>
              <w:rPr>
                <w:rFonts w:hint="eastAsia" w:ascii="Arial" w:hAnsi="Arial" w:eastAsia="宋体" w:cs="Arial"/>
                <w:b w:val="0"/>
                <w:bCs/>
                <w:szCs w:val="21"/>
                <w:lang w:val="en-US" w:eastAsia="zh-CN"/>
              </w:rPr>
              <w:t>昼夜</w:t>
            </w:r>
          </w:p>
        </w:tc>
      </w:tr>
      <w:tr w14:paraId="53DC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83" w:type="dxa"/>
            <w:gridSpan w:val="4"/>
            <w:vAlign w:val="center"/>
          </w:tcPr>
          <w:p w14:paraId="4226B41C">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冷却塔</w:t>
            </w:r>
          </w:p>
        </w:tc>
        <w:tc>
          <w:tcPr>
            <w:tcW w:w="2235" w:type="dxa"/>
            <w:gridSpan w:val="2"/>
            <w:vAlign w:val="center"/>
          </w:tcPr>
          <w:p w14:paraId="2647589B">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30kw</w:t>
            </w:r>
          </w:p>
        </w:tc>
        <w:tc>
          <w:tcPr>
            <w:tcW w:w="638" w:type="dxa"/>
            <w:vAlign w:val="center"/>
          </w:tcPr>
          <w:p w14:paraId="4D403251">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122</w:t>
            </w:r>
          </w:p>
        </w:tc>
        <w:tc>
          <w:tcPr>
            <w:tcW w:w="638" w:type="dxa"/>
            <w:gridSpan w:val="2"/>
            <w:vAlign w:val="center"/>
          </w:tcPr>
          <w:p w14:paraId="0F860D00">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105</w:t>
            </w:r>
          </w:p>
        </w:tc>
        <w:tc>
          <w:tcPr>
            <w:tcW w:w="639" w:type="dxa"/>
            <w:gridSpan w:val="2"/>
            <w:vAlign w:val="center"/>
          </w:tcPr>
          <w:p w14:paraId="7E14665B">
            <w:pPr>
              <w:keepNext w:val="0"/>
              <w:keepLines w:val="0"/>
              <w:suppressLineNumbers w:val="0"/>
              <w:spacing w:before="0" w:beforeAutospacing="0" w:after="0" w:afterAutospacing="0"/>
              <w:ind w:left="0" w:right="0"/>
              <w:jc w:val="center"/>
              <w:rPr>
                <w:rFonts w:hint="eastAsia" w:ascii="Arial" w:hAnsi="Arial" w:eastAsia="宋体" w:cs="Arial"/>
                <w:b w:val="0"/>
                <w:bCs/>
                <w:szCs w:val="21"/>
                <w:lang w:val="en-US" w:eastAsia="zh-CN"/>
              </w:rPr>
            </w:pPr>
            <w:r>
              <w:rPr>
                <w:rFonts w:hint="eastAsia" w:ascii="Arial" w:hAnsi="Arial" w:eastAsia="宋体" w:cs="Arial"/>
                <w:b w:val="0"/>
                <w:bCs/>
                <w:szCs w:val="21"/>
                <w:lang w:val="en-US" w:eastAsia="zh-CN"/>
              </w:rPr>
              <w:t>1</w:t>
            </w:r>
          </w:p>
        </w:tc>
        <w:tc>
          <w:tcPr>
            <w:tcW w:w="1174" w:type="dxa"/>
            <w:vAlign w:val="center"/>
          </w:tcPr>
          <w:p w14:paraId="63717F44">
            <w:pPr>
              <w:keepNext w:val="0"/>
              <w:keepLines w:val="0"/>
              <w:suppressLineNumbers w:val="0"/>
              <w:spacing w:before="0" w:beforeAutospacing="0" w:after="0" w:afterAutospacing="0"/>
              <w:ind w:left="0" w:right="0"/>
              <w:jc w:val="center"/>
              <w:rPr>
                <w:rFonts w:hint="eastAsia" w:ascii="Arial" w:hAnsi="Arial" w:eastAsia="宋体" w:cs="Arial"/>
                <w:b w:val="0"/>
                <w:bCs/>
                <w:szCs w:val="21"/>
                <w:lang w:val="en-US" w:eastAsia="zh-CN"/>
              </w:rPr>
            </w:pPr>
            <w:r>
              <w:rPr>
                <w:rFonts w:hint="eastAsia" w:ascii="Arial" w:hAnsi="Arial" w:eastAsia="宋体" w:cs="Arial"/>
                <w:b w:val="0"/>
                <w:bCs/>
                <w:szCs w:val="21"/>
                <w:lang w:val="en-US" w:eastAsia="zh-CN"/>
              </w:rPr>
              <w:t>70</w:t>
            </w:r>
            <w:r>
              <w:rPr>
                <w:rFonts w:hint="default" w:ascii="Arial" w:hAnsi="Arial" w:eastAsia="宋体" w:cs="Arial"/>
                <w:b w:val="0"/>
                <w:bCs/>
                <w:szCs w:val="21"/>
              </w:rPr>
              <w:t>/1</w:t>
            </w:r>
          </w:p>
        </w:tc>
        <w:tc>
          <w:tcPr>
            <w:tcW w:w="3734" w:type="dxa"/>
            <w:gridSpan w:val="5"/>
            <w:vAlign w:val="center"/>
          </w:tcPr>
          <w:p w14:paraId="5C502B4E">
            <w:pPr>
              <w:keepNext w:val="0"/>
              <w:keepLines w:val="0"/>
              <w:suppressLineNumbers w:val="0"/>
              <w:spacing w:before="0" w:beforeAutospacing="0" w:after="0" w:afterAutospacing="0"/>
              <w:ind w:left="0" w:right="0"/>
              <w:jc w:val="center"/>
              <w:rPr>
                <w:rFonts w:hint="default" w:ascii="Arial" w:hAnsi="Arial" w:eastAsia="宋体" w:cs="Arial"/>
                <w:b w:val="0"/>
                <w:bCs/>
                <w:szCs w:val="21"/>
              </w:rPr>
            </w:pPr>
            <w:r>
              <w:rPr>
                <w:rFonts w:hint="eastAsia" w:ascii="Arial" w:hAnsi="Arial" w:eastAsia="宋体" w:cs="Arial"/>
                <w:b w:val="0"/>
                <w:bCs/>
                <w:szCs w:val="21"/>
                <w:lang w:val="en-US" w:eastAsia="zh-CN"/>
              </w:rPr>
              <w:t>隔声围挡</w:t>
            </w:r>
          </w:p>
        </w:tc>
        <w:tc>
          <w:tcPr>
            <w:tcW w:w="965" w:type="dxa"/>
            <w:gridSpan w:val="2"/>
            <w:vAlign w:val="center"/>
          </w:tcPr>
          <w:p w14:paraId="5BAE610D">
            <w:pPr>
              <w:keepNext w:val="0"/>
              <w:keepLines w:val="0"/>
              <w:suppressLineNumbers w:val="0"/>
              <w:spacing w:before="0" w:beforeAutospacing="0" w:after="0" w:afterAutospacing="0"/>
              <w:ind w:left="0" w:leftChars="0" w:right="0" w:rightChars="0"/>
              <w:jc w:val="center"/>
              <w:rPr>
                <w:rFonts w:hint="default" w:ascii="Arial" w:hAnsi="Arial" w:eastAsia="宋体" w:cs="Arial"/>
                <w:b w:val="0"/>
                <w:bCs/>
                <w:szCs w:val="21"/>
              </w:rPr>
            </w:pPr>
            <w:r>
              <w:rPr>
                <w:rFonts w:hint="eastAsia" w:ascii="Arial" w:hAnsi="Arial" w:eastAsia="宋体" w:cs="Arial"/>
                <w:b w:val="0"/>
                <w:bCs/>
                <w:szCs w:val="21"/>
                <w:lang w:val="en-US" w:eastAsia="zh-CN"/>
              </w:rPr>
              <w:t>昼夜</w:t>
            </w:r>
          </w:p>
        </w:tc>
      </w:tr>
      <w:tr w14:paraId="34C0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83" w:type="dxa"/>
            <w:gridSpan w:val="4"/>
            <w:vAlign w:val="center"/>
          </w:tcPr>
          <w:p w14:paraId="6BAF77D3">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抛丸风机</w:t>
            </w:r>
          </w:p>
        </w:tc>
        <w:tc>
          <w:tcPr>
            <w:tcW w:w="2235" w:type="dxa"/>
            <w:gridSpan w:val="2"/>
            <w:vAlign w:val="center"/>
          </w:tcPr>
          <w:p w14:paraId="7C8DB19E">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5000m</w:t>
            </w:r>
            <w:r>
              <w:rPr>
                <w:rFonts w:hint="eastAsia" w:ascii="Arial" w:hAnsi="Arial" w:eastAsia="宋体" w:cs="Arial"/>
                <w:b w:val="0"/>
                <w:bCs/>
                <w:szCs w:val="21"/>
                <w:vertAlign w:val="superscript"/>
                <w:lang w:val="en-US" w:eastAsia="zh-CN"/>
              </w:rPr>
              <w:t>3</w:t>
            </w:r>
            <w:r>
              <w:rPr>
                <w:rFonts w:hint="eastAsia" w:ascii="Arial" w:hAnsi="Arial" w:eastAsia="宋体" w:cs="Arial"/>
                <w:b w:val="0"/>
                <w:bCs/>
                <w:szCs w:val="21"/>
                <w:lang w:val="en-US" w:eastAsia="zh-CN"/>
              </w:rPr>
              <w:t>/h</w:t>
            </w:r>
          </w:p>
        </w:tc>
        <w:tc>
          <w:tcPr>
            <w:tcW w:w="638" w:type="dxa"/>
            <w:shd w:val="clear" w:color="auto" w:fill="auto"/>
            <w:vAlign w:val="center"/>
          </w:tcPr>
          <w:p w14:paraId="395F8FD3">
            <w:pPr>
              <w:keepNext w:val="0"/>
              <w:keepLines w:val="0"/>
              <w:suppressLineNumbers w:val="0"/>
              <w:spacing w:before="0" w:beforeAutospacing="0" w:after="0" w:afterAutospacing="0"/>
              <w:ind w:left="0" w:leftChars="0" w:right="0" w:rightChars="0"/>
              <w:jc w:val="center"/>
              <w:rPr>
                <w:rFonts w:hint="default" w:ascii="Arial" w:hAnsi="Arial" w:eastAsia="宋体" w:cs="Arial"/>
                <w:b w:val="0"/>
                <w:bCs/>
                <w:kern w:val="2"/>
                <w:sz w:val="21"/>
                <w:szCs w:val="21"/>
                <w:lang w:val="en-US" w:eastAsia="zh-CN" w:bidi="ar-SA"/>
              </w:rPr>
            </w:pPr>
            <w:r>
              <w:rPr>
                <w:rFonts w:hint="eastAsia" w:ascii="Arial" w:hAnsi="Arial" w:eastAsia="宋体" w:cs="Arial"/>
                <w:b w:val="0"/>
                <w:bCs/>
                <w:szCs w:val="21"/>
                <w:lang w:val="en-US" w:eastAsia="zh-CN"/>
              </w:rPr>
              <w:t>45</w:t>
            </w:r>
          </w:p>
        </w:tc>
        <w:tc>
          <w:tcPr>
            <w:tcW w:w="638" w:type="dxa"/>
            <w:gridSpan w:val="2"/>
            <w:shd w:val="clear" w:color="auto" w:fill="auto"/>
            <w:vAlign w:val="center"/>
          </w:tcPr>
          <w:p w14:paraId="604E28BB">
            <w:pPr>
              <w:keepNext w:val="0"/>
              <w:keepLines w:val="0"/>
              <w:suppressLineNumbers w:val="0"/>
              <w:spacing w:before="0" w:beforeAutospacing="0" w:after="0" w:afterAutospacing="0"/>
              <w:ind w:left="0" w:leftChars="0" w:right="0" w:rightChars="0"/>
              <w:jc w:val="center"/>
              <w:rPr>
                <w:rFonts w:hint="default" w:ascii="Arial" w:hAnsi="Arial" w:eastAsia="宋体" w:cs="Arial"/>
                <w:b w:val="0"/>
                <w:bCs/>
                <w:kern w:val="2"/>
                <w:sz w:val="21"/>
                <w:szCs w:val="21"/>
                <w:lang w:val="en-US" w:eastAsia="zh-CN" w:bidi="ar-SA"/>
              </w:rPr>
            </w:pPr>
            <w:r>
              <w:rPr>
                <w:rFonts w:hint="eastAsia" w:ascii="Arial" w:hAnsi="Arial" w:eastAsia="宋体" w:cs="Arial"/>
                <w:b w:val="0"/>
                <w:bCs/>
                <w:szCs w:val="21"/>
                <w:lang w:val="en-US" w:eastAsia="zh-CN"/>
              </w:rPr>
              <w:t>85</w:t>
            </w:r>
          </w:p>
        </w:tc>
        <w:tc>
          <w:tcPr>
            <w:tcW w:w="639" w:type="dxa"/>
            <w:gridSpan w:val="2"/>
            <w:vAlign w:val="center"/>
          </w:tcPr>
          <w:p w14:paraId="0895A5D8">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24</w:t>
            </w:r>
          </w:p>
        </w:tc>
        <w:tc>
          <w:tcPr>
            <w:tcW w:w="1174" w:type="dxa"/>
            <w:vAlign w:val="center"/>
          </w:tcPr>
          <w:p w14:paraId="531DE784">
            <w:pPr>
              <w:keepNext w:val="0"/>
              <w:keepLines w:val="0"/>
              <w:suppressLineNumbers w:val="0"/>
              <w:spacing w:before="0" w:beforeAutospacing="0" w:after="0" w:afterAutospacing="0"/>
              <w:ind w:left="0" w:right="0"/>
              <w:jc w:val="center"/>
              <w:rPr>
                <w:rFonts w:hint="default" w:ascii="Arial" w:hAnsi="Arial" w:eastAsia="宋体" w:cs="Arial"/>
                <w:b w:val="0"/>
                <w:bCs/>
                <w:szCs w:val="21"/>
              </w:rPr>
            </w:pPr>
            <w:r>
              <w:rPr>
                <w:rFonts w:hint="eastAsia" w:ascii="Arial" w:hAnsi="Arial" w:eastAsia="宋体" w:cs="Arial"/>
                <w:b w:val="0"/>
                <w:bCs/>
                <w:szCs w:val="21"/>
                <w:lang w:val="en-US" w:eastAsia="zh-CN"/>
              </w:rPr>
              <w:t>75</w:t>
            </w:r>
            <w:r>
              <w:rPr>
                <w:rFonts w:hint="default" w:ascii="Arial" w:hAnsi="Arial" w:eastAsia="宋体" w:cs="Arial"/>
                <w:b w:val="0"/>
                <w:bCs/>
                <w:szCs w:val="21"/>
              </w:rPr>
              <w:t>/1</w:t>
            </w:r>
          </w:p>
        </w:tc>
        <w:tc>
          <w:tcPr>
            <w:tcW w:w="3734" w:type="dxa"/>
            <w:gridSpan w:val="5"/>
            <w:vAlign w:val="center"/>
          </w:tcPr>
          <w:p w14:paraId="29823AD2">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隔声围挡</w:t>
            </w:r>
          </w:p>
        </w:tc>
        <w:tc>
          <w:tcPr>
            <w:tcW w:w="965" w:type="dxa"/>
            <w:gridSpan w:val="2"/>
            <w:vAlign w:val="center"/>
          </w:tcPr>
          <w:p w14:paraId="1ED5D9A5">
            <w:pPr>
              <w:keepNext w:val="0"/>
              <w:keepLines w:val="0"/>
              <w:suppressLineNumbers w:val="0"/>
              <w:spacing w:before="0" w:beforeAutospacing="0" w:after="0" w:afterAutospacing="0"/>
              <w:ind w:left="0" w:leftChars="0" w:right="0" w:rightChars="0"/>
              <w:jc w:val="center"/>
              <w:rPr>
                <w:rFonts w:hint="default" w:ascii="Arial" w:hAnsi="Arial" w:eastAsia="宋体" w:cs="Arial"/>
                <w:b w:val="0"/>
                <w:bCs/>
                <w:szCs w:val="21"/>
              </w:rPr>
            </w:pPr>
            <w:r>
              <w:rPr>
                <w:rFonts w:hint="eastAsia" w:ascii="Arial" w:hAnsi="Arial" w:eastAsia="宋体" w:cs="Arial"/>
                <w:b w:val="0"/>
                <w:bCs/>
                <w:szCs w:val="21"/>
                <w:lang w:val="en-US" w:eastAsia="zh-CN"/>
              </w:rPr>
              <w:t>昼夜</w:t>
            </w:r>
          </w:p>
        </w:tc>
      </w:tr>
      <w:tr w14:paraId="4266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583" w:type="dxa"/>
            <w:gridSpan w:val="4"/>
            <w:vAlign w:val="center"/>
          </w:tcPr>
          <w:p w14:paraId="4B6DEFD5">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下料风机</w:t>
            </w:r>
          </w:p>
        </w:tc>
        <w:tc>
          <w:tcPr>
            <w:tcW w:w="2235" w:type="dxa"/>
            <w:gridSpan w:val="2"/>
            <w:vAlign w:val="center"/>
          </w:tcPr>
          <w:p w14:paraId="6C2DC505">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8000m</w:t>
            </w:r>
            <w:r>
              <w:rPr>
                <w:rFonts w:hint="eastAsia" w:ascii="Arial" w:hAnsi="Arial" w:eastAsia="宋体" w:cs="Arial"/>
                <w:b w:val="0"/>
                <w:bCs/>
                <w:szCs w:val="21"/>
                <w:vertAlign w:val="superscript"/>
                <w:lang w:val="en-US" w:eastAsia="zh-CN"/>
              </w:rPr>
              <w:t>3</w:t>
            </w:r>
            <w:r>
              <w:rPr>
                <w:rFonts w:hint="eastAsia" w:ascii="Arial" w:hAnsi="Arial" w:eastAsia="宋体" w:cs="Arial"/>
                <w:b w:val="0"/>
                <w:bCs/>
                <w:szCs w:val="21"/>
                <w:lang w:val="en-US" w:eastAsia="zh-CN"/>
              </w:rPr>
              <w:t>/h</w:t>
            </w:r>
          </w:p>
        </w:tc>
        <w:tc>
          <w:tcPr>
            <w:tcW w:w="638" w:type="dxa"/>
            <w:vAlign w:val="center"/>
          </w:tcPr>
          <w:p w14:paraId="0FB3B37C">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40</w:t>
            </w:r>
          </w:p>
        </w:tc>
        <w:tc>
          <w:tcPr>
            <w:tcW w:w="638" w:type="dxa"/>
            <w:gridSpan w:val="2"/>
            <w:vAlign w:val="center"/>
          </w:tcPr>
          <w:p w14:paraId="708F0DAC">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110</w:t>
            </w:r>
          </w:p>
        </w:tc>
        <w:tc>
          <w:tcPr>
            <w:tcW w:w="639" w:type="dxa"/>
            <w:gridSpan w:val="2"/>
            <w:vAlign w:val="center"/>
          </w:tcPr>
          <w:p w14:paraId="5345034D">
            <w:pPr>
              <w:keepNext w:val="0"/>
              <w:keepLines w:val="0"/>
              <w:suppressLineNumbers w:val="0"/>
              <w:spacing w:before="0" w:beforeAutospacing="0" w:after="0" w:afterAutospacing="0"/>
              <w:ind w:left="0" w:right="0"/>
              <w:jc w:val="center"/>
              <w:rPr>
                <w:rFonts w:hint="default" w:ascii="Arial" w:hAnsi="Arial" w:eastAsia="宋体" w:cs="Arial"/>
                <w:b w:val="0"/>
                <w:bCs/>
                <w:szCs w:val="21"/>
                <w:lang w:val="en-US" w:eastAsia="zh-CN"/>
              </w:rPr>
            </w:pPr>
            <w:r>
              <w:rPr>
                <w:rFonts w:hint="eastAsia" w:ascii="Arial" w:hAnsi="Arial" w:eastAsia="宋体" w:cs="Arial"/>
                <w:b w:val="0"/>
                <w:bCs/>
                <w:szCs w:val="21"/>
                <w:lang w:val="en-US" w:eastAsia="zh-CN"/>
              </w:rPr>
              <w:t>24</w:t>
            </w:r>
          </w:p>
        </w:tc>
        <w:tc>
          <w:tcPr>
            <w:tcW w:w="1174" w:type="dxa"/>
            <w:vAlign w:val="center"/>
          </w:tcPr>
          <w:p w14:paraId="1B32DAD3">
            <w:pPr>
              <w:keepNext w:val="0"/>
              <w:keepLines w:val="0"/>
              <w:suppressLineNumbers w:val="0"/>
              <w:spacing w:before="0" w:beforeAutospacing="0" w:after="0" w:afterAutospacing="0"/>
              <w:ind w:left="0" w:right="0"/>
              <w:jc w:val="center"/>
              <w:rPr>
                <w:rFonts w:hint="default" w:ascii="Arial" w:hAnsi="Arial" w:eastAsia="宋体" w:cs="Arial"/>
                <w:b w:val="0"/>
                <w:bCs/>
                <w:szCs w:val="21"/>
              </w:rPr>
            </w:pPr>
            <w:r>
              <w:rPr>
                <w:rFonts w:hint="eastAsia" w:ascii="Arial" w:hAnsi="Arial" w:eastAsia="宋体" w:cs="Arial"/>
                <w:b w:val="0"/>
                <w:bCs/>
                <w:szCs w:val="21"/>
                <w:lang w:val="en-US" w:eastAsia="zh-CN"/>
              </w:rPr>
              <w:t>75</w:t>
            </w:r>
            <w:r>
              <w:rPr>
                <w:rFonts w:hint="default" w:ascii="Arial" w:hAnsi="Arial" w:eastAsia="宋体" w:cs="Arial"/>
                <w:b w:val="0"/>
                <w:bCs/>
                <w:szCs w:val="21"/>
              </w:rPr>
              <w:t>/1</w:t>
            </w:r>
          </w:p>
        </w:tc>
        <w:tc>
          <w:tcPr>
            <w:tcW w:w="3734" w:type="dxa"/>
            <w:gridSpan w:val="5"/>
            <w:vAlign w:val="center"/>
          </w:tcPr>
          <w:p w14:paraId="6F2F0CE9">
            <w:pPr>
              <w:keepNext w:val="0"/>
              <w:keepLines w:val="0"/>
              <w:suppressLineNumbers w:val="0"/>
              <w:spacing w:before="0" w:beforeAutospacing="0" w:after="0" w:afterAutospacing="0"/>
              <w:ind w:left="0" w:right="0"/>
              <w:jc w:val="center"/>
              <w:rPr>
                <w:rFonts w:hint="default" w:ascii="Arial" w:hAnsi="Arial" w:eastAsia="宋体" w:cs="Arial"/>
                <w:b w:val="0"/>
                <w:bCs/>
                <w:szCs w:val="21"/>
              </w:rPr>
            </w:pPr>
            <w:r>
              <w:rPr>
                <w:rFonts w:hint="eastAsia" w:ascii="Arial" w:hAnsi="Arial" w:eastAsia="宋体" w:cs="Arial"/>
                <w:b w:val="0"/>
                <w:bCs/>
                <w:szCs w:val="21"/>
                <w:lang w:val="en-US" w:eastAsia="zh-CN"/>
              </w:rPr>
              <w:t>隔声围挡</w:t>
            </w:r>
          </w:p>
        </w:tc>
        <w:tc>
          <w:tcPr>
            <w:tcW w:w="965" w:type="dxa"/>
            <w:gridSpan w:val="2"/>
            <w:vAlign w:val="center"/>
          </w:tcPr>
          <w:p w14:paraId="383BA835">
            <w:pPr>
              <w:keepNext w:val="0"/>
              <w:keepLines w:val="0"/>
              <w:suppressLineNumbers w:val="0"/>
              <w:spacing w:before="0" w:beforeAutospacing="0" w:after="0" w:afterAutospacing="0"/>
              <w:ind w:left="0" w:leftChars="0" w:right="0" w:rightChars="0"/>
              <w:jc w:val="center"/>
              <w:rPr>
                <w:rFonts w:hint="default" w:ascii="Arial" w:hAnsi="Arial" w:eastAsia="宋体" w:cs="Arial"/>
                <w:b w:val="0"/>
                <w:bCs/>
                <w:szCs w:val="21"/>
              </w:rPr>
            </w:pPr>
            <w:r>
              <w:rPr>
                <w:rFonts w:hint="eastAsia" w:ascii="Arial" w:hAnsi="Arial" w:eastAsia="宋体" w:cs="Arial"/>
                <w:b w:val="0"/>
                <w:bCs/>
                <w:szCs w:val="21"/>
                <w:lang w:val="en-US" w:eastAsia="zh-CN"/>
              </w:rPr>
              <w:t>昼夜</w:t>
            </w:r>
          </w:p>
        </w:tc>
      </w:tr>
      <w:tr w14:paraId="1A3A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06" w:type="dxa"/>
            <w:gridSpan w:val="19"/>
            <w:vAlign w:val="center"/>
          </w:tcPr>
          <w:p w14:paraId="409FA104">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r>
              <w:rPr>
                <w:rFonts w:hint="eastAsia" w:ascii="Arial" w:hAnsi="Arial" w:eastAsia="宋体" w:cs="Arial"/>
                <w:b/>
                <w:szCs w:val="21"/>
                <w:lang w:val="en-US" w:eastAsia="zh-CN"/>
              </w:rPr>
              <w:t>室内声源</w:t>
            </w:r>
          </w:p>
        </w:tc>
      </w:tr>
      <w:tr w14:paraId="776F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vMerge w:val="restart"/>
            <w:vAlign w:val="center"/>
          </w:tcPr>
          <w:p w14:paraId="7BB72AC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序号</w:t>
            </w:r>
          </w:p>
        </w:tc>
        <w:tc>
          <w:tcPr>
            <w:tcW w:w="671" w:type="dxa"/>
            <w:vMerge w:val="restart"/>
            <w:vAlign w:val="center"/>
          </w:tcPr>
          <w:p w14:paraId="2A59D1E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建筑物名称</w:t>
            </w:r>
          </w:p>
        </w:tc>
        <w:tc>
          <w:tcPr>
            <w:tcW w:w="1858" w:type="dxa"/>
            <w:vMerge w:val="restart"/>
            <w:vAlign w:val="center"/>
          </w:tcPr>
          <w:p w14:paraId="3F39B41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声源名称</w:t>
            </w:r>
          </w:p>
        </w:tc>
        <w:tc>
          <w:tcPr>
            <w:tcW w:w="567" w:type="dxa"/>
            <w:vMerge w:val="restart"/>
            <w:vAlign w:val="center"/>
          </w:tcPr>
          <w:p w14:paraId="7B269FA0">
            <w:pPr>
              <w:keepNext w:val="0"/>
              <w:keepLines w:val="0"/>
              <w:suppressLineNumbers w:val="0"/>
              <w:spacing w:before="0" w:beforeAutospacing="0" w:after="0" w:afterAutospacing="0"/>
              <w:ind w:left="0" w:right="0"/>
              <w:jc w:val="center"/>
              <w:rPr>
                <w:rFonts w:hint="default" w:ascii="Arial" w:hAnsi="Arial" w:eastAsia="宋体" w:cs="Arial"/>
                <w:b/>
                <w:szCs w:val="21"/>
                <w:lang w:val="en-US" w:eastAsia="zh-CN"/>
              </w:rPr>
            </w:pPr>
            <w:r>
              <w:rPr>
                <w:rFonts w:hint="default" w:ascii="Arial" w:hAnsi="Arial" w:eastAsia="宋体" w:cs="Arial"/>
                <w:b/>
                <w:szCs w:val="21"/>
                <w:lang w:val="en-US" w:eastAsia="zh-CN"/>
              </w:rPr>
              <w:t>数量</w:t>
            </w:r>
          </w:p>
        </w:tc>
        <w:tc>
          <w:tcPr>
            <w:tcW w:w="1547" w:type="dxa"/>
            <w:vMerge w:val="restart"/>
            <w:vAlign w:val="center"/>
          </w:tcPr>
          <w:p w14:paraId="32BC115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（声压级/距声源距离）/（dB(A)/m）</w:t>
            </w:r>
          </w:p>
        </w:tc>
        <w:tc>
          <w:tcPr>
            <w:tcW w:w="688" w:type="dxa"/>
            <w:vMerge w:val="restart"/>
            <w:vAlign w:val="center"/>
          </w:tcPr>
          <w:p w14:paraId="24A091D8">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声源控制措施</w:t>
            </w:r>
          </w:p>
        </w:tc>
        <w:tc>
          <w:tcPr>
            <w:tcW w:w="1915" w:type="dxa"/>
            <w:gridSpan w:val="5"/>
            <w:vAlign w:val="center"/>
          </w:tcPr>
          <w:p w14:paraId="71D98DAC">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空间相对位置/m</w:t>
            </w:r>
          </w:p>
        </w:tc>
        <w:tc>
          <w:tcPr>
            <w:tcW w:w="1189" w:type="dxa"/>
            <w:gridSpan w:val="2"/>
            <w:vMerge w:val="restart"/>
            <w:vAlign w:val="center"/>
          </w:tcPr>
          <w:p w14:paraId="3E299D3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距室内边界距离/m</w:t>
            </w:r>
          </w:p>
        </w:tc>
        <w:tc>
          <w:tcPr>
            <w:tcW w:w="1161" w:type="dxa"/>
            <w:vMerge w:val="restart"/>
            <w:vAlign w:val="center"/>
          </w:tcPr>
          <w:p w14:paraId="1035C9A8">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室内边界声级/dB(A)</w:t>
            </w:r>
          </w:p>
        </w:tc>
        <w:tc>
          <w:tcPr>
            <w:tcW w:w="716" w:type="dxa"/>
            <w:vMerge w:val="restart"/>
            <w:vAlign w:val="center"/>
          </w:tcPr>
          <w:p w14:paraId="42859E67">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运行时段</w:t>
            </w:r>
          </w:p>
        </w:tc>
        <w:tc>
          <w:tcPr>
            <w:tcW w:w="878" w:type="dxa"/>
            <w:vMerge w:val="restart"/>
            <w:vAlign w:val="center"/>
          </w:tcPr>
          <w:p w14:paraId="06EBDC32">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建筑物插入损失/dB(A)</w:t>
            </w:r>
          </w:p>
        </w:tc>
        <w:tc>
          <w:tcPr>
            <w:tcW w:w="1929" w:type="dxa"/>
            <w:gridSpan w:val="3"/>
            <w:vAlign w:val="center"/>
          </w:tcPr>
          <w:p w14:paraId="4AE1D726">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
                <w:szCs w:val="21"/>
              </w:rPr>
              <w:t>建筑物外噪声</w:t>
            </w:r>
          </w:p>
        </w:tc>
      </w:tr>
      <w:tr w14:paraId="4D8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vMerge w:val="continue"/>
            <w:shd w:val="clear" w:color="auto" w:fill="FFFFFF"/>
            <w:vAlign w:val="center"/>
          </w:tcPr>
          <w:p w14:paraId="59B2F84F">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671" w:type="dxa"/>
            <w:vMerge w:val="continue"/>
            <w:shd w:val="clear" w:color="auto" w:fill="FFFFFF"/>
            <w:vAlign w:val="center"/>
          </w:tcPr>
          <w:p w14:paraId="7E7BF9AE">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vMerge w:val="continue"/>
            <w:shd w:val="clear" w:color="auto" w:fill="FFFFFF"/>
            <w:vAlign w:val="center"/>
          </w:tcPr>
          <w:p w14:paraId="5DF13C20">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567" w:type="dxa"/>
            <w:vMerge w:val="continue"/>
            <w:shd w:val="clear" w:color="auto" w:fill="FFFFFF"/>
            <w:vAlign w:val="center"/>
          </w:tcPr>
          <w:p w14:paraId="304C726C">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547" w:type="dxa"/>
            <w:vMerge w:val="continue"/>
            <w:shd w:val="clear" w:color="auto" w:fill="FFFFFF"/>
            <w:vAlign w:val="center"/>
          </w:tcPr>
          <w:p w14:paraId="017AB036">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688" w:type="dxa"/>
            <w:vMerge w:val="continue"/>
            <w:shd w:val="clear" w:color="auto" w:fill="FFFFFF"/>
            <w:vAlign w:val="center"/>
          </w:tcPr>
          <w:p w14:paraId="36DC9801">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897" w:type="dxa"/>
            <w:gridSpan w:val="2"/>
            <w:shd w:val="clear" w:color="auto" w:fill="FFFFFF"/>
            <w:vAlign w:val="center"/>
          </w:tcPr>
          <w:p w14:paraId="0605A36C">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X</w:t>
            </w:r>
          </w:p>
        </w:tc>
        <w:tc>
          <w:tcPr>
            <w:tcW w:w="669" w:type="dxa"/>
            <w:gridSpan w:val="2"/>
            <w:shd w:val="clear" w:color="auto" w:fill="FFFFFF"/>
            <w:vAlign w:val="center"/>
          </w:tcPr>
          <w:p w14:paraId="7F29BC9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Y</w:t>
            </w:r>
          </w:p>
        </w:tc>
        <w:tc>
          <w:tcPr>
            <w:tcW w:w="349" w:type="dxa"/>
            <w:shd w:val="clear" w:color="auto" w:fill="FFFFFF"/>
            <w:vAlign w:val="center"/>
          </w:tcPr>
          <w:p w14:paraId="474F746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Z</w:t>
            </w:r>
          </w:p>
        </w:tc>
        <w:tc>
          <w:tcPr>
            <w:tcW w:w="1189" w:type="dxa"/>
            <w:gridSpan w:val="2"/>
            <w:vMerge w:val="continue"/>
            <w:shd w:val="clear" w:color="auto" w:fill="FFFFFF"/>
            <w:vAlign w:val="center"/>
          </w:tcPr>
          <w:p w14:paraId="53F58253">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161" w:type="dxa"/>
            <w:vMerge w:val="continue"/>
            <w:shd w:val="clear" w:color="auto" w:fill="FFFFFF"/>
            <w:vAlign w:val="center"/>
          </w:tcPr>
          <w:p w14:paraId="2C5906C5">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716" w:type="dxa"/>
            <w:vMerge w:val="continue"/>
            <w:shd w:val="clear" w:color="auto" w:fill="FFFFFF"/>
            <w:vAlign w:val="center"/>
          </w:tcPr>
          <w:p w14:paraId="5975B3AE">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878" w:type="dxa"/>
            <w:vMerge w:val="continue"/>
            <w:shd w:val="clear" w:color="auto" w:fill="FFFFFF"/>
            <w:vAlign w:val="center"/>
          </w:tcPr>
          <w:p w14:paraId="31D23673">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237" w:type="dxa"/>
            <w:gridSpan w:val="2"/>
            <w:shd w:val="clear" w:color="auto" w:fill="FFFFFF"/>
            <w:vAlign w:val="center"/>
          </w:tcPr>
          <w:p w14:paraId="76227CB6">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声压级/dB(A)</w:t>
            </w:r>
          </w:p>
        </w:tc>
        <w:tc>
          <w:tcPr>
            <w:tcW w:w="692" w:type="dxa"/>
            <w:shd w:val="clear" w:color="auto" w:fill="FFFFFF"/>
            <w:vAlign w:val="center"/>
          </w:tcPr>
          <w:p w14:paraId="79308B88">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建筑物外距离</w:t>
            </w:r>
          </w:p>
        </w:tc>
      </w:tr>
      <w:tr w14:paraId="76D0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0C4641F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671" w:type="dxa"/>
            <w:vMerge w:val="restart"/>
            <w:shd w:val="clear" w:color="auto" w:fill="FFFFFF"/>
            <w:vAlign w:val="center"/>
          </w:tcPr>
          <w:p w14:paraId="72E66293">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2#生产车间</w:t>
            </w:r>
          </w:p>
        </w:tc>
        <w:tc>
          <w:tcPr>
            <w:tcW w:w="1858" w:type="dxa"/>
            <w:shd w:val="clear" w:color="auto" w:fill="auto"/>
            <w:vAlign w:val="center"/>
          </w:tcPr>
          <w:p w14:paraId="35F5470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圆盘锯</w:t>
            </w:r>
          </w:p>
        </w:tc>
        <w:tc>
          <w:tcPr>
            <w:tcW w:w="567" w:type="dxa"/>
            <w:shd w:val="clear" w:color="auto" w:fill="auto"/>
            <w:vAlign w:val="center"/>
          </w:tcPr>
          <w:p w14:paraId="21E0A2B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1547" w:type="dxa"/>
            <w:shd w:val="clear" w:color="auto" w:fill="FFFFFF"/>
            <w:vAlign w:val="center"/>
          </w:tcPr>
          <w:p w14:paraId="70BD6A66">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lang w:val="en-US" w:eastAsia="zh-CN"/>
              </w:rPr>
              <w:t>85</w:t>
            </w:r>
            <w:r>
              <w:rPr>
                <w:rFonts w:hint="default" w:ascii="Arial" w:hAnsi="Arial" w:eastAsia="宋体" w:cs="Arial"/>
                <w:szCs w:val="21"/>
              </w:rPr>
              <w:t>/1</w:t>
            </w:r>
          </w:p>
        </w:tc>
        <w:tc>
          <w:tcPr>
            <w:tcW w:w="688" w:type="dxa"/>
            <w:shd w:val="clear" w:color="auto" w:fill="FFFFFF"/>
            <w:vAlign w:val="center"/>
          </w:tcPr>
          <w:p w14:paraId="27280F37">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785AEB1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50</w:t>
            </w:r>
          </w:p>
        </w:tc>
        <w:tc>
          <w:tcPr>
            <w:tcW w:w="669" w:type="dxa"/>
            <w:gridSpan w:val="2"/>
            <w:shd w:val="clear" w:color="auto" w:fill="FFFFFF"/>
            <w:vAlign w:val="center"/>
          </w:tcPr>
          <w:p w14:paraId="12F24C1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108</w:t>
            </w:r>
          </w:p>
        </w:tc>
        <w:tc>
          <w:tcPr>
            <w:tcW w:w="349" w:type="dxa"/>
            <w:shd w:val="clear" w:color="auto" w:fill="FFFFFF"/>
            <w:vAlign w:val="center"/>
          </w:tcPr>
          <w:p w14:paraId="2E47542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c>
          <w:tcPr>
            <w:tcW w:w="1189" w:type="dxa"/>
            <w:gridSpan w:val="2"/>
            <w:shd w:val="clear" w:color="auto" w:fill="FFFFFF"/>
            <w:vAlign w:val="center"/>
          </w:tcPr>
          <w:p w14:paraId="17B569D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w:t>
            </w:r>
            <w:r>
              <w:rPr>
                <w:rFonts w:hint="default" w:ascii="Arial" w:hAnsi="Arial" w:eastAsia="宋体" w:cs="Arial"/>
                <w:szCs w:val="21"/>
                <w:lang w:val="en-US" w:eastAsia="zh-CN"/>
              </w:rPr>
              <w:t>~7</w:t>
            </w:r>
            <w:r>
              <w:rPr>
                <w:rFonts w:hint="eastAsia" w:ascii="Arial" w:hAnsi="Arial" w:eastAsia="宋体" w:cs="Arial"/>
                <w:szCs w:val="21"/>
                <w:lang w:val="en-US" w:eastAsia="zh-CN"/>
              </w:rPr>
              <w:t>1</w:t>
            </w:r>
          </w:p>
        </w:tc>
        <w:tc>
          <w:tcPr>
            <w:tcW w:w="1161" w:type="dxa"/>
            <w:shd w:val="clear" w:color="auto" w:fill="FFFFFF"/>
            <w:vAlign w:val="center"/>
          </w:tcPr>
          <w:p w14:paraId="2F13F987">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6.9</w:t>
            </w:r>
          </w:p>
        </w:tc>
        <w:tc>
          <w:tcPr>
            <w:tcW w:w="716" w:type="dxa"/>
            <w:shd w:val="clear" w:color="auto" w:fill="FFFFFF"/>
            <w:vAlign w:val="center"/>
          </w:tcPr>
          <w:p w14:paraId="7BC3A58C">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05A9504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4C1B3028">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60.8~60.9</w:t>
            </w:r>
          </w:p>
        </w:tc>
        <w:tc>
          <w:tcPr>
            <w:tcW w:w="692" w:type="dxa"/>
            <w:shd w:val="clear" w:color="auto" w:fill="FFFFFF"/>
            <w:vAlign w:val="center"/>
          </w:tcPr>
          <w:p w14:paraId="7B25BCC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0BDC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87" w:type="dxa"/>
            <w:shd w:val="clear" w:color="auto" w:fill="FFFFFF"/>
            <w:vAlign w:val="center"/>
          </w:tcPr>
          <w:p w14:paraId="2C9F91A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2</w:t>
            </w:r>
          </w:p>
        </w:tc>
        <w:tc>
          <w:tcPr>
            <w:tcW w:w="671" w:type="dxa"/>
            <w:vMerge w:val="continue"/>
            <w:shd w:val="clear" w:color="auto" w:fill="FFFFFF"/>
            <w:vAlign w:val="center"/>
          </w:tcPr>
          <w:p w14:paraId="07047471">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18EA133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抛丸机</w:t>
            </w:r>
          </w:p>
        </w:tc>
        <w:tc>
          <w:tcPr>
            <w:tcW w:w="567" w:type="dxa"/>
            <w:shd w:val="clear" w:color="auto" w:fill="auto"/>
            <w:vAlign w:val="center"/>
          </w:tcPr>
          <w:p w14:paraId="2CFF560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1547" w:type="dxa"/>
            <w:shd w:val="clear" w:color="auto" w:fill="FFFFFF"/>
            <w:vAlign w:val="center"/>
          </w:tcPr>
          <w:p w14:paraId="4FA2D2E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eastAsia" w:ascii="Arial" w:hAnsi="Arial" w:eastAsia="宋体" w:cs="Arial"/>
                <w:szCs w:val="21"/>
                <w:lang w:val="en-US" w:eastAsia="zh-CN"/>
              </w:rPr>
              <w:t>80</w:t>
            </w:r>
            <w:r>
              <w:rPr>
                <w:rFonts w:hint="default" w:ascii="Arial" w:hAnsi="Arial" w:eastAsia="宋体" w:cs="Arial"/>
                <w:szCs w:val="21"/>
              </w:rPr>
              <w:t>/1</w:t>
            </w:r>
          </w:p>
        </w:tc>
        <w:tc>
          <w:tcPr>
            <w:tcW w:w="688" w:type="dxa"/>
            <w:shd w:val="clear" w:color="auto" w:fill="FFFFFF"/>
            <w:vAlign w:val="center"/>
          </w:tcPr>
          <w:p w14:paraId="2BF87EC2">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22671357">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32</w:t>
            </w:r>
          </w:p>
        </w:tc>
        <w:tc>
          <w:tcPr>
            <w:tcW w:w="669" w:type="dxa"/>
            <w:gridSpan w:val="2"/>
            <w:shd w:val="clear" w:color="auto" w:fill="FFFFFF"/>
            <w:vAlign w:val="center"/>
          </w:tcPr>
          <w:p w14:paraId="51FF59C7">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92</w:t>
            </w:r>
          </w:p>
        </w:tc>
        <w:tc>
          <w:tcPr>
            <w:tcW w:w="349" w:type="dxa"/>
            <w:shd w:val="clear" w:color="auto" w:fill="FFFFFF"/>
            <w:vAlign w:val="center"/>
          </w:tcPr>
          <w:p w14:paraId="5745F03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c>
          <w:tcPr>
            <w:tcW w:w="1189" w:type="dxa"/>
            <w:gridSpan w:val="2"/>
            <w:shd w:val="clear" w:color="auto" w:fill="FFFFFF"/>
            <w:vAlign w:val="center"/>
          </w:tcPr>
          <w:p w14:paraId="2BF250C3">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8</w:t>
            </w:r>
            <w:r>
              <w:rPr>
                <w:rFonts w:hint="default" w:ascii="Arial" w:hAnsi="Arial" w:eastAsia="宋体" w:cs="Arial"/>
                <w:szCs w:val="21"/>
                <w:lang w:val="en-US" w:eastAsia="zh-CN"/>
              </w:rPr>
              <w:t>~</w:t>
            </w:r>
            <w:r>
              <w:rPr>
                <w:rFonts w:hint="eastAsia" w:ascii="Arial" w:hAnsi="Arial" w:eastAsia="宋体" w:cs="Arial"/>
                <w:szCs w:val="21"/>
                <w:lang w:val="en-US" w:eastAsia="zh-CN"/>
              </w:rPr>
              <w:t>90</w:t>
            </w:r>
          </w:p>
        </w:tc>
        <w:tc>
          <w:tcPr>
            <w:tcW w:w="1161" w:type="dxa"/>
            <w:shd w:val="clear" w:color="auto" w:fill="FFFFFF"/>
            <w:vAlign w:val="center"/>
          </w:tcPr>
          <w:p w14:paraId="204E2558">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6.8</w:t>
            </w:r>
          </w:p>
        </w:tc>
        <w:tc>
          <w:tcPr>
            <w:tcW w:w="716" w:type="dxa"/>
            <w:shd w:val="clear" w:color="auto" w:fill="FFFFFF"/>
            <w:vAlign w:val="center"/>
          </w:tcPr>
          <w:p w14:paraId="1A22CF7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lang w:val="en-US" w:eastAsia="zh-CN"/>
              </w:rPr>
              <w:t>昼夜</w:t>
            </w:r>
          </w:p>
        </w:tc>
        <w:tc>
          <w:tcPr>
            <w:tcW w:w="878" w:type="dxa"/>
            <w:shd w:val="clear" w:color="auto" w:fill="FFFFFF"/>
            <w:vAlign w:val="center"/>
          </w:tcPr>
          <w:p w14:paraId="3BCE14A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28F76688">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55.8~55.8</w:t>
            </w:r>
          </w:p>
        </w:tc>
        <w:tc>
          <w:tcPr>
            <w:tcW w:w="692" w:type="dxa"/>
            <w:shd w:val="clear" w:color="auto" w:fill="FFFFFF"/>
            <w:vAlign w:val="center"/>
          </w:tcPr>
          <w:p w14:paraId="7D5525B9">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14A1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1AE9D3A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3</w:t>
            </w:r>
          </w:p>
        </w:tc>
        <w:tc>
          <w:tcPr>
            <w:tcW w:w="671" w:type="dxa"/>
            <w:vMerge w:val="continue"/>
            <w:shd w:val="clear" w:color="auto" w:fill="FFFFFF"/>
            <w:vAlign w:val="center"/>
          </w:tcPr>
          <w:p w14:paraId="05C179A2">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0B24304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预抽真空井式炉</w:t>
            </w:r>
          </w:p>
        </w:tc>
        <w:tc>
          <w:tcPr>
            <w:tcW w:w="567" w:type="dxa"/>
            <w:shd w:val="clear" w:color="auto" w:fill="auto"/>
            <w:vAlign w:val="center"/>
          </w:tcPr>
          <w:p w14:paraId="1B00CFF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1547" w:type="dxa"/>
            <w:shd w:val="clear" w:color="auto" w:fill="FFFFFF"/>
            <w:vAlign w:val="center"/>
          </w:tcPr>
          <w:p w14:paraId="6447B91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eastAsia" w:ascii="Arial" w:hAnsi="Arial" w:eastAsia="宋体" w:cs="Arial"/>
                <w:szCs w:val="21"/>
                <w:lang w:val="en-US" w:eastAsia="zh-CN"/>
              </w:rPr>
              <w:t>70</w:t>
            </w:r>
            <w:r>
              <w:rPr>
                <w:rFonts w:hint="default" w:ascii="Arial" w:hAnsi="Arial" w:eastAsia="宋体" w:cs="Arial"/>
                <w:szCs w:val="21"/>
              </w:rPr>
              <w:t>/1</w:t>
            </w:r>
          </w:p>
        </w:tc>
        <w:tc>
          <w:tcPr>
            <w:tcW w:w="688" w:type="dxa"/>
            <w:shd w:val="clear" w:color="auto" w:fill="FFFFFF"/>
            <w:vAlign w:val="center"/>
          </w:tcPr>
          <w:p w14:paraId="583DE1D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00E375A3">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36</w:t>
            </w:r>
          </w:p>
        </w:tc>
        <w:tc>
          <w:tcPr>
            <w:tcW w:w="669" w:type="dxa"/>
            <w:gridSpan w:val="2"/>
            <w:shd w:val="clear" w:color="auto" w:fill="FFFFFF"/>
            <w:vAlign w:val="center"/>
          </w:tcPr>
          <w:p w14:paraId="7CC2D228">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92</w:t>
            </w:r>
          </w:p>
        </w:tc>
        <w:tc>
          <w:tcPr>
            <w:tcW w:w="349" w:type="dxa"/>
            <w:shd w:val="clear" w:color="auto" w:fill="FFFFFF"/>
            <w:vAlign w:val="center"/>
          </w:tcPr>
          <w:p w14:paraId="262FE9F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c>
          <w:tcPr>
            <w:tcW w:w="1189" w:type="dxa"/>
            <w:gridSpan w:val="2"/>
            <w:shd w:val="clear" w:color="auto" w:fill="FFFFFF"/>
            <w:vAlign w:val="center"/>
          </w:tcPr>
          <w:p w14:paraId="3386DB40">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8</w:t>
            </w:r>
            <w:r>
              <w:rPr>
                <w:rFonts w:hint="default" w:ascii="Arial" w:hAnsi="Arial" w:eastAsia="宋体" w:cs="Arial"/>
                <w:szCs w:val="21"/>
                <w:lang w:val="en-US" w:eastAsia="zh-CN"/>
              </w:rPr>
              <w:t>~</w:t>
            </w:r>
            <w:r>
              <w:rPr>
                <w:rFonts w:hint="eastAsia" w:ascii="Arial" w:hAnsi="Arial" w:eastAsia="宋体" w:cs="Arial"/>
                <w:szCs w:val="21"/>
                <w:lang w:val="en-US" w:eastAsia="zh-CN"/>
              </w:rPr>
              <w:t>86</w:t>
            </w:r>
          </w:p>
        </w:tc>
        <w:tc>
          <w:tcPr>
            <w:tcW w:w="1161" w:type="dxa"/>
            <w:shd w:val="clear" w:color="auto" w:fill="FFFFFF"/>
            <w:vAlign w:val="center"/>
          </w:tcPr>
          <w:p w14:paraId="751A319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61.8</w:t>
            </w:r>
            <w:r>
              <w:rPr>
                <w:rFonts w:hint="default" w:ascii="Arial" w:hAnsi="Arial" w:eastAsia="宋体" w:cs="Arial"/>
                <w:szCs w:val="21"/>
                <w:lang w:val="en-US" w:eastAsia="zh-CN"/>
              </w:rPr>
              <w:t>~</w:t>
            </w:r>
            <w:r>
              <w:rPr>
                <w:rFonts w:hint="eastAsia" w:ascii="Arial" w:hAnsi="Arial" w:eastAsia="宋体" w:cs="Arial"/>
                <w:szCs w:val="21"/>
                <w:lang w:val="en-US" w:eastAsia="zh-CN"/>
              </w:rPr>
              <w:t>61.8</w:t>
            </w:r>
          </w:p>
        </w:tc>
        <w:tc>
          <w:tcPr>
            <w:tcW w:w="716" w:type="dxa"/>
            <w:shd w:val="clear" w:color="auto" w:fill="FFFFFF"/>
            <w:vAlign w:val="center"/>
          </w:tcPr>
          <w:p w14:paraId="2D84DEA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lang w:val="en-US" w:eastAsia="zh-CN"/>
              </w:rPr>
              <w:t>昼夜</w:t>
            </w:r>
          </w:p>
        </w:tc>
        <w:tc>
          <w:tcPr>
            <w:tcW w:w="878" w:type="dxa"/>
            <w:shd w:val="clear" w:color="auto" w:fill="FFFFFF"/>
            <w:vAlign w:val="center"/>
          </w:tcPr>
          <w:p w14:paraId="2E268C1C">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1F7B3FB4">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45.8~45.8</w:t>
            </w:r>
          </w:p>
        </w:tc>
        <w:tc>
          <w:tcPr>
            <w:tcW w:w="692" w:type="dxa"/>
            <w:shd w:val="clear" w:color="auto" w:fill="FFFFFF"/>
            <w:vAlign w:val="center"/>
          </w:tcPr>
          <w:p w14:paraId="23545E7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524C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0B587D4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4</w:t>
            </w:r>
          </w:p>
        </w:tc>
        <w:tc>
          <w:tcPr>
            <w:tcW w:w="671" w:type="dxa"/>
            <w:vMerge w:val="continue"/>
            <w:shd w:val="clear" w:color="auto" w:fill="FFFFFF"/>
            <w:vAlign w:val="center"/>
          </w:tcPr>
          <w:p w14:paraId="72FCD5B7">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3E36113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挤压预处理机</w:t>
            </w:r>
          </w:p>
        </w:tc>
        <w:tc>
          <w:tcPr>
            <w:tcW w:w="567" w:type="dxa"/>
            <w:shd w:val="clear" w:color="auto" w:fill="auto"/>
            <w:vAlign w:val="center"/>
          </w:tcPr>
          <w:p w14:paraId="42DEA63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1547" w:type="dxa"/>
            <w:shd w:val="clear" w:color="auto" w:fill="FFFFFF"/>
            <w:vAlign w:val="center"/>
          </w:tcPr>
          <w:p w14:paraId="216B35D9">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eastAsia" w:ascii="Arial" w:hAnsi="Arial" w:eastAsia="宋体" w:cs="Arial"/>
                <w:szCs w:val="21"/>
                <w:lang w:val="en-US" w:eastAsia="zh-CN"/>
              </w:rPr>
              <w:t>70</w:t>
            </w:r>
            <w:r>
              <w:rPr>
                <w:rFonts w:hint="default" w:ascii="Arial" w:hAnsi="Arial" w:eastAsia="宋体" w:cs="Arial"/>
                <w:szCs w:val="21"/>
              </w:rPr>
              <w:t>1</w:t>
            </w:r>
          </w:p>
        </w:tc>
        <w:tc>
          <w:tcPr>
            <w:tcW w:w="688" w:type="dxa"/>
            <w:shd w:val="clear" w:color="auto" w:fill="FFFFFF"/>
            <w:vAlign w:val="center"/>
          </w:tcPr>
          <w:p w14:paraId="144BEA38">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7745D1D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40</w:t>
            </w:r>
          </w:p>
        </w:tc>
        <w:tc>
          <w:tcPr>
            <w:tcW w:w="669" w:type="dxa"/>
            <w:gridSpan w:val="2"/>
            <w:shd w:val="clear" w:color="auto" w:fill="FFFFFF"/>
            <w:vAlign w:val="center"/>
          </w:tcPr>
          <w:p w14:paraId="2F239C01">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92</w:t>
            </w:r>
          </w:p>
        </w:tc>
        <w:tc>
          <w:tcPr>
            <w:tcW w:w="349" w:type="dxa"/>
            <w:shd w:val="clear" w:color="auto" w:fill="FFFFFF"/>
            <w:vAlign w:val="center"/>
          </w:tcPr>
          <w:p w14:paraId="438B62E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c>
          <w:tcPr>
            <w:tcW w:w="1189" w:type="dxa"/>
            <w:gridSpan w:val="2"/>
            <w:shd w:val="clear" w:color="auto" w:fill="FFFFFF"/>
            <w:vAlign w:val="center"/>
          </w:tcPr>
          <w:p w14:paraId="6B59C5B2">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8~82</w:t>
            </w:r>
          </w:p>
        </w:tc>
        <w:tc>
          <w:tcPr>
            <w:tcW w:w="1161" w:type="dxa"/>
            <w:shd w:val="clear" w:color="auto" w:fill="FFFFFF"/>
            <w:vAlign w:val="center"/>
          </w:tcPr>
          <w:p w14:paraId="6D5F9C89">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6.8</w:t>
            </w:r>
          </w:p>
        </w:tc>
        <w:tc>
          <w:tcPr>
            <w:tcW w:w="716" w:type="dxa"/>
            <w:shd w:val="clear" w:color="auto" w:fill="FFFFFF"/>
            <w:vAlign w:val="center"/>
          </w:tcPr>
          <w:p w14:paraId="31AB129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lang w:val="en-US" w:eastAsia="zh-CN"/>
              </w:rPr>
              <w:t>昼夜</w:t>
            </w:r>
          </w:p>
        </w:tc>
        <w:tc>
          <w:tcPr>
            <w:tcW w:w="878" w:type="dxa"/>
            <w:shd w:val="clear" w:color="auto" w:fill="FFFFFF"/>
            <w:vAlign w:val="center"/>
          </w:tcPr>
          <w:p w14:paraId="1724322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6F35349E">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45.8~45.8</w:t>
            </w:r>
          </w:p>
        </w:tc>
        <w:tc>
          <w:tcPr>
            <w:tcW w:w="692" w:type="dxa"/>
            <w:shd w:val="clear" w:color="auto" w:fill="FFFFFF"/>
            <w:vAlign w:val="center"/>
          </w:tcPr>
          <w:p w14:paraId="76138AC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7CC1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03FD4F4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5</w:t>
            </w:r>
          </w:p>
        </w:tc>
        <w:tc>
          <w:tcPr>
            <w:tcW w:w="671" w:type="dxa"/>
            <w:vMerge w:val="continue"/>
            <w:shd w:val="clear" w:color="auto" w:fill="FFFFFF"/>
            <w:vAlign w:val="center"/>
          </w:tcPr>
          <w:p w14:paraId="0AF81DA7">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0268DAF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800T油压机</w:t>
            </w:r>
          </w:p>
        </w:tc>
        <w:tc>
          <w:tcPr>
            <w:tcW w:w="567" w:type="dxa"/>
            <w:shd w:val="clear" w:color="auto" w:fill="auto"/>
            <w:vAlign w:val="center"/>
          </w:tcPr>
          <w:p w14:paraId="656B099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1547" w:type="dxa"/>
            <w:shd w:val="clear" w:color="auto" w:fill="FFFFFF"/>
            <w:vAlign w:val="center"/>
          </w:tcPr>
          <w:p w14:paraId="78FAA01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80</w:t>
            </w:r>
            <w:r>
              <w:rPr>
                <w:rFonts w:hint="default" w:ascii="Arial" w:hAnsi="Arial" w:eastAsia="宋体" w:cs="Arial"/>
                <w:szCs w:val="21"/>
              </w:rPr>
              <w:t>/1</w:t>
            </w:r>
          </w:p>
        </w:tc>
        <w:tc>
          <w:tcPr>
            <w:tcW w:w="688" w:type="dxa"/>
            <w:shd w:val="clear" w:color="auto" w:fill="FFFFFF"/>
            <w:vAlign w:val="center"/>
          </w:tcPr>
          <w:p w14:paraId="5E772E3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w:t>
            </w:r>
          </w:p>
        </w:tc>
        <w:tc>
          <w:tcPr>
            <w:tcW w:w="897" w:type="dxa"/>
            <w:gridSpan w:val="2"/>
            <w:shd w:val="clear" w:color="auto" w:fill="FFFFFF"/>
            <w:vAlign w:val="center"/>
          </w:tcPr>
          <w:p w14:paraId="5F79D9B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50</w:t>
            </w:r>
          </w:p>
        </w:tc>
        <w:tc>
          <w:tcPr>
            <w:tcW w:w="669" w:type="dxa"/>
            <w:gridSpan w:val="2"/>
            <w:shd w:val="clear" w:color="auto" w:fill="FFFFFF"/>
            <w:vAlign w:val="center"/>
          </w:tcPr>
          <w:p w14:paraId="05D3F3B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85</w:t>
            </w:r>
          </w:p>
        </w:tc>
        <w:tc>
          <w:tcPr>
            <w:tcW w:w="349" w:type="dxa"/>
            <w:shd w:val="clear" w:color="auto" w:fill="FFFFFF"/>
            <w:vAlign w:val="center"/>
          </w:tcPr>
          <w:p w14:paraId="79AAC6D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c>
          <w:tcPr>
            <w:tcW w:w="1189" w:type="dxa"/>
            <w:gridSpan w:val="2"/>
            <w:shd w:val="clear" w:color="auto" w:fill="FFFFFF"/>
            <w:vAlign w:val="center"/>
          </w:tcPr>
          <w:p w14:paraId="21A4363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75</w:t>
            </w:r>
          </w:p>
        </w:tc>
        <w:tc>
          <w:tcPr>
            <w:tcW w:w="1161" w:type="dxa"/>
            <w:shd w:val="clear" w:color="auto" w:fill="FFFFFF"/>
            <w:vAlign w:val="center"/>
          </w:tcPr>
          <w:p w14:paraId="4AF2321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6.9</w:t>
            </w:r>
          </w:p>
        </w:tc>
        <w:tc>
          <w:tcPr>
            <w:tcW w:w="716" w:type="dxa"/>
            <w:shd w:val="clear" w:color="auto" w:fill="FFFFFF"/>
            <w:vAlign w:val="center"/>
          </w:tcPr>
          <w:p w14:paraId="0F2599B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昼夜</w:t>
            </w:r>
          </w:p>
        </w:tc>
        <w:tc>
          <w:tcPr>
            <w:tcW w:w="878" w:type="dxa"/>
            <w:shd w:val="clear" w:color="auto" w:fill="FFFFFF"/>
            <w:vAlign w:val="center"/>
          </w:tcPr>
          <w:p w14:paraId="18C68A1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6DB40FF5">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55.8~55.9</w:t>
            </w:r>
          </w:p>
        </w:tc>
        <w:tc>
          <w:tcPr>
            <w:tcW w:w="692" w:type="dxa"/>
            <w:shd w:val="clear" w:color="auto" w:fill="FFFFFF"/>
            <w:vAlign w:val="center"/>
          </w:tcPr>
          <w:p w14:paraId="5F5E820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r>
      <w:tr w14:paraId="15EC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100D657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6</w:t>
            </w:r>
          </w:p>
        </w:tc>
        <w:tc>
          <w:tcPr>
            <w:tcW w:w="671" w:type="dxa"/>
            <w:vMerge w:val="continue"/>
            <w:shd w:val="clear" w:color="auto" w:fill="FFFFFF"/>
            <w:vAlign w:val="center"/>
          </w:tcPr>
          <w:p w14:paraId="22134518">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08B1922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500T油压机</w:t>
            </w:r>
          </w:p>
        </w:tc>
        <w:tc>
          <w:tcPr>
            <w:tcW w:w="567" w:type="dxa"/>
            <w:shd w:val="clear" w:color="auto" w:fill="auto"/>
            <w:vAlign w:val="center"/>
          </w:tcPr>
          <w:p w14:paraId="60500EC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1547" w:type="dxa"/>
            <w:shd w:val="clear" w:color="auto" w:fill="FFFFFF"/>
            <w:vAlign w:val="center"/>
          </w:tcPr>
          <w:p w14:paraId="7829DF4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80</w:t>
            </w:r>
            <w:r>
              <w:rPr>
                <w:rFonts w:hint="default" w:ascii="Arial" w:hAnsi="Arial" w:eastAsia="宋体" w:cs="Arial"/>
                <w:szCs w:val="21"/>
              </w:rPr>
              <w:t>/1</w:t>
            </w:r>
          </w:p>
        </w:tc>
        <w:tc>
          <w:tcPr>
            <w:tcW w:w="688" w:type="dxa"/>
            <w:shd w:val="clear" w:color="auto" w:fill="FFFFFF"/>
            <w:vAlign w:val="center"/>
          </w:tcPr>
          <w:p w14:paraId="0EF5E5D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w:t>
            </w:r>
          </w:p>
        </w:tc>
        <w:tc>
          <w:tcPr>
            <w:tcW w:w="897" w:type="dxa"/>
            <w:gridSpan w:val="2"/>
            <w:shd w:val="clear" w:color="auto" w:fill="FFFFFF"/>
            <w:vAlign w:val="center"/>
          </w:tcPr>
          <w:p w14:paraId="78085D8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57</w:t>
            </w:r>
          </w:p>
        </w:tc>
        <w:tc>
          <w:tcPr>
            <w:tcW w:w="669" w:type="dxa"/>
            <w:gridSpan w:val="2"/>
            <w:shd w:val="clear" w:color="auto" w:fill="FFFFFF"/>
            <w:vAlign w:val="center"/>
          </w:tcPr>
          <w:p w14:paraId="6C68120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90</w:t>
            </w:r>
          </w:p>
        </w:tc>
        <w:tc>
          <w:tcPr>
            <w:tcW w:w="349" w:type="dxa"/>
            <w:shd w:val="clear" w:color="auto" w:fill="FFFFFF"/>
            <w:vAlign w:val="center"/>
          </w:tcPr>
          <w:p w14:paraId="04A6E38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c>
          <w:tcPr>
            <w:tcW w:w="1189" w:type="dxa"/>
            <w:gridSpan w:val="2"/>
            <w:shd w:val="clear" w:color="auto" w:fill="FFFFFF"/>
            <w:vAlign w:val="center"/>
          </w:tcPr>
          <w:p w14:paraId="26809F3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75</w:t>
            </w:r>
          </w:p>
        </w:tc>
        <w:tc>
          <w:tcPr>
            <w:tcW w:w="1161" w:type="dxa"/>
            <w:shd w:val="clear" w:color="auto" w:fill="FFFFFF"/>
            <w:vAlign w:val="center"/>
          </w:tcPr>
          <w:p w14:paraId="2544A5C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6.9</w:t>
            </w:r>
          </w:p>
        </w:tc>
        <w:tc>
          <w:tcPr>
            <w:tcW w:w="716" w:type="dxa"/>
            <w:shd w:val="clear" w:color="auto" w:fill="FFFFFF"/>
            <w:vAlign w:val="center"/>
          </w:tcPr>
          <w:p w14:paraId="7D2336C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昼夜</w:t>
            </w:r>
          </w:p>
        </w:tc>
        <w:tc>
          <w:tcPr>
            <w:tcW w:w="878" w:type="dxa"/>
            <w:shd w:val="clear" w:color="auto" w:fill="FFFFFF"/>
            <w:vAlign w:val="center"/>
          </w:tcPr>
          <w:p w14:paraId="4CB2813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79C93130">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60.8~60.9</w:t>
            </w:r>
          </w:p>
        </w:tc>
        <w:tc>
          <w:tcPr>
            <w:tcW w:w="692" w:type="dxa"/>
            <w:shd w:val="clear" w:color="auto" w:fill="FFFFFF"/>
            <w:vAlign w:val="center"/>
          </w:tcPr>
          <w:p w14:paraId="749EA32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r>
      <w:tr w14:paraId="773B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373432F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7</w:t>
            </w:r>
          </w:p>
        </w:tc>
        <w:tc>
          <w:tcPr>
            <w:tcW w:w="671" w:type="dxa"/>
            <w:vMerge w:val="continue"/>
            <w:shd w:val="clear" w:color="auto" w:fill="FFFFFF"/>
            <w:vAlign w:val="center"/>
          </w:tcPr>
          <w:p w14:paraId="74EFB043">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7D611A5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中频加热炉</w:t>
            </w:r>
          </w:p>
        </w:tc>
        <w:tc>
          <w:tcPr>
            <w:tcW w:w="567" w:type="dxa"/>
            <w:shd w:val="clear" w:color="auto" w:fill="auto"/>
            <w:vAlign w:val="center"/>
          </w:tcPr>
          <w:p w14:paraId="06CEF1D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4</w:t>
            </w:r>
          </w:p>
        </w:tc>
        <w:tc>
          <w:tcPr>
            <w:tcW w:w="1547" w:type="dxa"/>
            <w:shd w:val="clear" w:color="auto" w:fill="FFFFFF"/>
            <w:vAlign w:val="center"/>
          </w:tcPr>
          <w:p w14:paraId="36B7C6D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70</w:t>
            </w:r>
            <w:r>
              <w:rPr>
                <w:rFonts w:hint="default" w:ascii="Arial" w:hAnsi="Arial" w:eastAsia="宋体" w:cs="Arial"/>
                <w:szCs w:val="21"/>
              </w:rPr>
              <w:t>/1</w:t>
            </w:r>
          </w:p>
        </w:tc>
        <w:tc>
          <w:tcPr>
            <w:tcW w:w="688" w:type="dxa"/>
            <w:shd w:val="clear" w:color="auto" w:fill="FFFFFF"/>
            <w:vAlign w:val="center"/>
          </w:tcPr>
          <w:p w14:paraId="6181089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w:t>
            </w:r>
          </w:p>
        </w:tc>
        <w:tc>
          <w:tcPr>
            <w:tcW w:w="897" w:type="dxa"/>
            <w:gridSpan w:val="2"/>
            <w:shd w:val="clear" w:color="auto" w:fill="FFFFFF"/>
            <w:vAlign w:val="center"/>
          </w:tcPr>
          <w:p w14:paraId="2E98067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32</w:t>
            </w:r>
          </w:p>
        </w:tc>
        <w:tc>
          <w:tcPr>
            <w:tcW w:w="669" w:type="dxa"/>
            <w:gridSpan w:val="2"/>
            <w:shd w:val="clear" w:color="auto" w:fill="FFFFFF"/>
            <w:vAlign w:val="center"/>
          </w:tcPr>
          <w:p w14:paraId="54029D9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86</w:t>
            </w:r>
          </w:p>
        </w:tc>
        <w:tc>
          <w:tcPr>
            <w:tcW w:w="349" w:type="dxa"/>
            <w:shd w:val="clear" w:color="auto" w:fill="FFFFFF"/>
            <w:vAlign w:val="center"/>
          </w:tcPr>
          <w:p w14:paraId="75860EA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c>
          <w:tcPr>
            <w:tcW w:w="1189" w:type="dxa"/>
            <w:gridSpan w:val="2"/>
            <w:shd w:val="clear" w:color="auto" w:fill="FFFFFF"/>
            <w:vAlign w:val="center"/>
          </w:tcPr>
          <w:p w14:paraId="304CADE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95</w:t>
            </w:r>
          </w:p>
        </w:tc>
        <w:tc>
          <w:tcPr>
            <w:tcW w:w="1161" w:type="dxa"/>
            <w:shd w:val="clear" w:color="auto" w:fill="FFFFFF"/>
            <w:vAlign w:val="center"/>
          </w:tcPr>
          <w:p w14:paraId="7ACECFD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6</w:t>
            </w:r>
            <w:r>
              <w:rPr>
                <w:rFonts w:hint="eastAsia" w:ascii="Arial" w:hAnsi="Arial" w:eastAsia="宋体" w:cs="Arial"/>
                <w:kern w:val="2"/>
                <w:sz w:val="21"/>
                <w:szCs w:val="21"/>
                <w:lang w:val="en-US" w:eastAsia="zh-CN" w:bidi="ar-SA"/>
              </w:rPr>
              <w:t>1.8</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61.9</w:t>
            </w:r>
          </w:p>
        </w:tc>
        <w:tc>
          <w:tcPr>
            <w:tcW w:w="716" w:type="dxa"/>
            <w:shd w:val="clear" w:color="auto" w:fill="FFFFFF"/>
            <w:vAlign w:val="center"/>
          </w:tcPr>
          <w:p w14:paraId="443F02C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昼夜</w:t>
            </w:r>
          </w:p>
        </w:tc>
        <w:tc>
          <w:tcPr>
            <w:tcW w:w="878" w:type="dxa"/>
            <w:shd w:val="clear" w:color="auto" w:fill="FFFFFF"/>
            <w:vAlign w:val="center"/>
          </w:tcPr>
          <w:p w14:paraId="2FCCEA4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1C30BD8B">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45.8~45.9</w:t>
            </w:r>
          </w:p>
        </w:tc>
        <w:tc>
          <w:tcPr>
            <w:tcW w:w="692" w:type="dxa"/>
            <w:shd w:val="clear" w:color="auto" w:fill="FFFFFF"/>
            <w:vAlign w:val="center"/>
          </w:tcPr>
          <w:p w14:paraId="2DAAE20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r>
      <w:tr w14:paraId="60E8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6DCAAF0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8</w:t>
            </w:r>
          </w:p>
        </w:tc>
        <w:tc>
          <w:tcPr>
            <w:tcW w:w="671" w:type="dxa"/>
            <w:vMerge w:val="continue"/>
            <w:shd w:val="clear" w:color="auto" w:fill="FFFFFF"/>
            <w:vAlign w:val="center"/>
          </w:tcPr>
          <w:p w14:paraId="00432F8F">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02F65F2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卧式数控车床</w:t>
            </w:r>
          </w:p>
        </w:tc>
        <w:tc>
          <w:tcPr>
            <w:tcW w:w="567" w:type="dxa"/>
            <w:shd w:val="clear" w:color="auto" w:fill="auto"/>
            <w:vAlign w:val="center"/>
          </w:tcPr>
          <w:p w14:paraId="572AEBC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12</w:t>
            </w:r>
          </w:p>
        </w:tc>
        <w:tc>
          <w:tcPr>
            <w:tcW w:w="1547" w:type="dxa"/>
            <w:shd w:val="clear" w:color="auto" w:fill="FFFFFF"/>
            <w:vAlign w:val="center"/>
          </w:tcPr>
          <w:p w14:paraId="3409613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80</w:t>
            </w:r>
            <w:r>
              <w:rPr>
                <w:rFonts w:hint="default" w:ascii="Arial" w:hAnsi="Arial" w:eastAsia="宋体" w:cs="Arial"/>
                <w:szCs w:val="21"/>
              </w:rPr>
              <w:t>/1</w:t>
            </w:r>
          </w:p>
        </w:tc>
        <w:tc>
          <w:tcPr>
            <w:tcW w:w="688" w:type="dxa"/>
            <w:shd w:val="clear" w:color="auto" w:fill="FFFFFF"/>
            <w:vAlign w:val="center"/>
          </w:tcPr>
          <w:p w14:paraId="78FB6A6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w:t>
            </w:r>
          </w:p>
        </w:tc>
        <w:tc>
          <w:tcPr>
            <w:tcW w:w="897" w:type="dxa"/>
            <w:gridSpan w:val="2"/>
            <w:shd w:val="clear" w:color="auto" w:fill="FFFFFF"/>
            <w:vAlign w:val="center"/>
          </w:tcPr>
          <w:p w14:paraId="1A27F2E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70</w:t>
            </w:r>
          </w:p>
        </w:tc>
        <w:tc>
          <w:tcPr>
            <w:tcW w:w="669" w:type="dxa"/>
            <w:gridSpan w:val="2"/>
            <w:shd w:val="clear" w:color="auto" w:fill="FFFFFF"/>
            <w:vAlign w:val="center"/>
          </w:tcPr>
          <w:p w14:paraId="0113084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105</w:t>
            </w:r>
          </w:p>
        </w:tc>
        <w:tc>
          <w:tcPr>
            <w:tcW w:w="349" w:type="dxa"/>
            <w:shd w:val="clear" w:color="auto" w:fill="FFFFFF"/>
            <w:vAlign w:val="center"/>
          </w:tcPr>
          <w:p w14:paraId="60F7021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c>
          <w:tcPr>
            <w:tcW w:w="1189" w:type="dxa"/>
            <w:gridSpan w:val="2"/>
            <w:shd w:val="clear" w:color="auto" w:fill="FFFFFF"/>
            <w:vAlign w:val="center"/>
          </w:tcPr>
          <w:p w14:paraId="3FA7626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4</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58</w:t>
            </w:r>
          </w:p>
        </w:tc>
        <w:tc>
          <w:tcPr>
            <w:tcW w:w="1161" w:type="dxa"/>
            <w:shd w:val="clear" w:color="auto" w:fill="FFFFFF"/>
            <w:vAlign w:val="center"/>
          </w:tcPr>
          <w:p w14:paraId="429727E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6.9</w:t>
            </w:r>
          </w:p>
        </w:tc>
        <w:tc>
          <w:tcPr>
            <w:tcW w:w="716" w:type="dxa"/>
            <w:shd w:val="clear" w:color="auto" w:fill="FFFFFF"/>
            <w:vAlign w:val="center"/>
          </w:tcPr>
          <w:p w14:paraId="2CCF71A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lang w:val="en-US" w:eastAsia="zh-CN"/>
              </w:rPr>
              <w:t>昼夜</w:t>
            </w:r>
          </w:p>
        </w:tc>
        <w:tc>
          <w:tcPr>
            <w:tcW w:w="878" w:type="dxa"/>
            <w:shd w:val="clear" w:color="auto" w:fill="FFFFFF"/>
            <w:vAlign w:val="center"/>
          </w:tcPr>
          <w:p w14:paraId="340C98A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07BBBCC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55.8~55.8</w:t>
            </w:r>
          </w:p>
        </w:tc>
        <w:tc>
          <w:tcPr>
            <w:tcW w:w="692" w:type="dxa"/>
            <w:shd w:val="clear" w:color="auto" w:fill="FFFFFF"/>
            <w:vAlign w:val="center"/>
          </w:tcPr>
          <w:p w14:paraId="24FF4FF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1</w:t>
            </w:r>
          </w:p>
        </w:tc>
      </w:tr>
      <w:tr w14:paraId="6C7D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24A516D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9</w:t>
            </w:r>
          </w:p>
        </w:tc>
        <w:tc>
          <w:tcPr>
            <w:tcW w:w="671" w:type="dxa"/>
            <w:vMerge w:val="continue"/>
            <w:shd w:val="clear" w:color="auto" w:fill="FFFFFF"/>
            <w:vAlign w:val="center"/>
          </w:tcPr>
          <w:p w14:paraId="6DA08DF9">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48B2D09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拉床</w:t>
            </w:r>
          </w:p>
        </w:tc>
        <w:tc>
          <w:tcPr>
            <w:tcW w:w="567" w:type="dxa"/>
            <w:shd w:val="clear" w:color="auto" w:fill="auto"/>
            <w:vAlign w:val="center"/>
          </w:tcPr>
          <w:p w14:paraId="4073F17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w:t>
            </w:r>
          </w:p>
        </w:tc>
        <w:tc>
          <w:tcPr>
            <w:tcW w:w="1547" w:type="dxa"/>
            <w:shd w:val="clear" w:color="auto" w:fill="FFFFFF"/>
            <w:vAlign w:val="center"/>
          </w:tcPr>
          <w:p w14:paraId="6622195A">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80</w:t>
            </w:r>
            <w:r>
              <w:rPr>
                <w:rFonts w:hint="default" w:ascii="Arial" w:hAnsi="Arial" w:eastAsia="宋体" w:cs="Arial"/>
                <w:szCs w:val="21"/>
              </w:rPr>
              <w:t>/1</w:t>
            </w:r>
          </w:p>
        </w:tc>
        <w:tc>
          <w:tcPr>
            <w:tcW w:w="688" w:type="dxa"/>
            <w:shd w:val="clear" w:color="auto" w:fill="FFFFFF"/>
            <w:vAlign w:val="center"/>
          </w:tcPr>
          <w:p w14:paraId="78E42C0A">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w:t>
            </w:r>
          </w:p>
        </w:tc>
        <w:tc>
          <w:tcPr>
            <w:tcW w:w="897" w:type="dxa"/>
            <w:gridSpan w:val="2"/>
            <w:shd w:val="clear" w:color="auto" w:fill="FFFFFF"/>
            <w:vAlign w:val="center"/>
          </w:tcPr>
          <w:p w14:paraId="6F31EDE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111</w:t>
            </w:r>
          </w:p>
        </w:tc>
        <w:tc>
          <w:tcPr>
            <w:tcW w:w="669" w:type="dxa"/>
            <w:gridSpan w:val="2"/>
            <w:shd w:val="clear" w:color="auto" w:fill="FFFFFF"/>
            <w:vAlign w:val="center"/>
          </w:tcPr>
          <w:p w14:paraId="5A3D372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110</w:t>
            </w:r>
          </w:p>
        </w:tc>
        <w:tc>
          <w:tcPr>
            <w:tcW w:w="349" w:type="dxa"/>
            <w:shd w:val="clear" w:color="auto" w:fill="FFFFFF"/>
            <w:vAlign w:val="center"/>
          </w:tcPr>
          <w:p w14:paraId="3C575B8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1189" w:type="dxa"/>
            <w:gridSpan w:val="2"/>
            <w:shd w:val="clear" w:color="auto" w:fill="FFFFFF"/>
            <w:vAlign w:val="center"/>
          </w:tcPr>
          <w:p w14:paraId="5F89CE3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95</w:t>
            </w:r>
          </w:p>
        </w:tc>
        <w:tc>
          <w:tcPr>
            <w:tcW w:w="1161" w:type="dxa"/>
            <w:shd w:val="clear" w:color="auto" w:fill="FFFFFF"/>
            <w:vAlign w:val="center"/>
          </w:tcPr>
          <w:p w14:paraId="138B2D3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60.8~60.8</w:t>
            </w:r>
          </w:p>
        </w:tc>
        <w:tc>
          <w:tcPr>
            <w:tcW w:w="716" w:type="dxa"/>
            <w:shd w:val="clear" w:color="auto" w:fill="FFFFFF"/>
            <w:vAlign w:val="center"/>
          </w:tcPr>
          <w:p w14:paraId="5490B25C">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700ABA4A">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16</w:t>
            </w:r>
          </w:p>
        </w:tc>
        <w:tc>
          <w:tcPr>
            <w:tcW w:w="1237" w:type="dxa"/>
            <w:gridSpan w:val="2"/>
            <w:shd w:val="clear" w:color="auto" w:fill="FFFFFF"/>
            <w:vAlign w:val="center"/>
          </w:tcPr>
          <w:p w14:paraId="435DB65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55.8~55.8</w:t>
            </w:r>
          </w:p>
        </w:tc>
        <w:tc>
          <w:tcPr>
            <w:tcW w:w="692" w:type="dxa"/>
            <w:shd w:val="clear" w:color="auto" w:fill="FFFFFF"/>
            <w:vAlign w:val="center"/>
          </w:tcPr>
          <w:p w14:paraId="11F576E8">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1</w:t>
            </w:r>
          </w:p>
        </w:tc>
      </w:tr>
      <w:tr w14:paraId="5A1D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285EC4A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10</w:t>
            </w:r>
          </w:p>
        </w:tc>
        <w:tc>
          <w:tcPr>
            <w:tcW w:w="671" w:type="dxa"/>
            <w:vMerge w:val="continue"/>
            <w:shd w:val="clear" w:color="auto" w:fill="FFFFFF"/>
            <w:vAlign w:val="center"/>
          </w:tcPr>
          <w:p w14:paraId="28E4865E">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11DEBB0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清洗机</w:t>
            </w:r>
          </w:p>
        </w:tc>
        <w:tc>
          <w:tcPr>
            <w:tcW w:w="567" w:type="dxa"/>
            <w:shd w:val="clear" w:color="auto" w:fill="auto"/>
            <w:vAlign w:val="center"/>
          </w:tcPr>
          <w:p w14:paraId="77DCB3F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2</w:t>
            </w:r>
          </w:p>
        </w:tc>
        <w:tc>
          <w:tcPr>
            <w:tcW w:w="1547" w:type="dxa"/>
            <w:shd w:val="clear" w:color="auto" w:fill="FFFFFF"/>
            <w:vAlign w:val="center"/>
          </w:tcPr>
          <w:p w14:paraId="098BC6F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75</w:t>
            </w:r>
            <w:r>
              <w:rPr>
                <w:rFonts w:hint="default" w:ascii="Arial" w:hAnsi="Arial" w:eastAsia="宋体" w:cs="Arial"/>
                <w:szCs w:val="21"/>
              </w:rPr>
              <w:t>/1</w:t>
            </w:r>
          </w:p>
        </w:tc>
        <w:tc>
          <w:tcPr>
            <w:tcW w:w="688" w:type="dxa"/>
            <w:shd w:val="clear" w:color="auto" w:fill="FFFFFF"/>
            <w:vAlign w:val="center"/>
          </w:tcPr>
          <w:p w14:paraId="6CD7D6D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37FC7C4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80</w:t>
            </w:r>
          </w:p>
        </w:tc>
        <w:tc>
          <w:tcPr>
            <w:tcW w:w="669" w:type="dxa"/>
            <w:gridSpan w:val="2"/>
            <w:shd w:val="clear" w:color="auto" w:fill="FFFFFF"/>
            <w:vAlign w:val="center"/>
          </w:tcPr>
          <w:p w14:paraId="52C2B39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default" w:ascii="Arial" w:hAnsi="Arial" w:eastAsia="宋体" w:cs="Arial"/>
                <w:i w:val="0"/>
                <w:iCs w:val="0"/>
                <w:color w:val="000000"/>
                <w:kern w:val="0"/>
                <w:sz w:val="22"/>
                <w:szCs w:val="22"/>
                <w:u w:val="none"/>
                <w:lang w:val="en-US" w:eastAsia="zh-CN" w:bidi="ar"/>
              </w:rPr>
              <w:t>9</w:t>
            </w:r>
            <w:r>
              <w:rPr>
                <w:rFonts w:hint="eastAsia" w:ascii="Arial" w:hAnsi="Arial" w:eastAsia="宋体" w:cs="Arial"/>
                <w:i w:val="0"/>
                <w:iCs w:val="0"/>
                <w:color w:val="000000"/>
                <w:kern w:val="0"/>
                <w:sz w:val="22"/>
                <w:szCs w:val="22"/>
                <w:u w:val="none"/>
                <w:lang w:val="en-US" w:eastAsia="zh-CN" w:bidi="ar"/>
              </w:rPr>
              <w:t>6</w:t>
            </w:r>
          </w:p>
        </w:tc>
        <w:tc>
          <w:tcPr>
            <w:tcW w:w="349" w:type="dxa"/>
            <w:shd w:val="clear" w:color="auto" w:fill="FFFFFF"/>
            <w:vAlign w:val="center"/>
          </w:tcPr>
          <w:p w14:paraId="4502ECE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1189" w:type="dxa"/>
            <w:gridSpan w:val="2"/>
            <w:shd w:val="clear" w:color="auto" w:fill="FFFFFF"/>
            <w:vAlign w:val="center"/>
          </w:tcPr>
          <w:p w14:paraId="28BD250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63</w:t>
            </w:r>
          </w:p>
        </w:tc>
        <w:tc>
          <w:tcPr>
            <w:tcW w:w="1161" w:type="dxa"/>
            <w:shd w:val="clear" w:color="auto" w:fill="FFFFFF"/>
            <w:vAlign w:val="center"/>
          </w:tcPr>
          <w:p w14:paraId="3C602D2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66.8</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66.9</w:t>
            </w:r>
          </w:p>
        </w:tc>
        <w:tc>
          <w:tcPr>
            <w:tcW w:w="716" w:type="dxa"/>
            <w:shd w:val="clear" w:color="auto" w:fill="FFFFFF"/>
            <w:vAlign w:val="center"/>
          </w:tcPr>
          <w:p w14:paraId="18D869F9">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512E94BE">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3589B88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50.8~50.9</w:t>
            </w:r>
          </w:p>
        </w:tc>
        <w:tc>
          <w:tcPr>
            <w:tcW w:w="692" w:type="dxa"/>
            <w:shd w:val="clear" w:color="auto" w:fill="FFFFFF"/>
            <w:vAlign w:val="center"/>
          </w:tcPr>
          <w:p w14:paraId="045445D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7B01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103A4FB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11</w:t>
            </w:r>
          </w:p>
        </w:tc>
        <w:tc>
          <w:tcPr>
            <w:tcW w:w="671" w:type="dxa"/>
            <w:vMerge w:val="continue"/>
            <w:shd w:val="clear" w:color="auto" w:fill="FFFFFF"/>
            <w:vAlign w:val="center"/>
          </w:tcPr>
          <w:p w14:paraId="2B8B213B">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076AC40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无心磨床</w:t>
            </w:r>
          </w:p>
        </w:tc>
        <w:tc>
          <w:tcPr>
            <w:tcW w:w="567" w:type="dxa"/>
            <w:shd w:val="clear" w:color="auto" w:fill="auto"/>
            <w:vAlign w:val="center"/>
          </w:tcPr>
          <w:p w14:paraId="6B85FBA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6</w:t>
            </w:r>
          </w:p>
        </w:tc>
        <w:tc>
          <w:tcPr>
            <w:tcW w:w="1547" w:type="dxa"/>
            <w:shd w:val="clear" w:color="auto" w:fill="FFFFFF"/>
            <w:vAlign w:val="center"/>
          </w:tcPr>
          <w:p w14:paraId="394AC36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75</w:t>
            </w:r>
            <w:r>
              <w:rPr>
                <w:rFonts w:hint="default" w:ascii="Arial" w:hAnsi="Arial" w:eastAsia="宋体" w:cs="Arial"/>
                <w:szCs w:val="21"/>
              </w:rPr>
              <w:t>/1</w:t>
            </w:r>
          </w:p>
        </w:tc>
        <w:tc>
          <w:tcPr>
            <w:tcW w:w="688" w:type="dxa"/>
            <w:shd w:val="clear" w:color="auto" w:fill="FFFFFF"/>
            <w:vAlign w:val="center"/>
          </w:tcPr>
          <w:p w14:paraId="6D29BC0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77BA176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108</w:t>
            </w:r>
          </w:p>
        </w:tc>
        <w:tc>
          <w:tcPr>
            <w:tcW w:w="669" w:type="dxa"/>
            <w:gridSpan w:val="2"/>
            <w:shd w:val="clear" w:color="auto" w:fill="FFFFFF"/>
            <w:vAlign w:val="center"/>
          </w:tcPr>
          <w:p w14:paraId="4B62F1F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98</w:t>
            </w:r>
          </w:p>
        </w:tc>
        <w:tc>
          <w:tcPr>
            <w:tcW w:w="349" w:type="dxa"/>
            <w:shd w:val="clear" w:color="auto" w:fill="FFFFFF"/>
            <w:vAlign w:val="center"/>
          </w:tcPr>
          <w:p w14:paraId="3280BCE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1189" w:type="dxa"/>
            <w:gridSpan w:val="2"/>
            <w:shd w:val="clear" w:color="auto" w:fill="FFFFFF"/>
            <w:vAlign w:val="center"/>
          </w:tcPr>
          <w:p w14:paraId="35E3C6D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4</w:t>
            </w:r>
            <w:r>
              <w:rPr>
                <w:rFonts w:hint="default" w:ascii="Arial" w:hAnsi="Arial" w:eastAsia="宋体" w:cs="Arial"/>
                <w:szCs w:val="21"/>
                <w:lang w:val="en-US" w:eastAsia="zh-CN"/>
              </w:rPr>
              <w:t>~</w:t>
            </w:r>
            <w:r>
              <w:rPr>
                <w:rFonts w:hint="eastAsia" w:ascii="Arial" w:hAnsi="Arial" w:eastAsia="宋体" w:cs="Arial"/>
                <w:szCs w:val="21"/>
                <w:lang w:val="en-US" w:eastAsia="zh-CN"/>
              </w:rPr>
              <w:t>100</w:t>
            </w:r>
          </w:p>
        </w:tc>
        <w:tc>
          <w:tcPr>
            <w:tcW w:w="1161" w:type="dxa"/>
            <w:shd w:val="clear" w:color="auto" w:fill="FFFFFF"/>
            <w:vAlign w:val="center"/>
          </w:tcPr>
          <w:p w14:paraId="7E56AF1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6.9</w:t>
            </w:r>
          </w:p>
        </w:tc>
        <w:tc>
          <w:tcPr>
            <w:tcW w:w="716" w:type="dxa"/>
            <w:shd w:val="clear" w:color="auto" w:fill="FFFFFF"/>
            <w:vAlign w:val="center"/>
          </w:tcPr>
          <w:p w14:paraId="252C2A98">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676E9FDA">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6C2CD270">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55.7~55.9</w:t>
            </w:r>
          </w:p>
        </w:tc>
        <w:tc>
          <w:tcPr>
            <w:tcW w:w="692" w:type="dxa"/>
            <w:shd w:val="clear" w:color="auto" w:fill="FFFFFF"/>
            <w:vAlign w:val="center"/>
          </w:tcPr>
          <w:p w14:paraId="0B3DB190">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3980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3516F40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12</w:t>
            </w:r>
          </w:p>
        </w:tc>
        <w:tc>
          <w:tcPr>
            <w:tcW w:w="671" w:type="dxa"/>
            <w:vMerge w:val="continue"/>
            <w:shd w:val="clear" w:color="auto" w:fill="FFFFFF"/>
            <w:vAlign w:val="center"/>
          </w:tcPr>
          <w:p w14:paraId="0D966828">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15C2FA7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圆弧爬坡振动光饰机</w:t>
            </w:r>
          </w:p>
        </w:tc>
        <w:tc>
          <w:tcPr>
            <w:tcW w:w="567" w:type="dxa"/>
            <w:shd w:val="clear" w:color="auto" w:fill="auto"/>
            <w:vAlign w:val="center"/>
          </w:tcPr>
          <w:p w14:paraId="56CB720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1</w:t>
            </w:r>
          </w:p>
        </w:tc>
        <w:tc>
          <w:tcPr>
            <w:tcW w:w="1547" w:type="dxa"/>
            <w:shd w:val="clear" w:color="auto" w:fill="FFFFFF"/>
            <w:vAlign w:val="center"/>
          </w:tcPr>
          <w:p w14:paraId="06650E7C">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80</w:t>
            </w:r>
            <w:r>
              <w:rPr>
                <w:rFonts w:hint="default" w:ascii="Arial" w:hAnsi="Arial" w:eastAsia="宋体" w:cs="Arial"/>
                <w:szCs w:val="21"/>
              </w:rPr>
              <w:t>/1</w:t>
            </w:r>
          </w:p>
        </w:tc>
        <w:tc>
          <w:tcPr>
            <w:tcW w:w="688" w:type="dxa"/>
            <w:shd w:val="clear" w:color="auto" w:fill="FFFFFF"/>
            <w:vAlign w:val="center"/>
          </w:tcPr>
          <w:p w14:paraId="19DE4D61">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5D0F3E3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85</w:t>
            </w:r>
          </w:p>
        </w:tc>
        <w:tc>
          <w:tcPr>
            <w:tcW w:w="669" w:type="dxa"/>
            <w:gridSpan w:val="2"/>
            <w:shd w:val="clear" w:color="auto" w:fill="FFFFFF"/>
            <w:vAlign w:val="center"/>
          </w:tcPr>
          <w:p w14:paraId="7489E41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97</w:t>
            </w:r>
          </w:p>
        </w:tc>
        <w:tc>
          <w:tcPr>
            <w:tcW w:w="349" w:type="dxa"/>
            <w:shd w:val="clear" w:color="auto" w:fill="FFFFFF"/>
            <w:vAlign w:val="center"/>
          </w:tcPr>
          <w:p w14:paraId="3B70921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1189" w:type="dxa"/>
            <w:gridSpan w:val="2"/>
            <w:shd w:val="clear" w:color="auto" w:fill="FFFFFF"/>
            <w:vAlign w:val="center"/>
          </w:tcPr>
          <w:p w14:paraId="118E9A5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68</w:t>
            </w:r>
          </w:p>
        </w:tc>
        <w:tc>
          <w:tcPr>
            <w:tcW w:w="1161" w:type="dxa"/>
            <w:shd w:val="clear" w:color="auto" w:fill="FFFFFF"/>
            <w:vAlign w:val="center"/>
          </w:tcPr>
          <w:p w14:paraId="0FBA308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76.8</w:t>
            </w:r>
            <w:r>
              <w:rPr>
                <w:rFonts w:hint="default" w:ascii="Arial" w:hAnsi="Arial" w:eastAsia="宋体" w:cs="Arial"/>
                <w:szCs w:val="21"/>
                <w:lang w:val="en-US" w:eastAsia="zh-CN"/>
              </w:rPr>
              <w:t>~7</w:t>
            </w:r>
            <w:r>
              <w:rPr>
                <w:rFonts w:hint="eastAsia" w:ascii="Arial" w:hAnsi="Arial" w:eastAsia="宋体" w:cs="Arial"/>
                <w:szCs w:val="21"/>
                <w:lang w:val="en-US" w:eastAsia="zh-CN"/>
              </w:rPr>
              <w:t>6.9</w:t>
            </w:r>
          </w:p>
        </w:tc>
        <w:tc>
          <w:tcPr>
            <w:tcW w:w="716" w:type="dxa"/>
            <w:shd w:val="clear" w:color="auto" w:fill="FFFFFF"/>
            <w:vAlign w:val="center"/>
          </w:tcPr>
          <w:p w14:paraId="4613043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1AE2CDB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0EE9F7ED">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55.8~55.9</w:t>
            </w:r>
          </w:p>
        </w:tc>
        <w:tc>
          <w:tcPr>
            <w:tcW w:w="692" w:type="dxa"/>
            <w:shd w:val="clear" w:color="auto" w:fill="FFFFFF"/>
            <w:vAlign w:val="center"/>
          </w:tcPr>
          <w:p w14:paraId="0979CD5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6A79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428CC5A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13</w:t>
            </w:r>
          </w:p>
        </w:tc>
        <w:tc>
          <w:tcPr>
            <w:tcW w:w="671" w:type="dxa"/>
            <w:vMerge w:val="continue"/>
            <w:shd w:val="clear" w:color="auto" w:fill="FFFFFF"/>
            <w:vAlign w:val="center"/>
          </w:tcPr>
          <w:p w14:paraId="590DF5DA">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4C31C7D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三销轴自动装针机</w:t>
            </w:r>
          </w:p>
        </w:tc>
        <w:tc>
          <w:tcPr>
            <w:tcW w:w="567" w:type="dxa"/>
            <w:shd w:val="clear" w:color="auto" w:fill="auto"/>
            <w:vAlign w:val="center"/>
          </w:tcPr>
          <w:p w14:paraId="09EFDF6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3</w:t>
            </w:r>
          </w:p>
        </w:tc>
        <w:tc>
          <w:tcPr>
            <w:tcW w:w="1547" w:type="dxa"/>
            <w:shd w:val="clear" w:color="auto" w:fill="FFFFFF"/>
            <w:vAlign w:val="center"/>
          </w:tcPr>
          <w:p w14:paraId="13BAB7DB">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6</w:t>
            </w:r>
            <w:r>
              <w:rPr>
                <w:rFonts w:hint="default" w:ascii="Arial" w:hAnsi="Arial" w:eastAsia="宋体" w:cs="Arial"/>
                <w:szCs w:val="21"/>
                <w:lang w:val="en-US" w:eastAsia="zh-CN"/>
              </w:rPr>
              <w:t>5</w:t>
            </w:r>
            <w:r>
              <w:rPr>
                <w:rFonts w:hint="default" w:ascii="Arial" w:hAnsi="Arial" w:eastAsia="宋体" w:cs="Arial"/>
                <w:szCs w:val="21"/>
              </w:rPr>
              <w:t>/1</w:t>
            </w:r>
          </w:p>
        </w:tc>
        <w:tc>
          <w:tcPr>
            <w:tcW w:w="688" w:type="dxa"/>
            <w:shd w:val="clear" w:color="auto" w:fill="FFFFFF"/>
            <w:vAlign w:val="center"/>
          </w:tcPr>
          <w:p w14:paraId="3E5535E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009E4FC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109</w:t>
            </w:r>
          </w:p>
        </w:tc>
        <w:tc>
          <w:tcPr>
            <w:tcW w:w="669" w:type="dxa"/>
            <w:gridSpan w:val="2"/>
            <w:shd w:val="clear" w:color="auto" w:fill="FFFFFF"/>
            <w:vAlign w:val="center"/>
          </w:tcPr>
          <w:p w14:paraId="760A613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default" w:ascii="Arial" w:hAnsi="Arial" w:eastAsia="宋体" w:cs="Arial"/>
                <w:i w:val="0"/>
                <w:iCs w:val="0"/>
                <w:color w:val="000000"/>
                <w:kern w:val="0"/>
                <w:sz w:val="22"/>
                <w:szCs w:val="22"/>
                <w:u w:val="none"/>
                <w:lang w:val="en-US" w:eastAsia="zh-CN" w:bidi="ar"/>
              </w:rPr>
              <w:t>9</w:t>
            </w:r>
            <w:r>
              <w:rPr>
                <w:rFonts w:hint="eastAsia" w:ascii="Arial" w:hAnsi="Arial" w:eastAsia="宋体" w:cs="Arial"/>
                <w:i w:val="0"/>
                <w:iCs w:val="0"/>
                <w:color w:val="000000"/>
                <w:kern w:val="0"/>
                <w:sz w:val="22"/>
                <w:szCs w:val="22"/>
                <w:u w:val="none"/>
                <w:lang w:val="en-US" w:eastAsia="zh-CN" w:bidi="ar"/>
              </w:rPr>
              <w:t>2</w:t>
            </w:r>
          </w:p>
        </w:tc>
        <w:tc>
          <w:tcPr>
            <w:tcW w:w="349" w:type="dxa"/>
            <w:shd w:val="clear" w:color="auto" w:fill="FFFFFF"/>
            <w:vAlign w:val="center"/>
          </w:tcPr>
          <w:p w14:paraId="266A701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1189" w:type="dxa"/>
            <w:gridSpan w:val="2"/>
            <w:shd w:val="clear" w:color="auto" w:fill="FFFFFF"/>
            <w:vAlign w:val="center"/>
          </w:tcPr>
          <w:p w14:paraId="092D470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96</w:t>
            </w:r>
          </w:p>
        </w:tc>
        <w:tc>
          <w:tcPr>
            <w:tcW w:w="1161" w:type="dxa"/>
            <w:shd w:val="clear" w:color="auto" w:fill="FFFFFF"/>
            <w:vAlign w:val="center"/>
          </w:tcPr>
          <w:p w14:paraId="1B01F26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56.8~56.8</w:t>
            </w:r>
          </w:p>
        </w:tc>
        <w:tc>
          <w:tcPr>
            <w:tcW w:w="716" w:type="dxa"/>
            <w:shd w:val="clear" w:color="auto" w:fill="FFFFFF"/>
            <w:vAlign w:val="center"/>
          </w:tcPr>
          <w:p w14:paraId="7B78BDD3">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09234003">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15BA1B93">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40.8~40.8</w:t>
            </w:r>
          </w:p>
        </w:tc>
        <w:tc>
          <w:tcPr>
            <w:tcW w:w="692" w:type="dxa"/>
            <w:shd w:val="clear" w:color="auto" w:fill="FFFFFF"/>
            <w:vAlign w:val="center"/>
          </w:tcPr>
          <w:p w14:paraId="1F713D19">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r w14:paraId="3FD5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dxa"/>
            <w:shd w:val="clear" w:color="auto" w:fill="FFFFFF"/>
            <w:vAlign w:val="center"/>
          </w:tcPr>
          <w:p w14:paraId="4FC888F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lang w:val="en-US" w:eastAsia="zh-CN"/>
              </w:rPr>
            </w:pPr>
            <w:r>
              <w:rPr>
                <w:rFonts w:hint="default" w:ascii="Arial" w:hAnsi="Arial" w:eastAsia="宋体" w:cs="Arial"/>
                <w:i w:val="0"/>
                <w:iCs w:val="0"/>
                <w:color w:val="000000"/>
                <w:kern w:val="0"/>
                <w:sz w:val="22"/>
                <w:szCs w:val="22"/>
                <w:u w:val="none"/>
                <w:lang w:val="en-US" w:eastAsia="zh-CN" w:bidi="ar"/>
              </w:rPr>
              <w:t>14</w:t>
            </w:r>
          </w:p>
        </w:tc>
        <w:tc>
          <w:tcPr>
            <w:tcW w:w="671" w:type="dxa"/>
            <w:vMerge w:val="continue"/>
            <w:shd w:val="clear" w:color="auto" w:fill="FFFFFF"/>
            <w:vAlign w:val="center"/>
          </w:tcPr>
          <w:p w14:paraId="0AB257CE">
            <w:pPr>
              <w:keepNext w:val="0"/>
              <w:keepLines w:val="0"/>
              <w:suppressLineNumbers w:val="0"/>
              <w:spacing w:before="0" w:beforeAutospacing="0" w:after="0" w:afterAutospacing="0"/>
              <w:ind w:left="0" w:right="0"/>
              <w:jc w:val="center"/>
              <w:rPr>
                <w:rFonts w:hint="default" w:ascii="Arial" w:hAnsi="Arial" w:eastAsia="宋体" w:cs="Arial"/>
                <w:szCs w:val="21"/>
              </w:rPr>
            </w:pPr>
          </w:p>
        </w:tc>
        <w:tc>
          <w:tcPr>
            <w:tcW w:w="1858" w:type="dxa"/>
            <w:shd w:val="clear" w:color="auto" w:fill="auto"/>
            <w:vAlign w:val="center"/>
          </w:tcPr>
          <w:p w14:paraId="1B32AA0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三销轴自动检测设备</w:t>
            </w:r>
          </w:p>
        </w:tc>
        <w:tc>
          <w:tcPr>
            <w:tcW w:w="567" w:type="dxa"/>
            <w:shd w:val="clear" w:color="auto" w:fill="auto"/>
            <w:vAlign w:val="center"/>
          </w:tcPr>
          <w:p w14:paraId="2B1C916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3</w:t>
            </w:r>
          </w:p>
        </w:tc>
        <w:tc>
          <w:tcPr>
            <w:tcW w:w="1547" w:type="dxa"/>
            <w:shd w:val="clear" w:color="auto" w:fill="FFFFFF"/>
            <w:vAlign w:val="center"/>
          </w:tcPr>
          <w:p w14:paraId="60BA6E01">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6</w:t>
            </w:r>
            <w:r>
              <w:rPr>
                <w:rFonts w:hint="default" w:ascii="Arial" w:hAnsi="Arial" w:eastAsia="宋体" w:cs="Arial"/>
                <w:szCs w:val="21"/>
                <w:lang w:val="en-US" w:eastAsia="zh-CN"/>
              </w:rPr>
              <w:t>5</w:t>
            </w:r>
            <w:r>
              <w:rPr>
                <w:rFonts w:hint="default" w:ascii="Arial" w:hAnsi="Arial" w:eastAsia="宋体" w:cs="Arial"/>
                <w:szCs w:val="21"/>
              </w:rPr>
              <w:t>/1</w:t>
            </w:r>
          </w:p>
        </w:tc>
        <w:tc>
          <w:tcPr>
            <w:tcW w:w="688" w:type="dxa"/>
            <w:shd w:val="clear" w:color="auto" w:fill="FFFFFF"/>
            <w:vAlign w:val="center"/>
          </w:tcPr>
          <w:p w14:paraId="57FA77F9">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w:t>
            </w:r>
          </w:p>
        </w:tc>
        <w:tc>
          <w:tcPr>
            <w:tcW w:w="897" w:type="dxa"/>
            <w:gridSpan w:val="2"/>
            <w:shd w:val="clear" w:color="auto" w:fill="FFFFFF"/>
            <w:vAlign w:val="center"/>
          </w:tcPr>
          <w:p w14:paraId="3E4C87A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default" w:ascii="Arial" w:hAnsi="Arial" w:eastAsia="宋体" w:cs="Arial"/>
                <w:i w:val="0"/>
                <w:iCs w:val="0"/>
                <w:color w:val="000000"/>
                <w:kern w:val="0"/>
                <w:sz w:val="22"/>
                <w:szCs w:val="22"/>
                <w:u w:val="none"/>
                <w:lang w:val="en-US" w:eastAsia="zh-CN" w:bidi="ar"/>
              </w:rPr>
              <w:t>1</w:t>
            </w:r>
            <w:r>
              <w:rPr>
                <w:rFonts w:hint="eastAsia" w:ascii="Arial" w:hAnsi="Arial" w:eastAsia="宋体" w:cs="Arial"/>
                <w:i w:val="0"/>
                <w:iCs w:val="0"/>
                <w:color w:val="000000"/>
                <w:kern w:val="0"/>
                <w:sz w:val="22"/>
                <w:szCs w:val="22"/>
                <w:u w:val="none"/>
                <w:lang w:val="en-US" w:eastAsia="zh-CN" w:bidi="ar"/>
              </w:rPr>
              <w:t>09</w:t>
            </w:r>
          </w:p>
        </w:tc>
        <w:tc>
          <w:tcPr>
            <w:tcW w:w="669" w:type="dxa"/>
            <w:gridSpan w:val="2"/>
            <w:shd w:val="clear" w:color="auto" w:fill="FFFFFF"/>
            <w:vAlign w:val="center"/>
          </w:tcPr>
          <w:p w14:paraId="6B46E20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90</w:t>
            </w:r>
          </w:p>
        </w:tc>
        <w:tc>
          <w:tcPr>
            <w:tcW w:w="349" w:type="dxa"/>
            <w:shd w:val="clear" w:color="auto" w:fill="FFFFFF"/>
            <w:vAlign w:val="center"/>
          </w:tcPr>
          <w:p w14:paraId="1F3FFBB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Cs w:val="21"/>
              </w:rPr>
            </w:pPr>
            <w:r>
              <w:rPr>
                <w:rFonts w:hint="default" w:ascii="Arial" w:hAnsi="Arial" w:eastAsia="宋体" w:cs="Arial"/>
                <w:i w:val="0"/>
                <w:iCs w:val="0"/>
                <w:color w:val="000000"/>
                <w:kern w:val="0"/>
                <w:sz w:val="22"/>
                <w:szCs w:val="22"/>
                <w:u w:val="none"/>
                <w:lang w:val="en-US" w:eastAsia="zh-CN" w:bidi="ar"/>
              </w:rPr>
              <w:t>1</w:t>
            </w:r>
          </w:p>
        </w:tc>
        <w:tc>
          <w:tcPr>
            <w:tcW w:w="1189" w:type="dxa"/>
            <w:gridSpan w:val="2"/>
            <w:shd w:val="clear" w:color="auto" w:fill="FFFFFF"/>
            <w:vAlign w:val="center"/>
          </w:tcPr>
          <w:p w14:paraId="1FD86EC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w:t>
            </w:r>
            <w:r>
              <w:rPr>
                <w:rFonts w:hint="default" w:ascii="Arial" w:hAnsi="Arial" w:eastAsia="宋体" w:cs="Arial"/>
                <w:kern w:val="2"/>
                <w:sz w:val="21"/>
                <w:szCs w:val="21"/>
                <w:lang w:val="en-US" w:eastAsia="zh-CN" w:bidi="ar-SA"/>
              </w:rPr>
              <w:t>~</w:t>
            </w:r>
            <w:r>
              <w:rPr>
                <w:rFonts w:hint="eastAsia" w:ascii="Arial" w:hAnsi="Arial" w:eastAsia="宋体" w:cs="Arial"/>
                <w:kern w:val="2"/>
                <w:sz w:val="21"/>
                <w:szCs w:val="21"/>
                <w:lang w:val="en-US" w:eastAsia="zh-CN" w:bidi="ar-SA"/>
              </w:rPr>
              <w:t>96</w:t>
            </w:r>
          </w:p>
        </w:tc>
        <w:tc>
          <w:tcPr>
            <w:tcW w:w="1161" w:type="dxa"/>
            <w:shd w:val="clear" w:color="auto" w:fill="FFFFFF"/>
            <w:vAlign w:val="center"/>
          </w:tcPr>
          <w:p w14:paraId="6955F59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56.8~57.1</w:t>
            </w:r>
          </w:p>
        </w:tc>
        <w:tc>
          <w:tcPr>
            <w:tcW w:w="716" w:type="dxa"/>
            <w:shd w:val="clear" w:color="auto" w:fill="FFFFFF"/>
            <w:vAlign w:val="center"/>
          </w:tcPr>
          <w:p w14:paraId="76BF383A">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昼夜</w:t>
            </w:r>
          </w:p>
        </w:tc>
        <w:tc>
          <w:tcPr>
            <w:tcW w:w="878" w:type="dxa"/>
            <w:shd w:val="clear" w:color="auto" w:fill="FFFFFF"/>
            <w:vAlign w:val="center"/>
          </w:tcPr>
          <w:p w14:paraId="7CC718C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r>
              <w:rPr>
                <w:rFonts w:hint="default" w:ascii="Arial" w:hAnsi="Arial" w:eastAsia="宋体" w:cs="Arial"/>
                <w:szCs w:val="21"/>
                <w:lang w:val="en-US" w:eastAsia="zh-CN"/>
              </w:rPr>
              <w:t>6</w:t>
            </w:r>
          </w:p>
        </w:tc>
        <w:tc>
          <w:tcPr>
            <w:tcW w:w="1237" w:type="dxa"/>
            <w:gridSpan w:val="2"/>
            <w:shd w:val="clear" w:color="auto" w:fill="FFFFFF"/>
            <w:vAlign w:val="center"/>
          </w:tcPr>
          <w:p w14:paraId="675C3B36">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eastAsia" w:ascii="Arial" w:hAnsi="Arial" w:eastAsia="宋体" w:cs="Arial"/>
                <w:szCs w:val="21"/>
                <w:lang w:val="en-US" w:eastAsia="zh-CN"/>
              </w:rPr>
              <w:t>40.8~41.1</w:t>
            </w:r>
          </w:p>
        </w:tc>
        <w:tc>
          <w:tcPr>
            <w:tcW w:w="692" w:type="dxa"/>
            <w:shd w:val="clear" w:color="auto" w:fill="FFFFFF"/>
            <w:vAlign w:val="center"/>
          </w:tcPr>
          <w:p w14:paraId="259518F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w:t>
            </w:r>
          </w:p>
        </w:tc>
      </w:tr>
    </w:tbl>
    <w:p w14:paraId="7EC06DCF">
      <w:pPr>
        <w:spacing w:line="360" w:lineRule="auto"/>
        <w:rPr>
          <w:rFonts w:hint="default" w:ascii="Arial" w:hAnsi="Arial" w:eastAsia="宋体" w:cs="Arial"/>
          <w:bCs/>
          <w:sz w:val="24"/>
          <w:szCs w:val="24"/>
          <w:lang w:val="en-GB"/>
        </w:rPr>
      </w:pPr>
      <w:r>
        <w:rPr>
          <w:rFonts w:hint="default" w:ascii="Arial" w:hAnsi="Arial" w:eastAsia="宋体" w:cs="Arial"/>
          <w:bCs/>
          <w:szCs w:val="21"/>
        </w:rPr>
        <w:t>注：以</w:t>
      </w:r>
      <w:r>
        <w:rPr>
          <w:rFonts w:hint="default" w:ascii="Arial" w:hAnsi="Arial" w:eastAsia="宋体" w:cs="Arial"/>
          <w:bCs/>
          <w:szCs w:val="21"/>
          <w:lang w:val="en-US" w:eastAsia="zh-CN"/>
        </w:rPr>
        <w:t>南厂界最</w:t>
      </w:r>
      <w:r>
        <w:rPr>
          <w:rFonts w:hint="eastAsia" w:ascii="Arial" w:hAnsi="Arial" w:eastAsia="宋体" w:cs="Arial"/>
          <w:bCs/>
          <w:szCs w:val="21"/>
          <w:lang w:val="en-US" w:eastAsia="zh-CN"/>
        </w:rPr>
        <w:t>西南</w:t>
      </w:r>
      <w:r>
        <w:rPr>
          <w:rFonts w:hint="default" w:ascii="Arial" w:hAnsi="Arial" w:eastAsia="宋体" w:cs="Arial"/>
          <w:bCs/>
          <w:szCs w:val="21"/>
          <w:lang w:val="en-US" w:eastAsia="zh-CN"/>
        </w:rPr>
        <w:t>点</w:t>
      </w:r>
      <w:r>
        <w:rPr>
          <w:rFonts w:hint="default" w:ascii="Arial" w:hAnsi="Arial" w:eastAsia="宋体" w:cs="Arial"/>
          <w:bCs/>
          <w:szCs w:val="21"/>
        </w:rPr>
        <w:t>坐标为X、Y、Z（0,0,0）</w:t>
      </w:r>
    </w:p>
    <w:p w14:paraId="6FC2301D">
      <w:pPr>
        <w:spacing w:line="360" w:lineRule="auto"/>
        <w:rPr>
          <w:rFonts w:hint="default" w:ascii="Arial" w:hAnsi="Arial" w:eastAsia="宋体" w:cs="Arial"/>
          <w:b/>
          <w:bCs/>
          <w:sz w:val="24"/>
          <w:szCs w:val="24"/>
        </w:rPr>
        <w:sectPr>
          <w:headerReference r:id="rId27" w:type="default"/>
          <w:pgSz w:w="16838" w:h="11906" w:orient="landscape"/>
          <w:pgMar w:top="1287" w:right="1440" w:bottom="2381" w:left="1440" w:header="851" w:footer="992" w:gutter="0"/>
          <w:pgBorders>
            <w:top w:val="single" w:color="auto" w:sz="4" w:space="1"/>
            <w:left w:val="single" w:color="auto" w:sz="4" w:space="4"/>
            <w:bottom w:val="single" w:color="auto" w:sz="4" w:space="1"/>
            <w:right w:val="single" w:color="auto" w:sz="4" w:space="4"/>
          </w:pgBorders>
          <w:cols w:space="425" w:num="1"/>
          <w:docGrid w:type="lines" w:linePitch="340" w:charSpace="0"/>
        </w:sectPr>
      </w:pPr>
    </w:p>
    <w:p w14:paraId="7577C891">
      <w:pPr>
        <w:pStyle w:val="76"/>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4.2.3.2噪声环境影响分析</w:t>
      </w:r>
    </w:p>
    <w:p w14:paraId="1A7584AF">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rPr>
      </w:pPr>
      <w:r>
        <w:rPr>
          <w:rFonts w:hint="default" w:ascii="Arial" w:hAnsi="Arial" w:eastAsia="宋体" w:cs="Arial"/>
          <w:bCs/>
          <w:sz w:val="24"/>
        </w:rPr>
        <w:t>本次评价采用《环境影响评价技术导则声环境》（HJ 2.4—2021）中的工业噪声预测计算模式，预测内容主要为厂界噪声预测值、分析厂界噪声达标情况。</w:t>
      </w:r>
    </w:p>
    <w:p w14:paraId="6052E7F5">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rPr>
      </w:pPr>
      <w:r>
        <w:rPr>
          <w:rFonts w:hint="default" w:ascii="Arial" w:hAnsi="Arial" w:eastAsia="宋体" w:cs="Arial"/>
          <w:bCs/>
          <w:sz w:val="24"/>
        </w:rPr>
        <w:t>（1）室外声源</w:t>
      </w:r>
    </w:p>
    <w:p w14:paraId="2702549C">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rPr>
      </w:pPr>
      <w:r>
        <w:rPr>
          <w:rFonts w:hint="default" w:ascii="Arial" w:hAnsi="Arial" w:eastAsia="宋体" w:cs="Arial"/>
          <w:bCs/>
          <w:sz w:val="24"/>
        </w:rPr>
        <w:t>已知声源的倍频带声功率级（从63Hz到8KHz标称频带中心频率的8个倍频带），预测点位置的倍频带声压级可按下式计算：</w:t>
      </w:r>
    </w:p>
    <w:p w14:paraId="35C57B5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2"/>
          <w:sz w:val="24"/>
        </w:rPr>
        <w:object>
          <v:shape id="_x0000_i1026" o:spt="75" type="#_x0000_t75" style="height:13.4pt;width:100.45pt;" o:ole="t" filled="f" coordsize="21600,21600">
            <v:path/>
            <v:fill on="f" focussize="0,0"/>
            <v:stroke/>
            <v:imagedata r:id="rId39" o:title=""/>
            <o:lock v:ext="edit" aspectratio="t"/>
            <w10:wrap type="none"/>
            <w10:anchorlock/>
          </v:shape>
          <o:OLEObject Type="Embed" ProgID="Equation.3" ShapeID="_x0000_i1026" DrawAspect="Content" ObjectID="_1468075726" r:id="rId38">
            <o:LockedField>false</o:LockedField>
          </o:OLEObject>
        </w:object>
      </w:r>
    </w:p>
    <w:p w14:paraId="313ADAC5">
      <w:pPr>
        <w:keepLines w:val="0"/>
        <w:pageBreakBefore w:val="0"/>
        <w:widowControl w:val="0"/>
        <w:kinsoku/>
        <w:wordWrap/>
        <w:overflowPunct/>
        <w:topLinePunct w:val="0"/>
        <w:autoSpaceDE/>
        <w:autoSpaceDN/>
        <w:bidi w:val="0"/>
        <w:adjustRightInd/>
        <w:snapToGrid/>
        <w:spacing w:line="360" w:lineRule="auto"/>
        <w:ind w:left="105" w:leftChars="50" w:firstLine="1920" w:firstLineChars="800"/>
        <w:textAlignment w:val="auto"/>
        <w:rPr>
          <w:rFonts w:hint="default" w:ascii="Arial" w:hAnsi="Arial" w:eastAsia="宋体" w:cs="Arial"/>
          <w:sz w:val="24"/>
        </w:rPr>
      </w:pPr>
      <w:r>
        <w:rPr>
          <w:rFonts w:hint="default" w:ascii="Arial" w:hAnsi="Arial" w:eastAsia="宋体" w:cs="Arial"/>
          <w:position w:val="-14"/>
          <w:sz w:val="24"/>
        </w:rPr>
        <w:object>
          <v:shape id="_x0000_i1027" o:spt="75" type="#_x0000_t75" style="height:13.4pt;width:165.75pt;" o:ole="t" filled="f" coordsize="21600,21600">
            <v:path/>
            <v:fill on="f" focussize="0,0"/>
            <v:stroke/>
            <v:imagedata r:id="rId41" o:title=""/>
            <o:lock v:ext="edit" aspectratio="t"/>
            <w10:wrap type="none"/>
            <w10:anchorlock/>
          </v:shape>
          <o:OLEObject Type="Embed" ProgID="Equation.3" ShapeID="_x0000_i1027" DrawAspect="Content" ObjectID="_1468075727" r:id="rId40">
            <o:LockedField>false</o:LockedField>
          </o:OLEObject>
        </w:object>
      </w:r>
    </w:p>
    <w:p w14:paraId="1534C860">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P</w:t>
      </w:r>
      <w:r>
        <w:rPr>
          <w:rFonts w:hint="default" w:ascii="Arial" w:hAnsi="Arial" w:eastAsia="宋体" w:cs="Arial"/>
          <w:i/>
          <w:sz w:val="24"/>
        </w:rPr>
        <w:t>(r)</w:t>
      </w:r>
      <w:r>
        <w:rPr>
          <w:rFonts w:hint="default" w:ascii="Arial" w:hAnsi="Arial" w:eastAsia="宋体" w:cs="Arial"/>
          <w:sz w:val="24"/>
        </w:rPr>
        <w:t xml:space="preserve"> ——预测点的倍频带声压级，dB；</w:t>
      </w:r>
    </w:p>
    <w:p w14:paraId="13126C7F">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L</w:t>
      </w:r>
      <w:r>
        <w:rPr>
          <w:rFonts w:hint="default" w:ascii="Arial" w:hAnsi="Arial" w:eastAsia="宋体" w:cs="Arial"/>
          <w:i/>
          <w:sz w:val="24"/>
          <w:vertAlign w:val="subscript"/>
        </w:rPr>
        <w:t>w</w:t>
      </w:r>
      <w:r>
        <w:rPr>
          <w:rFonts w:hint="default" w:ascii="Arial" w:hAnsi="Arial" w:eastAsia="宋体" w:cs="Arial"/>
          <w:sz w:val="24"/>
        </w:rPr>
        <w:t>——倍频带声功率级，dB；</w:t>
      </w:r>
    </w:p>
    <w:p w14:paraId="5F663E2B">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Dc</w:t>
      </w:r>
      <w:r>
        <w:rPr>
          <w:rFonts w:hint="default" w:ascii="Arial" w:hAnsi="Arial" w:eastAsia="宋体" w:cs="Arial"/>
          <w:sz w:val="24"/>
        </w:rPr>
        <w:t>——指向性校正，dB；</w:t>
      </w:r>
    </w:p>
    <w:p w14:paraId="0ADC4659">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A</w:t>
      </w:r>
      <w:r>
        <w:rPr>
          <w:rFonts w:hint="default" w:ascii="Arial" w:hAnsi="Arial" w:eastAsia="宋体" w:cs="Arial"/>
          <w:sz w:val="24"/>
        </w:rPr>
        <w:t>——倍频带衰减，dB；</w:t>
      </w:r>
    </w:p>
    <w:p w14:paraId="052586BD">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A</w:t>
      </w:r>
      <w:r>
        <w:rPr>
          <w:rFonts w:hint="default" w:ascii="Arial" w:hAnsi="Arial" w:eastAsia="宋体" w:cs="Arial"/>
          <w:i/>
          <w:sz w:val="24"/>
          <w:vertAlign w:val="subscript"/>
        </w:rPr>
        <w:t>div</w:t>
      </w:r>
      <w:r>
        <w:rPr>
          <w:rFonts w:hint="default" w:ascii="Arial" w:hAnsi="Arial" w:eastAsia="宋体" w:cs="Arial"/>
          <w:sz w:val="24"/>
        </w:rPr>
        <w:t>——几何发散引起的倍频带衰减，dB；</w:t>
      </w:r>
    </w:p>
    <w:p w14:paraId="561AD4B0">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A</w:t>
      </w:r>
      <w:r>
        <w:rPr>
          <w:rFonts w:hint="default" w:ascii="Arial" w:hAnsi="Arial" w:eastAsia="宋体" w:cs="Arial"/>
          <w:i/>
          <w:sz w:val="24"/>
          <w:vertAlign w:val="subscript"/>
        </w:rPr>
        <w:t>atm</w:t>
      </w:r>
      <w:r>
        <w:rPr>
          <w:rFonts w:hint="default" w:ascii="Arial" w:hAnsi="Arial" w:eastAsia="宋体" w:cs="Arial"/>
          <w:sz w:val="24"/>
        </w:rPr>
        <w:t>——大气吸收引起的倍频带衰减，dB；</w:t>
      </w:r>
    </w:p>
    <w:p w14:paraId="783C401D">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A</w:t>
      </w:r>
      <w:r>
        <w:rPr>
          <w:rFonts w:hint="default" w:ascii="Arial" w:hAnsi="Arial" w:eastAsia="宋体" w:cs="Arial"/>
          <w:i/>
          <w:sz w:val="24"/>
          <w:vertAlign w:val="subscript"/>
        </w:rPr>
        <w:t>gr</w:t>
      </w:r>
      <w:r>
        <w:rPr>
          <w:rFonts w:hint="default" w:ascii="Arial" w:hAnsi="Arial" w:eastAsia="宋体" w:cs="Arial"/>
          <w:sz w:val="24"/>
        </w:rPr>
        <w:t>——地面效应引起的倍频带衰减，dB；</w:t>
      </w:r>
    </w:p>
    <w:p w14:paraId="661D13BC">
      <w:pPr>
        <w:keepLines w:val="0"/>
        <w:pageBreakBefore w:val="0"/>
        <w:widowControl w:val="0"/>
        <w:kinsoku/>
        <w:wordWrap/>
        <w:overflowPunct/>
        <w:topLinePunct w:val="0"/>
        <w:autoSpaceDE/>
        <w:autoSpaceDN/>
        <w:bidi w:val="0"/>
        <w:adjustRightInd/>
        <w:snapToGrid/>
        <w:spacing w:line="360" w:lineRule="auto"/>
        <w:ind w:left="105" w:leftChars="50" w:firstLine="1080" w:firstLineChars="450"/>
        <w:textAlignment w:val="auto"/>
        <w:rPr>
          <w:rFonts w:hint="default" w:ascii="Arial" w:hAnsi="Arial" w:eastAsia="宋体" w:cs="Arial"/>
          <w:sz w:val="24"/>
        </w:rPr>
      </w:pPr>
      <w:r>
        <w:rPr>
          <w:rFonts w:hint="default" w:ascii="Arial" w:hAnsi="Arial" w:eastAsia="宋体" w:cs="Arial"/>
          <w:i/>
          <w:sz w:val="24"/>
        </w:rPr>
        <w:t>A</w:t>
      </w:r>
      <w:r>
        <w:rPr>
          <w:rFonts w:hint="default" w:ascii="Arial" w:hAnsi="Arial" w:eastAsia="宋体" w:cs="Arial"/>
          <w:i/>
          <w:sz w:val="24"/>
          <w:vertAlign w:val="subscript"/>
        </w:rPr>
        <w:t>bar</w:t>
      </w:r>
      <w:r>
        <w:rPr>
          <w:rFonts w:hint="default" w:ascii="Arial" w:hAnsi="Arial" w:eastAsia="宋体" w:cs="Arial"/>
          <w:sz w:val="24"/>
        </w:rPr>
        <w:t>——声屏障引起的倍频带衰减，dB；</w:t>
      </w:r>
    </w:p>
    <w:p w14:paraId="6C8E1F19">
      <w:pPr>
        <w:keepLines w:val="0"/>
        <w:pageBreakBefore w:val="0"/>
        <w:widowControl w:val="0"/>
        <w:kinsoku/>
        <w:wordWrap/>
        <w:overflowPunct/>
        <w:topLinePunct w:val="0"/>
        <w:autoSpaceDE/>
        <w:autoSpaceDN/>
        <w:bidi w:val="0"/>
        <w:adjustRightInd/>
        <w:snapToGrid/>
        <w:spacing w:line="360" w:lineRule="auto"/>
        <w:ind w:left="105" w:leftChars="50" w:firstLine="1080" w:firstLineChars="450"/>
        <w:textAlignment w:val="auto"/>
        <w:rPr>
          <w:rFonts w:hint="default" w:ascii="Arial" w:hAnsi="Arial" w:eastAsia="宋体" w:cs="Arial"/>
          <w:sz w:val="24"/>
        </w:rPr>
      </w:pPr>
      <w:r>
        <w:rPr>
          <w:rFonts w:hint="default" w:ascii="Arial" w:hAnsi="Arial" w:eastAsia="宋体" w:cs="Arial"/>
          <w:i/>
          <w:sz w:val="24"/>
        </w:rPr>
        <w:t>A</w:t>
      </w:r>
      <w:r>
        <w:rPr>
          <w:rFonts w:hint="default" w:ascii="Arial" w:hAnsi="Arial" w:eastAsia="宋体" w:cs="Arial"/>
          <w:i/>
          <w:sz w:val="24"/>
          <w:vertAlign w:val="subscript"/>
        </w:rPr>
        <w:t>misc</w:t>
      </w:r>
      <w:r>
        <w:rPr>
          <w:rFonts w:hint="default" w:ascii="Arial" w:hAnsi="Arial" w:eastAsia="宋体" w:cs="Arial"/>
          <w:sz w:val="24"/>
        </w:rPr>
        <w:t>——其他多方面效应引起的倍频带衰减，dB</w:t>
      </w:r>
    </w:p>
    <w:p w14:paraId="49B62CA3">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1）几何发散衰减</w:t>
      </w:r>
    </w:p>
    <w:p w14:paraId="62FBC094">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无指向性点声源的几何发散衰减：</w:t>
      </w:r>
    </w:p>
    <w:p w14:paraId="1409D2CC">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2"/>
          <w:sz w:val="24"/>
        </w:rPr>
        <w:object>
          <v:shape id="_x0000_i1028" o:spt="75" type="#_x0000_t75" style="height:13.4pt;width:85.4pt;" o:ole="t" filled="f" coordsize="21600,21600">
            <v:path/>
            <v:fill on="f" focussize="0,0"/>
            <v:stroke/>
            <v:imagedata r:id="rId43" o:title=""/>
            <o:lock v:ext="edit" aspectratio="t"/>
            <w10:wrap type="none"/>
            <w10:anchorlock/>
          </v:shape>
          <o:OLEObject Type="Embed" ProgID="Equation.3" ShapeID="_x0000_i1028" DrawAspect="Content" ObjectID="_1468075728" r:id="rId42">
            <o:LockedField>false</o:LockedField>
          </o:OLEObject>
        </w:object>
      </w:r>
    </w:p>
    <w:p w14:paraId="4D708A36">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r</w:t>
      </w:r>
      <w:r>
        <w:rPr>
          <w:rFonts w:hint="default" w:ascii="Arial" w:hAnsi="Arial" w:eastAsia="宋体" w:cs="Arial"/>
          <w:sz w:val="24"/>
        </w:rPr>
        <w:t>——预测点与点声源之间的距离，m；</w:t>
      </w:r>
    </w:p>
    <w:p w14:paraId="161C3E01">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r</w:t>
      </w:r>
      <w:r>
        <w:rPr>
          <w:rFonts w:hint="default" w:ascii="Arial" w:hAnsi="Arial" w:eastAsia="宋体" w:cs="Arial"/>
          <w:i/>
          <w:sz w:val="24"/>
          <w:vertAlign w:val="subscript"/>
        </w:rPr>
        <w:t>0</w:t>
      </w:r>
      <w:r>
        <w:rPr>
          <w:rFonts w:hint="default" w:ascii="Arial" w:hAnsi="Arial" w:eastAsia="宋体" w:cs="Arial"/>
          <w:sz w:val="24"/>
        </w:rPr>
        <w:t>——参考声处与点声源之间的距离，m。</w:t>
      </w:r>
    </w:p>
    <w:p w14:paraId="06CC2AA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2）空气吸收引起的衰减</w:t>
      </w:r>
    </w:p>
    <w:p w14:paraId="241F37E6">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position w:val="-24"/>
          <w:sz w:val="24"/>
        </w:rPr>
      </w:pPr>
      <w:r>
        <w:rPr>
          <w:rFonts w:hint="default" w:ascii="Arial" w:hAnsi="Arial" w:eastAsia="宋体" w:cs="Arial"/>
          <w:position w:val="-24"/>
          <w:sz w:val="24"/>
        </w:rPr>
        <w:object>
          <v:shape id="_x0000_i1029" o:spt="75" type="#_x0000_t75" style="height:28.45pt;width:79.55pt;" o:ole="t" fillcolor="#6D6D6D" filled="t" coordsize="21600,21600">
            <v:path/>
            <v:fill on="t" focussize="0,0"/>
            <v:stroke/>
            <v:imagedata r:id="rId45" o:title=""/>
            <o:lock v:ext="edit" aspectratio="t"/>
            <w10:wrap type="none"/>
            <w10:anchorlock/>
          </v:shape>
          <o:OLEObject Type="Embed" ProgID="Equation.3" ShapeID="_x0000_i1029" DrawAspect="Content" ObjectID="_1468075729" r:id="rId44">
            <o:LockedField>false</o:LockedField>
          </o:OLEObject>
        </w:object>
      </w:r>
    </w:p>
    <w:p w14:paraId="2D53E3D0">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a</w:t>
      </w:r>
      <w:r>
        <w:rPr>
          <w:rFonts w:hint="default" w:ascii="Arial" w:hAnsi="Arial" w:eastAsia="宋体" w:cs="Arial"/>
          <w:sz w:val="24"/>
        </w:rPr>
        <w:t>——为每100m空气吸收系数，dB。</w:t>
      </w:r>
    </w:p>
    <w:p w14:paraId="2C9D3385">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3）地面效应衰减</w:t>
      </w:r>
    </w:p>
    <w:p w14:paraId="3C499D43">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28"/>
          <w:sz w:val="24"/>
        </w:rPr>
        <w:object>
          <v:shape id="_x0000_i1030" o:spt="75" type="#_x0000_t75" style="height:28.45pt;width:136.45pt;" o:ole="t" filled="f" coordsize="21600,21600">
            <v:path/>
            <v:fill on="f" focussize="0,0"/>
            <v:stroke/>
            <v:imagedata r:id="rId47" o:title=""/>
            <o:lock v:ext="edit" aspectratio="t"/>
            <w10:wrap type="none"/>
            <w10:anchorlock/>
          </v:shape>
          <o:OLEObject Type="Embed" ProgID="Equation.3" ShapeID="_x0000_i1030" DrawAspect="Content" ObjectID="_1468075730" r:id="rId46">
            <o:LockedField>false</o:LockedField>
          </o:OLEObject>
        </w:object>
      </w:r>
    </w:p>
    <w:p w14:paraId="2EA49C72">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h</w:t>
      </w:r>
      <w:r>
        <w:rPr>
          <w:rFonts w:hint="default" w:ascii="Arial" w:hAnsi="Arial" w:eastAsia="宋体" w:cs="Arial"/>
          <w:i/>
          <w:sz w:val="24"/>
          <w:vertAlign w:val="subscript"/>
        </w:rPr>
        <w:t>m</w:t>
      </w:r>
      <w:r>
        <w:rPr>
          <w:rFonts w:hint="default" w:ascii="Arial" w:hAnsi="Arial" w:eastAsia="宋体" w:cs="Arial"/>
          <w:sz w:val="24"/>
        </w:rPr>
        <w:t>——传播路径的平均离地高度，m。</w:t>
      </w:r>
    </w:p>
    <w:p w14:paraId="4444CEC6">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4）声屏障衰减</w:t>
      </w:r>
    </w:p>
    <w:p w14:paraId="7B796220">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有限长声屏障引起的衰减：</w:t>
      </w:r>
    </w:p>
    <w:p w14:paraId="70A9461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32"/>
          <w:sz w:val="24"/>
        </w:rPr>
        <w:object>
          <v:shape id="_x0000_i1031" o:spt="75" type="#_x0000_t75" style="height:43.55pt;width:229.4pt;" o:ole="t" filled="f" coordsize="21600,21600">
            <v:path/>
            <v:fill on="f" focussize="0,0"/>
            <v:stroke/>
            <v:imagedata r:id="rId49" o:title=""/>
            <o:lock v:ext="edit" aspectratio="t"/>
            <w10:wrap type="none"/>
            <w10:anchorlock/>
          </v:shape>
          <o:OLEObject Type="Embed" ProgID="Equation.3" ShapeID="_x0000_i1031" DrawAspect="Content" ObjectID="_1468075731" r:id="rId48">
            <o:LockedField>false</o:LockedField>
          </o:OLEObject>
        </w:object>
      </w:r>
    </w:p>
    <w:p w14:paraId="284DB935">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无限长声屏障引起的衰减：</w:t>
      </w:r>
    </w:p>
    <w:p w14:paraId="77FC486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32"/>
          <w:sz w:val="24"/>
        </w:rPr>
        <w:object>
          <v:shape id="_x0000_i1032" o:spt="75" type="#_x0000_t75" style="height:43.55pt;width:122.25pt;" o:ole="t" filled="f" coordsize="21600,21600">
            <v:path/>
            <v:fill on="f" focussize="0,0"/>
            <v:stroke/>
            <v:imagedata r:id="rId51" o:title=""/>
            <o:lock v:ext="edit" aspectratio="t"/>
            <w10:wrap type="none"/>
            <w10:anchorlock/>
          </v:shape>
          <o:OLEObject Type="Embed" ProgID="Equation.3" ShapeID="_x0000_i1032" DrawAspect="Content" ObjectID="_1468075732" r:id="rId50">
            <o:LockedField>false</o:LockedField>
          </o:OLEObject>
        </w:object>
      </w:r>
    </w:p>
    <w:p w14:paraId="0980BC5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已知靠近声源处某点的倍频带声压级时，相同方向预测点位置的倍频带声压级可按下式计算：</w:t>
      </w:r>
    </w:p>
    <w:p w14:paraId="15618F12">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2"/>
          <w:sz w:val="24"/>
        </w:rPr>
        <w:object>
          <v:shape id="_x0000_i1033" o:spt="75" type="#_x0000_t75" style="height:13.4pt;width:92.95pt;" o:ole="t" filled="f" coordsize="21600,21600">
            <v:path/>
            <v:fill on="f" focussize="0,0"/>
            <v:stroke/>
            <v:imagedata r:id="rId53" o:title=""/>
            <o:lock v:ext="edit" aspectratio="t"/>
            <w10:wrap type="none"/>
            <w10:anchorlock/>
          </v:shape>
          <o:OLEObject Type="Embed" ProgID="Equation.3" ShapeID="_x0000_i1033" DrawAspect="Content" ObjectID="_1468075733" r:id="rId52">
            <o:LockedField>false</o:LockedField>
          </o:OLEObject>
        </w:object>
      </w:r>
    </w:p>
    <w:p w14:paraId="65026262">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预测点的A声级，可利用8个倍频带的声压级按下式计算：</w:t>
      </w:r>
    </w:p>
    <w:p w14:paraId="6F99B7A4">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30"/>
          <w:sz w:val="24"/>
        </w:rPr>
        <w:object>
          <v:shape id="_x0000_i1034" o:spt="75" type="#_x0000_t75" style="height:36pt;width:151.55pt;" o:ole="t" filled="f" coordsize="21600,21600">
            <v:path/>
            <v:fill on="f" focussize="0,0"/>
            <v:stroke/>
            <v:imagedata r:id="rId55" o:title=""/>
            <o:lock v:ext="edit" aspectratio="t"/>
            <w10:wrap type="none"/>
            <w10:anchorlock/>
          </v:shape>
          <o:OLEObject Type="Embed" ProgID="Equation.3" ShapeID="_x0000_i1034" DrawAspect="Content" ObjectID="_1468075734" r:id="rId54">
            <o:LockedField>false</o:LockedField>
          </o:OLEObject>
        </w:object>
      </w:r>
    </w:p>
    <w:p w14:paraId="24F09C8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Pi</w:t>
      </w:r>
      <w:r>
        <w:rPr>
          <w:rFonts w:hint="default" w:ascii="Arial" w:hAnsi="Arial" w:eastAsia="宋体" w:cs="Arial"/>
          <w:i/>
          <w:sz w:val="24"/>
        </w:rPr>
        <w:t>(r)</w:t>
      </w:r>
      <w:r>
        <w:rPr>
          <w:rFonts w:hint="default" w:ascii="Arial" w:hAnsi="Arial" w:eastAsia="宋体" w:cs="Arial"/>
          <w:sz w:val="24"/>
        </w:rPr>
        <w:t xml:space="preserve"> ——预测点（r）处，第i倍频带声压级，dB；</w:t>
      </w:r>
    </w:p>
    <w:p w14:paraId="2E5627B4">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ΔL</w:t>
      </w:r>
      <w:r>
        <w:rPr>
          <w:rFonts w:hint="default" w:ascii="Arial" w:hAnsi="Arial" w:eastAsia="宋体" w:cs="Arial"/>
          <w:i/>
          <w:sz w:val="24"/>
          <w:vertAlign w:val="subscript"/>
        </w:rPr>
        <w:t>i</w:t>
      </w:r>
      <w:r>
        <w:rPr>
          <w:rFonts w:hint="default" w:ascii="Arial" w:hAnsi="Arial" w:eastAsia="宋体" w:cs="Arial"/>
          <w:sz w:val="24"/>
        </w:rPr>
        <w:t xml:space="preserve"> ——i倍频带A计权网络修正值，dB。</w:t>
      </w:r>
    </w:p>
    <w:p w14:paraId="6A11A1B3">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在不能取得声源倍频带声功率级或倍频带声压级，只能获得A声功率级或某点的A声级时，可按下面两个公示作近似计算：</w:t>
      </w:r>
    </w:p>
    <w:p w14:paraId="4B9A6F0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2"/>
          <w:sz w:val="24"/>
        </w:rPr>
        <w:object>
          <v:shape id="_x0000_i1035" o:spt="75" type="#_x0000_t75" style="height:13.4pt;width:108pt;" o:ole="t" filled="f" coordsize="21600,21600">
            <v:path/>
            <v:fill on="f" focussize="0,0"/>
            <v:stroke/>
            <v:imagedata r:id="rId57" o:title=""/>
            <o:lock v:ext="edit" aspectratio="t"/>
            <w10:wrap type="none"/>
            <w10:anchorlock/>
          </v:shape>
          <o:OLEObject Type="Embed" ProgID="Equation.3" ShapeID="_x0000_i1035" DrawAspect="Content" ObjectID="_1468075735" r:id="rId56">
            <o:LockedField>false</o:LockedField>
          </o:OLEObject>
        </w:object>
      </w:r>
    </w:p>
    <w:p w14:paraId="3E15C98C">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 xml:space="preserve">或                                            </w:t>
      </w:r>
      <w:r>
        <w:rPr>
          <w:rFonts w:hint="default" w:ascii="Arial" w:hAnsi="Arial" w:eastAsia="宋体" w:cs="Arial"/>
          <w:position w:val="-12"/>
          <w:sz w:val="24"/>
        </w:rPr>
        <w:object>
          <v:shape id="_x0000_i1036" o:spt="75" type="#_x0000_t75" style="height:13.4pt;width:92.95pt;" o:ole="t" filled="f" coordsize="21600,21600">
            <v:path/>
            <v:fill on="f" focussize="0,0"/>
            <v:stroke/>
            <v:imagedata r:id="rId59" o:title=""/>
            <o:lock v:ext="edit" aspectratio="t"/>
            <w10:wrap type="none"/>
            <w10:anchorlock/>
          </v:shape>
          <o:OLEObject Type="Embed" ProgID="Equation.3" ShapeID="_x0000_i1036" DrawAspect="Content" ObjectID="_1468075736" r:id="rId58">
            <o:LockedField>false</o:LockedField>
          </o:OLEObject>
        </w:object>
      </w:r>
    </w:p>
    <w:p w14:paraId="4423785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（2）室内声源</w:t>
      </w:r>
    </w:p>
    <w:p w14:paraId="6E3AF596">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声源位于室内，室内声源可采用等效室外声源声功率级法进行计算。</w:t>
      </w:r>
    </w:p>
    <w:p w14:paraId="653D945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某一室内声源靠近围护结构处产生的倍频带声压级：</w:t>
      </w:r>
    </w:p>
    <w:p w14:paraId="1D8B4619">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24"/>
          <w:sz w:val="24"/>
        </w:rPr>
        <w:object>
          <v:shape id="_x0000_i1037" o:spt="75" type="#_x0000_t75" style="height:28.45pt;width:129.75pt;" o:ole="t" filled="f" coordsize="21600,21600">
            <v:path/>
            <v:fill on="f" focussize="0,0"/>
            <v:stroke/>
            <v:imagedata r:id="rId61" o:title=""/>
            <o:lock v:ext="edit" aspectratio="t"/>
            <w10:wrap type="none"/>
            <w10:anchorlock/>
          </v:shape>
          <o:OLEObject Type="Embed" ProgID="Equation.3" ShapeID="_x0000_i1037" DrawAspect="Content" ObjectID="_1468075737" r:id="rId60">
            <o:LockedField>false</o:LockedField>
          </o:OLEObject>
        </w:object>
      </w:r>
    </w:p>
    <w:p w14:paraId="4F7C1D6E">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Q</w:t>
      </w:r>
      <w:r>
        <w:rPr>
          <w:rFonts w:hint="default" w:ascii="Arial" w:hAnsi="Arial" w:eastAsia="宋体" w:cs="Arial"/>
          <w:sz w:val="24"/>
        </w:rPr>
        <w:t>——指向性因数；</w:t>
      </w:r>
    </w:p>
    <w:p w14:paraId="545226A1">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R</w:t>
      </w:r>
      <w:r>
        <w:rPr>
          <w:rFonts w:hint="default" w:ascii="Arial" w:hAnsi="Arial" w:eastAsia="宋体" w:cs="Arial"/>
          <w:sz w:val="24"/>
        </w:rPr>
        <w:t>——房间常数；</w:t>
      </w:r>
      <w:r>
        <w:rPr>
          <w:rFonts w:hint="default" w:ascii="Arial" w:hAnsi="Arial" w:eastAsia="宋体" w:cs="Arial"/>
          <w:position w:val="-10"/>
          <w:sz w:val="24"/>
        </w:rPr>
        <w:object>
          <v:shape id="_x0000_i1038" o:spt="75" type="#_x0000_t75" style="height:13.4pt;width:72pt;" o:ole="t" filled="f" coordsize="21600,21600">
            <v:path/>
            <v:fill on="f" focussize="0,0"/>
            <v:stroke/>
            <v:imagedata r:id="rId63" o:title=""/>
            <o:lock v:ext="edit" aspectratio="t"/>
            <w10:wrap type="none"/>
            <w10:anchorlock/>
          </v:shape>
          <o:OLEObject Type="Embed" ProgID="Equation.3" ShapeID="_x0000_i1038" DrawAspect="Content" ObjectID="_1468075738" r:id="rId62">
            <o:LockedField>false</o:LockedField>
          </o:OLEObject>
        </w:object>
      </w:r>
      <w:r>
        <w:rPr>
          <w:rFonts w:hint="default" w:ascii="Arial" w:hAnsi="Arial" w:eastAsia="宋体" w:cs="Arial"/>
          <w:sz w:val="24"/>
        </w:rPr>
        <w:t>，其中：</w:t>
      </w:r>
      <w:r>
        <w:rPr>
          <w:rFonts w:hint="default" w:ascii="Arial" w:hAnsi="Arial" w:eastAsia="宋体" w:cs="Arial"/>
          <w:i/>
          <w:sz w:val="24"/>
        </w:rPr>
        <w:t>S</w:t>
      </w:r>
      <w:r>
        <w:rPr>
          <w:rFonts w:hint="default" w:ascii="Arial" w:hAnsi="Arial" w:eastAsia="宋体" w:cs="Arial"/>
          <w:sz w:val="24"/>
        </w:rPr>
        <w:t>为房间内表面面积，m</w:t>
      </w:r>
      <w:r>
        <w:rPr>
          <w:rFonts w:hint="default" w:ascii="Arial" w:hAnsi="Arial" w:eastAsia="宋体" w:cs="Arial"/>
          <w:sz w:val="24"/>
          <w:vertAlign w:val="superscript"/>
        </w:rPr>
        <w:t>2</w:t>
      </w:r>
      <w:r>
        <w:rPr>
          <w:rFonts w:hint="default" w:ascii="Arial" w:hAnsi="Arial" w:eastAsia="宋体" w:cs="Arial"/>
          <w:sz w:val="24"/>
        </w:rPr>
        <w:t>；</w:t>
      </w:r>
      <w:r>
        <w:rPr>
          <w:rFonts w:hint="default" w:ascii="Arial" w:hAnsi="Arial" w:eastAsia="宋体" w:cs="Arial"/>
          <w:i/>
          <w:sz w:val="24"/>
        </w:rPr>
        <w:t>α</w:t>
      </w:r>
      <w:r>
        <w:rPr>
          <w:rFonts w:hint="default" w:ascii="Arial" w:hAnsi="Arial" w:eastAsia="宋体" w:cs="Arial"/>
          <w:sz w:val="24"/>
        </w:rPr>
        <w:t>为平均吸声系数。</w:t>
      </w:r>
    </w:p>
    <w:p w14:paraId="48DC747C">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r</w:t>
      </w:r>
      <w:r>
        <w:rPr>
          <w:rFonts w:hint="default" w:ascii="Arial" w:hAnsi="Arial" w:eastAsia="宋体" w:cs="Arial"/>
          <w:sz w:val="24"/>
        </w:rPr>
        <w:t>——声源到靠近围护结构某点处的距离，m。</w:t>
      </w:r>
    </w:p>
    <w:p w14:paraId="4B205B8A">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所有室内声源在围护结构处产生的i倍频带叠加声压级：</w:t>
      </w:r>
    </w:p>
    <w:p w14:paraId="678A1AA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30"/>
          <w:sz w:val="24"/>
        </w:rPr>
        <w:object>
          <v:shape id="_x0000_i1039" o:spt="75" type="#_x0000_t75" style="height:36pt;width:129.75pt;" o:ole="t" filled="f" coordsize="21600,21600">
            <v:path/>
            <v:fill on="f" focussize="0,0"/>
            <v:stroke/>
            <v:imagedata r:id="rId65" o:title=""/>
            <o:lock v:ext="edit" aspectratio="t"/>
            <w10:wrap type="none"/>
            <w10:anchorlock/>
          </v:shape>
          <o:OLEObject Type="Embed" ProgID="Equation.3" ShapeID="_x0000_i1039" DrawAspect="Content" ObjectID="_1468075739" r:id="rId64">
            <o:LockedField>false</o:LockedField>
          </o:OLEObject>
        </w:object>
      </w:r>
    </w:p>
    <w:p w14:paraId="081C1446">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Pli</w:t>
      </w:r>
      <w:r>
        <w:rPr>
          <w:rFonts w:hint="default" w:ascii="Arial" w:hAnsi="Arial" w:eastAsia="宋体" w:cs="Arial"/>
          <w:i/>
          <w:sz w:val="24"/>
        </w:rPr>
        <w:t>(T)</w:t>
      </w:r>
      <w:r>
        <w:rPr>
          <w:rFonts w:hint="default" w:ascii="Arial" w:hAnsi="Arial" w:eastAsia="宋体" w:cs="Arial"/>
          <w:sz w:val="24"/>
        </w:rPr>
        <w:t>——靠近围护结构处室内N个声源i倍频带的叠加声压级，dB；</w:t>
      </w:r>
    </w:p>
    <w:p w14:paraId="07DBAD43">
      <w:pPr>
        <w:keepLines w:val="0"/>
        <w:pageBreakBefore w:val="0"/>
        <w:widowControl w:val="0"/>
        <w:kinsoku/>
        <w:wordWrap/>
        <w:overflowPunct/>
        <w:topLinePunct w:val="0"/>
        <w:autoSpaceDE/>
        <w:autoSpaceDN/>
        <w:bidi w:val="0"/>
        <w:adjustRightInd/>
        <w:snapToGrid/>
        <w:spacing w:line="360" w:lineRule="auto"/>
        <w:ind w:left="105" w:leftChars="50" w:firstLine="1320" w:firstLineChars="550"/>
        <w:textAlignment w:val="auto"/>
        <w:rPr>
          <w:rFonts w:hint="default" w:ascii="Arial" w:hAnsi="Arial" w:eastAsia="宋体" w:cs="Arial"/>
          <w:sz w:val="24"/>
        </w:rPr>
      </w:pPr>
      <w:r>
        <w:rPr>
          <w:rFonts w:hint="default" w:ascii="Arial" w:hAnsi="Arial" w:eastAsia="宋体" w:cs="Arial"/>
          <w:i/>
          <w:sz w:val="24"/>
        </w:rPr>
        <w:t>L</w:t>
      </w:r>
      <w:r>
        <w:rPr>
          <w:rFonts w:hint="default" w:ascii="Arial" w:hAnsi="Arial" w:eastAsia="宋体" w:cs="Arial"/>
          <w:i/>
          <w:sz w:val="24"/>
          <w:vertAlign w:val="subscript"/>
        </w:rPr>
        <w:t>Plj</w:t>
      </w:r>
      <w:r>
        <w:rPr>
          <w:rFonts w:hint="default" w:ascii="Arial" w:hAnsi="Arial" w:eastAsia="宋体" w:cs="Arial"/>
          <w:sz w:val="24"/>
        </w:rPr>
        <w:t>——室内j声源i倍频带的声压级，dB；</w:t>
      </w:r>
    </w:p>
    <w:p w14:paraId="47BACB5C">
      <w:pPr>
        <w:keepLines w:val="0"/>
        <w:pageBreakBefore w:val="0"/>
        <w:widowControl w:val="0"/>
        <w:kinsoku/>
        <w:wordWrap/>
        <w:overflowPunct/>
        <w:topLinePunct w:val="0"/>
        <w:autoSpaceDE/>
        <w:autoSpaceDN/>
        <w:bidi w:val="0"/>
        <w:adjustRightInd/>
        <w:snapToGrid/>
        <w:spacing w:line="360" w:lineRule="auto"/>
        <w:ind w:left="105" w:leftChars="50" w:firstLine="1320" w:firstLineChars="550"/>
        <w:textAlignment w:val="auto"/>
        <w:rPr>
          <w:rFonts w:hint="default" w:ascii="Arial" w:hAnsi="Arial" w:eastAsia="宋体" w:cs="Arial"/>
          <w:sz w:val="24"/>
        </w:rPr>
      </w:pPr>
      <w:r>
        <w:rPr>
          <w:rFonts w:hint="default" w:ascii="Arial" w:hAnsi="Arial" w:eastAsia="宋体" w:cs="Arial"/>
          <w:i/>
          <w:sz w:val="24"/>
        </w:rPr>
        <w:t>N</w:t>
      </w:r>
      <w:r>
        <w:rPr>
          <w:rFonts w:hint="default" w:ascii="Arial" w:hAnsi="Arial" w:eastAsia="宋体" w:cs="Arial"/>
          <w:sz w:val="24"/>
        </w:rPr>
        <w:t>——室内声源总数。</w:t>
      </w:r>
    </w:p>
    <w:p w14:paraId="20E6D24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若声源所在室内声场为近似扩散声场，则室外的等效倍频带声压级：</w:t>
      </w:r>
    </w:p>
    <w:p w14:paraId="64B48A92">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0"/>
          <w:sz w:val="24"/>
        </w:rPr>
        <w:object>
          <v:shape id="_x0000_i1040" o:spt="75" type="#_x0000_t75" style="height:13.4pt;width:100.45pt;" o:ole="t" filled="f" coordsize="21600,21600">
            <v:path/>
            <v:fill on="f" focussize="0,0"/>
            <v:stroke/>
            <v:imagedata r:id="rId67" o:title=""/>
            <o:lock v:ext="edit" aspectratio="t"/>
            <w10:wrap type="none"/>
            <w10:anchorlock/>
          </v:shape>
          <o:OLEObject Type="Embed" ProgID="Equation.3" ShapeID="_x0000_i1040" DrawAspect="Content" ObjectID="_1468075740" r:id="rId66">
            <o:LockedField>false</o:LockedField>
          </o:OLEObject>
        </w:object>
      </w:r>
    </w:p>
    <w:p w14:paraId="325552F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P2</w:t>
      </w:r>
      <w:r>
        <w:rPr>
          <w:rFonts w:hint="default" w:ascii="Arial" w:hAnsi="Arial" w:eastAsia="宋体" w:cs="Arial"/>
          <w:sz w:val="24"/>
        </w:rPr>
        <w:t>——等效室外倍频带的声压级，dB；</w:t>
      </w:r>
    </w:p>
    <w:p w14:paraId="1D78B572">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L</w:t>
      </w:r>
      <w:r>
        <w:rPr>
          <w:rFonts w:hint="default" w:ascii="Arial" w:hAnsi="Arial" w:eastAsia="宋体" w:cs="Arial"/>
          <w:i/>
          <w:sz w:val="24"/>
          <w:vertAlign w:val="subscript"/>
        </w:rPr>
        <w:t>P1</w:t>
      </w:r>
      <w:r>
        <w:rPr>
          <w:rFonts w:hint="default" w:ascii="Arial" w:hAnsi="Arial" w:eastAsia="宋体" w:cs="Arial"/>
          <w:sz w:val="24"/>
        </w:rPr>
        <w:t>——室内倍频带的声压级，dB；</w:t>
      </w:r>
    </w:p>
    <w:p w14:paraId="607CDA76">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iCs/>
          <w:sz w:val="24"/>
        </w:rPr>
        <w:t>TL</w:t>
      </w:r>
      <w:r>
        <w:rPr>
          <w:rFonts w:hint="default" w:ascii="Arial" w:hAnsi="Arial" w:eastAsia="宋体" w:cs="Arial"/>
          <w:sz w:val="24"/>
        </w:rPr>
        <w:t>——隔墙（或窗户）倍频带的隔声量，dB。</w:t>
      </w:r>
    </w:p>
    <w:p w14:paraId="74D1D5CF">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在室内近似为扩散声场时，靠近室外围护结构处的声压级：</w:t>
      </w:r>
    </w:p>
    <w:p w14:paraId="0F5C11F0">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2"/>
          <w:sz w:val="24"/>
        </w:rPr>
        <w:object>
          <v:shape id="_x0000_i1041" o:spt="75" type="#_x0000_t75" style="height:13.4pt;width:136.45pt;" o:ole="t" filled="f" coordsize="21600,21600">
            <v:path/>
            <v:fill on="f" focussize="0,0"/>
            <v:stroke/>
            <v:imagedata r:id="rId69" o:title=""/>
            <o:lock v:ext="edit" aspectratio="t"/>
            <w10:wrap type="none"/>
            <w10:anchorlock/>
          </v:shape>
          <o:OLEObject Type="Embed" ProgID="Equation.3" ShapeID="_x0000_i1041" DrawAspect="Content" ObjectID="_1468075741" r:id="rId68">
            <o:LockedField>false</o:LockedField>
          </o:OLEObject>
        </w:object>
      </w:r>
    </w:p>
    <w:p w14:paraId="519B74C4">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Pli</w:t>
      </w:r>
      <w:r>
        <w:rPr>
          <w:rFonts w:hint="default" w:ascii="Arial" w:hAnsi="Arial" w:eastAsia="宋体" w:cs="Arial"/>
          <w:i/>
          <w:sz w:val="24"/>
        </w:rPr>
        <w:t>(T)</w:t>
      </w:r>
      <w:r>
        <w:rPr>
          <w:rFonts w:hint="default" w:ascii="Arial" w:hAnsi="Arial" w:eastAsia="宋体" w:cs="Arial"/>
          <w:sz w:val="24"/>
        </w:rPr>
        <w:t>——靠近围护结构处室外N个声源i倍频带的叠加声压级，dB；</w:t>
      </w:r>
    </w:p>
    <w:p w14:paraId="58095982">
      <w:pPr>
        <w:keepLines w:val="0"/>
        <w:pageBreakBefore w:val="0"/>
        <w:widowControl w:val="0"/>
        <w:kinsoku/>
        <w:wordWrap/>
        <w:overflowPunct/>
        <w:topLinePunct w:val="0"/>
        <w:autoSpaceDE/>
        <w:autoSpaceDN/>
        <w:bidi w:val="0"/>
        <w:adjustRightInd/>
        <w:snapToGrid/>
        <w:spacing w:line="360" w:lineRule="auto"/>
        <w:ind w:left="105" w:leftChars="50" w:firstLine="1080" w:firstLineChars="450"/>
        <w:textAlignment w:val="auto"/>
        <w:rPr>
          <w:rFonts w:hint="default" w:ascii="Arial" w:hAnsi="Arial" w:eastAsia="宋体" w:cs="Arial"/>
          <w:sz w:val="24"/>
        </w:rPr>
      </w:pPr>
      <w:r>
        <w:rPr>
          <w:rFonts w:hint="default" w:ascii="Arial" w:hAnsi="Arial" w:eastAsia="宋体" w:cs="Arial"/>
          <w:i/>
          <w:sz w:val="24"/>
        </w:rPr>
        <w:t>TL</w:t>
      </w:r>
      <w:r>
        <w:rPr>
          <w:rFonts w:hint="default" w:ascii="Arial" w:hAnsi="Arial" w:eastAsia="宋体" w:cs="Arial"/>
          <w:i/>
          <w:sz w:val="24"/>
          <w:vertAlign w:val="subscript"/>
        </w:rPr>
        <w:t>i</w:t>
      </w:r>
      <w:r>
        <w:rPr>
          <w:rFonts w:hint="default" w:ascii="Arial" w:hAnsi="Arial" w:eastAsia="宋体" w:cs="Arial"/>
          <w:sz w:val="24"/>
        </w:rPr>
        <w:t>——围护结构i倍频带的隔声量，dB。</w:t>
      </w:r>
    </w:p>
    <w:p w14:paraId="4F8C4BD0">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等效室外声源的倍频带声功率级：</w:t>
      </w:r>
    </w:p>
    <w:p w14:paraId="6ACA0D85">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12"/>
          <w:sz w:val="24"/>
        </w:rPr>
        <w:object>
          <v:shape id="_x0000_i1042" o:spt="75" type="#_x0000_t75" style="height:13.4pt;width:108pt;" o:ole="t" filled="f" coordsize="21600,21600">
            <v:path/>
            <v:fill on="f" focussize="0,0"/>
            <v:stroke/>
            <v:imagedata r:id="rId71" o:title=""/>
            <o:lock v:ext="edit" aspectratio="t"/>
            <w10:wrap type="none"/>
            <w10:anchorlock/>
          </v:shape>
          <o:OLEObject Type="Embed" ProgID="Equation.3" ShapeID="_x0000_i1042" DrawAspect="Content" ObjectID="_1468075742" r:id="rId70">
            <o:LockedField>false</o:LockedField>
          </o:OLEObject>
        </w:object>
      </w:r>
    </w:p>
    <w:p w14:paraId="5228314C">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P2</w:t>
      </w:r>
      <w:r>
        <w:rPr>
          <w:rFonts w:hint="default" w:ascii="Arial" w:hAnsi="Arial" w:eastAsia="宋体" w:cs="Arial"/>
          <w:i/>
          <w:sz w:val="24"/>
        </w:rPr>
        <w:t>(T)</w:t>
      </w:r>
      <w:r>
        <w:rPr>
          <w:rFonts w:hint="default" w:ascii="Arial" w:hAnsi="Arial" w:eastAsia="宋体" w:cs="Arial"/>
          <w:sz w:val="24"/>
        </w:rPr>
        <w:t xml:space="preserve"> ——室外声源倍频带声压级，dB；</w:t>
      </w:r>
    </w:p>
    <w:p w14:paraId="74C92E21">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S</w:t>
      </w:r>
      <w:r>
        <w:rPr>
          <w:rFonts w:hint="default" w:ascii="Arial" w:hAnsi="Arial" w:eastAsia="宋体" w:cs="Arial"/>
          <w:sz w:val="24"/>
        </w:rPr>
        <w:t>——透声面积，m</w:t>
      </w:r>
      <w:r>
        <w:rPr>
          <w:rFonts w:hint="default" w:ascii="Arial" w:hAnsi="Arial" w:eastAsia="宋体" w:cs="Arial"/>
          <w:sz w:val="24"/>
          <w:vertAlign w:val="superscript"/>
        </w:rPr>
        <w:t>2</w:t>
      </w:r>
      <w:r>
        <w:rPr>
          <w:rFonts w:hint="default" w:ascii="Arial" w:hAnsi="Arial" w:eastAsia="宋体" w:cs="Arial"/>
          <w:sz w:val="24"/>
        </w:rPr>
        <w:t>。</w:t>
      </w:r>
    </w:p>
    <w:p w14:paraId="0584887C">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（3）噪声贡献值</w:t>
      </w:r>
    </w:p>
    <w:p w14:paraId="523149E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设第i个室外声源在预测点产生的A声级为</w:t>
      </w:r>
      <w:r>
        <w:rPr>
          <w:rFonts w:hint="default" w:ascii="Arial" w:hAnsi="Arial" w:eastAsia="宋体" w:cs="Arial"/>
          <w:i/>
          <w:sz w:val="24"/>
        </w:rPr>
        <w:t>L</w:t>
      </w:r>
      <w:r>
        <w:rPr>
          <w:rFonts w:hint="default" w:ascii="Arial" w:hAnsi="Arial" w:eastAsia="宋体" w:cs="Arial"/>
          <w:i/>
          <w:sz w:val="24"/>
          <w:vertAlign w:val="subscript"/>
        </w:rPr>
        <w:t>Ai</w:t>
      </w:r>
      <w:r>
        <w:rPr>
          <w:rFonts w:hint="default" w:ascii="Arial" w:hAnsi="Arial" w:eastAsia="宋体" w:cs="Arial"/>
          <w:sz w:val="24"/>
        </w:rPr>
        <w:t>，在T时间内该声源工作时间为；第j个等效室外声源在预测点产生的A声级为</w:t>
      </w:r>
      <w:r>
        <w:rPr>
          <w:rFonts w:hint="default" w:ascii="Arial" w:hAnsi="Arial" w:eastAsia="宋体" w:cs="Arial"/>
          <w:i/>
          <w:sz w:val="24"/>
        </w:rPr>
        <w:t>L</w:t>
      </w:r>
      <w:r>
        <w:rPr>
          <w:rFonts w:hint="default" w:ascii="Arial" w:hAnsi="Arial" w:eastAsia="宋体" w:cs="Arial"/>
          <w:i/>
          <w:sz w:val="24"/>
          <w:vertAlign w:val="subscript"/>
        </w:rPr>
        <w:t>Aj</w:t>
      </w:r>
      <w:r>
        <w:rPr>
          <w:rFonts w:hint="default" w:ascii="Arial" w:hAnsi="Arial" w:eastAsia="宋体" w:cs="Arial"/>
          <w:sz w:val="24"/>
        </w:rPr>
        <w:t>，在T时间内该声源工作时间为</w:t>
      </w:r>
      <w:r>
        <w:rPr>
          <w:rFonts w:hint="default" w:ascii="Arial" w:hAnsi="Arial" w:eastAsia="宋体" w:cs="Arial"/>
          <w:i/>
          <w:sz w:val="24"/>
        </w:rPr>
        <w:t>t</w:t>
      </w:r>
      <w:r>
        <w:rPr>
          <w:rFonts w:hint="default" w:ascii="Arial" w:hAnsi="Arial" w:eastAsia="宋体" w:cs="Arial"/>
          <w:i/>
          <w:sz w:val="24"/>
          <w:vertAlign w:val="subscript"/>
        </w:rPr>
        <w:t>j</w:t>
      </w:r>
      <w:r>
        <w:rPr>
          <w:rFonts w:hint="default" w:ascii="Arial" w:hAnsi="Arial" w:eastAsia="宋体" w:cs="Arial"/>
          <w:sz w:val="24"/>
        </w:rPr>
        <w:t>，则拟建工程声源对预测点产生的贡献值（</w:t>
      </w:r>
      <w:r>
        <w:rPr>
          <w:rFonts w:hint="default" w:ascii="Arial" w:hAnsi="Arial" w:eastAsia="宋体" w:cs="Arial"/>
          <w:i/>
          <w:sz w:val="24"/>
        </w:rPr>
        <w:t>L</w:t>
      </w:r>
      <w:r>
        <w:rPr>
          <w:rFonts w:hint="default" w:ascii="Arial" w:hAnsi="Arial" w:eastAsia="宋体" w:cs="Arial"/>
          <w:i/>
          <w:sz w:val="24"/>
          <w:vertAlign w:val="subscript"/>
        </w:rPr>
        <w:t>eqg</w:t>
      </w:r>
      <w:r>
        <w:rPr>
          <w:rFonts w:hint="default" w:ascii="Arial" w:hAnsi="Arial" w:eastAsia="宋体" w:cs="Arial"/>
          <w:sz w:val="24"/>
        </w:rPr>
        <w:t>）为：</w:t>
      </w:r>
    </w:p>
    <w:p w14:paraId="4900B295">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34"/>
          <w:sz w:val="24"/>
        </w:rPr>
        <w:object>
          <v:shape id="_x0000_i1043" o:spt="75" type="#_x0000_t75" style="height:43.55pt;width:210.15pt;" o:ole="t" filled="f" coordsize="21600,21600">
            <v:path/>
            <v:fill on="f" focussize="0,0"/>
            <v:stroke/>
            <v:imagedata r:id="rId73" o:title=""/>
            <o:lock v:ext="edit" aspectratio="t"/>
            <w10:wrap type="none"/>
            <w10:anchorlock/>
          </v:shape>
          <o:OLEObject Type="Embed" ProgID="Equation.3" ShapeID="_x0000_i1043" DrawAspect="Content" ObjectID="_1468075743" r:id="rId72">
            <o:LockedField>false</o:LockedField>
          </o:OLEObject>
        </w:object>
      </w:r>
    </w:p>
    <w:p w14:paraId="49C255B0">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t</w:t>
      </w:r>
      <w:r>
        <w:rPr>
          <w:rFonts w:hint="default" w:ascii="Arial" w:hAnsi="Arial" w:eastAsia="宋体" w:cs="Arial"/>
          <w:i/>
          <w:sz w:val="24"/>
          <w:vertAlign w:val="subscript"/>
        </w:rPr>
        <w:t>j</w:t>
      </w:r>
      <w:r>
        <w:rPr>
          <w:rFonts w:hint="default" w:ascii="Arial" w:hAnsi="Arial" w:eastAsia="宋体" w:cs="Arial"/>
          <w:sz w:val="24"/>
        </w:rPr>
        <w:t>——在T时间内j声源工作时间，s；</w:t>
      </w:r>
    </w:p>
    <w:p w14:paraId="1DD54FA7">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t</w:t>
      </w:r>
      <w:r>
        <w:rPr>
          <w:rFonts w:hint="default" w:ascii="Arial" w:hAnsi="Arial" w:eastAsia="宋体" w:cs="Arial"/>
          <w:i/>
          <w:sz w:val="24"/>
          <w:vertAlign w:val="subscript"/>
        </w:rPr>
        <w:t>i</w:t>
      </w:r>
      <w:r>
        <w:rPr>
          <w:rFonts w:hint="default" w:ascii="Arial" w:hAnsi="Arial" w:eastAsia="宋体" w:cs="Arial"/>
          <w:sz w:val="24"/>
        </w:rPr>
        <w:t>——在T时间内i声源工作时间，s；</w:t>
      </w:r>
    </w:p>
    <w:p w14:paraId="1D2600DF">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T</w:t>
      </w:r>
      <w:r>
        <w:rPr>
          <w:rFonts w:hint="default" w:ascii="Arial" w:hAnsi="Arial" w:eastAsia="宋体" w:cs="Arial"/>
          <w:sz w:val="24"/>
        </w:rPr>
        <w:t>——用于计算等效声级的时间，s；</w:t>
      </w:r>
    </w:p>
    <w:p w14:paraId="0D965297">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N</w:t>
      </w:r>
      <w:r>
        <w:rPr>
          <w:rFonts w:hint="default" w:ascii="Arial" w:hAnsi="Arial" w:eastAsia="宋体" w:cs="Arial"/>
          <w:sz w:val="24"/>
        </w:rPr>
        <w:t>——室外声源个数；</w:t>
      </w:r>
    </w:p>
    <w:p w14:paraId="0F114184">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M</w:t>
      </w:r>
      <w:r>
        <w:rPr>
          <w:rFonts w:hint="default" w:ascii="Arial" w:hAnsi="Arial" w:eastAsia="宋体" w:cs="Arial"/>
          <w:sz w:val="24"/>
        </w:rPr>
        <w:t>——等效室外声源个数。</w:t>
      </w:r>
    </w:p>
    <w:p w14:paraId="47F0668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项目声源在预测点产生的等效声级贡献值(</w:t>
      </w:r>
      <w:r>
        <w:rPr>
          <w:rFonts w:hint="default" w:ascii="Arial" w:hAnsi="Arial" w:eastAsia="宋体" w:cs="Arial"/>
          <w:i/>
          <w:sz w:val="24"/>
        </w:rPr>
        <w:t>L</w:t>
      </w:r>
      <w:r>
        <w:rPr>
          <w:rFonts w:hint="default" w:ascii="Arial" w:hAnsi="Arial" w:eastAsia="宋体" w:cs="Arial"/>
          <w:i/>
          <w:sz w:val="24"/>
          <w:vertAlign w:val="subscript"/>
        </w:rPr>
        <w:t>eqg</w:t>
      </w:r>
      <w:r>
        <w:rPr>
          <w:rFonts w:hint="default" w:ascii="Arial" w:hAnsi="Arial" w:eastAsia="宋体" w:cs="Arial"/>
          <w:sz w:val="24"/>
        </w:rPr>
        <w:t>)计算公式为：</w:t>
      </w:r>
    </w:p>
    <w:p w14:paraId="381AF6F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sz w:val="24"/>
        </w:rPr>
      </w:pPr>
      <w:r>
        <w:rPr>
          <w:rFonts w:hint="default" w:ascii="Arial" w:hAnsi="Arial" w:eastAsia="宋体" w:cs="Arial"/>
          <w:position w:val="-28"/>
          <w:sz w:val="24"/>
        </w:rPr>
        <w:object>
          <v:shape id="_x0000_i1044" o:spt="75" type="#_x0000_t75" style="height:28.45pt;width:129.75pt;" o:ole="t" filled="f" coordsize="21600,21600">
            <v:path/>
            <v:fill on="f" focussize="0,0"/>
            <v:stroke/>
            <v:imagedata r:id="rId75" o:title=""/>
            <o:lock v:ext="edit" aspectratio="t"/>
            <w10:wrap type="none"/>
            <w10:anchorlock/>
          </v:shape>
          <o:OLEObject Type="Embed" ProgID="PBrush" ShapeID="_x0000_i1044" DrawAspect="Content" ObjectID="_1468075744" r:id="rId74">
            <o:LockedField>false</o:LockedField>
          </o:OLEObject>
        </w:object>
      </w:r>
    </w:p>
    <w:p w14:paraId="470F34BB">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式中：</w:t>
      </w:r>
      <w:r>
        <w:rPr>
          <w:rFonts w:hint="default" w:ascii="Arial" w:hAnsi="Arial" w:eastAsia="宋体" w:cs="Arial"/>
          <w:i/>
          <w:sz w:val="24"/>
        </w:rPr>
        <w:t>L</w:t>
      </w:r>
      <w:r>
        <w:rPr>
          <w:rFonts w:hint="default" w:ascii="Arial" w:hAnsi="Arial" w:eastAsia="宋体" w:cs="Arial"/>
          <w:i/>
          <w:sz w:val="24"/>
          <w:vertAlign w:val="subscript"/>
        </w:rPr>
        <w:t>eqg</w:t>
      </w:r>
      <w:r>
        <w:rPr>
          <w:rFonts w:hint="default" w:ascii="Arial" w:hAnsi="Arial" w:eastAsia="宋体" w:cs="Arial"/>
          <w:sz w:val="24"/>
        </w:rPr>
        <w:t>——项目声源在预测点的等效声级贡献值，dB(A)；</w:t>
      </w:r>
    </w:p>
    <w:p w14:paraId="37C57DB4">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L</w:t>
      </w:r>
      <w:r>
        <w:rPr>
          <w:rFonts w:hint="default" w:ascii="Arial" w:hAnsi="Arial" w:eastAsia="宋体" w:cs="Arial"/>
          <w:i/>
          <w:sz w:val="24"/>
          <w:vertAlign w:val="subscript"/>
        </w:rPr>
        <w:t>Ai</w:t>
      </w:r>
      <w:r>
        <w:rPr>
          <w:rFonts w:hint="default" w:ascii="Arial" w:hAnsi="Arial" w:eastAsia="宋体" w:cs="Arial"/>
          <w:sz w:val="24"/>
        </w:rPr>
        <w:t>——声源在预测点产生的A声级，dB(A)；</w:t>
      </w:r>
    </w:p>
    <w:p w14:paraId="182763B0">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T</w:t>
      </w:r>
      <w:r>
        <w:rPr>
          <w:rFonts w:hint="default" w:ascii="Arial" w:hAnsi="Arial" w:eastAsia="宋体" w:cs="Arial"/>
          <w:sz w:val="24"/>
        </w:rPr>
        <w:t>——预测计算的时间段，s；</w:t>
      </w:r>
    </w:p>
    <w:p w14:paraId="797897ED">
      <w:pPr>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sz w:val="24"/>
        </w:rPr>
      </w:pPr>
      <w:r>
        <w:rPr>
          <w:rFonts w:hint="default" w:ascii="Arial" w:hAnsi="Arial" w:eastAsia="宋体" w:cs="Arial"/>
          <w:i/>
          <w:sz w:val="24"/>
        </w:rPr>
        <w:t>t</w:t>
      </w:r>
      <w:r>
        <w:rPr>
          <w:rFonts w:hint="default" w:ascii="Arial" w:hAnsi="Arial" w:eastAsia="宋体" w:cs="Arial"/>
          <w:i/>
          <w:sz w:val="24"/>
          <w:vertAlign w:val="subscript"/>
        </w:rPr>
        <w:t>i</w:t>
      </w:r>
      <w:r>
        <w:rPr>
          <w:rFonts w:hint="default" w:ascii="Arial" w:hAnsi="Arial" w:eastAsia="宋体" w:cs="Arial"/>
          <w:sz w:val="24"/>
        </w:rPr>
        <w:t>——i声源在T时段内的运行时间，s。</w:t>
      </w:r>
    </w:p>
    <w:p w14:paraId="2BA8467F">
      <w:pPr>
        <w:pStyle w:val="76"/>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4.2.3.3预测参数与条件</w:t>
      </w:r>
    </w:p>
    <w:p w14:paraId="0CA8A5D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（1）声波在传播过程中能量衰减的因素较多。本评价预测时仅考虑几何发散和声屏障引起的衰减，其他因素的衰减，如地面效应、大气吸收等均作为预测计算的安全系数而不计。</w:t>
      </w:r>
    </w:p>
    <w:p w14:paraId="077B2D93">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2）房子的隔声量由墙、门窗等综合而成，一般在10~15dB（A），本项目车间房屋隔声量取15dB（A）。声屏障衰减主要考虑厂房围墙衰减及降噪措施，本评价按一排厂房降3dB（A）计算，基础减震降噪措施，降噪量约3~5dB，本次取4dB。</w:t>
      </w:r>
    </w:p>
    <w:p w14:paraId="45BDBFB7">
      <w:pPr>
        <w:pStyle w:val="76"/>
        <w:keepNext/>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4.2.3.4预测结果</w:t>
      </w:r>
    </w:p>
    <w:p w14:paraId="1E432F8D">
      <w:pPr>
        <w:keepNext/>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themeColor="text1"/>
          <w:sz w:val="24"/>
          <w14:textFill>
            <w14:solidFill>
              <w14:schemeClr w14:val="tx1"/>
            </w14:solidFill>
          </w14:textFill>
        </w:rPr>
      </w:pPr>
      <w:r>
        <w:rPr>
          <w:rFonts w:hint="default" w:ascii="Arial" w:hAnsi="Arial" w:eastAsia="宋体" w:cs="Arial"/>
          <w:bCs/>
          <w:sz w:val="24"/>
        </w:rPr>
        <w:t>噪声预测结果见</w:t>
      </w:r>
      <w:r>
        <w:rPr>
          <w:rFonts w:hint="default" w:ascii="Arial" w:hAnsi="Arial" w:eastAsia="宋体" w:cs="Arial"/>
          <w:bCs/>
          <w:color w:val="000000" w:themeColor="text1"/>
          <w:sz w:val="24"/>
          <w14:textFill>
            <w14:solidFill>
              <w14:schemeClr w14:val="tx1"/>
            </w14:solidFill>
          </w14:textFill>
        </w:rPr>
        <w:t>表4-</w:t>
      </w:r>
      <w:r>
        <w:rPr>
          <w:rFonts w:hint="default" w:ascii="Arial" w:hAnsi="Arial" w:eastAsia="宋体" w:cs="Arial"/>
          <w:bCs/>
          <w:color w:val="000000" w:themeColor="text1"/>
          <w:sz w:val="24"/>
          <w:lang w:val="en-US" w:eastAsia="zh-CN"/>
          <w14:textFill>
            <w14:solidFill>
              <w14:schemeClr w14:val="tx1"/>
            </w14:solidFill>
          </w14:textFill>
        </w:rPr>
        <w:t>1</w:t>
      </w:r>
      <w:r>
        <w:rPr>
          <w:rFonts w:hint="eastAsia" w:ascii="Arial" w:hAnsi="Arial" w:eastAsia="宋体" w:cs="Arial"/>
          <w:bCs/>
          <w:color w:val="000000" w:themeColor="text1"/>
          <w:sz w:val="24"/>
          <w:lang w:val="en-US" w:eastAsia="zh-CN"/>
          <w14:textFill>
            <w14:solidFill>
              <w14:schemeClr w14:val="tx1"/>
            </w14:solidFill>
          </w14:textFill>
        </w:rPr>
        <w:t>6</w:t>
      </w:r>
      <w:r>
        <w:rPr>
          <w:rFonts w:hint="default" w:ascii="Arial" w:hAnsi="Arial" w:eastAsia="宋体" w:cs="Arial"/>
          <w:bCs/>
          <w:color w:val="000000" w:themeColor="text1"/>
          <w:sz w:val="24"/>
          <w14:textFill>
            <w14:solidFill>
              <w14:schemeClr w14:val="tx1"/>
            </w14:solidFill>
          </w14:textFill>
        </w:rPr>
        <w:t>。</w:t>
      </w:r>
    </w:p>
    <w:p w14:paraId="37E15D1F">
      <w:pPr>
        <w:pStyle w:val="76"/>
        <w:keepNext/>
        <w:keepLines w:val="0"/>
        <w:pageBreakBefore w:val="0"/>
        <w:widowControl w:val="0"/>
        <w:numPr>
          <w:ilvl w:val="3"/>
          <w:numId w:val="5"/>
        </w:numPr>
        <w:kinsoku/>
        <w:wordWrap/>
        <w:overflowPunct/>
        <w:topLinePunct w:val="0"/>
        <w:autoSpaceDE/>
        <w:autoSpaceDN/>
        <w:bidi w:val="0"/>
        <w:adjustRightInd/>
        <w:snapToGrid/>
        <w:ind w:left="777" w:leftChars="0" w:firstLineChars="0"/>
        <w:jc w:val="center"/>
        <w:textAlignment w:val="auto"/>
        <w:outlineLvl w:val="3"/>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 xml:space="preserve">  预测结果  单位dB（A）</w:t>
      </w:r>
    </w:p>
    <w:tbl>
      <w:tblPr>
        <w:tblStyle w:val="52"/>
        <w:tblpPr w:leftFromText="180" w:rightFromText="180" w:vertAnchor="text" w:horzAnchor="margin" w:tblpXSpec="center" w:tblpY="7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7"/>
        <w:gridCol w:w="1472"/>
        <w:gridCol w:w="1472"/>
        <w:gridCol w:w="1473"/>
        <w:gridCol w:w="1473"/>
      </w:tblGrid>
      <w:tr w14:paraId="6AEF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0" w:type="auto"/>
            <w:vAlign w:val="center"/>
          </w:tcPr>
          <w:p w14:paraId="43131766">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预测点序号</w:t>
            </w:r>
          </w:p>
        </w:tc>
        <w:tc>
          <w:tcPr>
            <w:tcW w:w="0" w:type="auto"/>
            <w:vAlign w:val="center"/>
          </w:tcPr>
          <w:p w14:paraId="78940DF1">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1#</w:t>
            </w:r>
          </w:p>
        </w:tc>
        <w:tc>
          <w:tcPr>
            <w:tcW w:w="0" w:type="auto"/>
            <w:vAlign w:val="center"/>
          </w:tcPr>
          <w:p w14:paraId="403312EF">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2#</w:t>
            </w:r>
          </w:p>
        </w:tc>
        <w:tc>
          <w:tcPr>
            <w:tcW w:w="0" w:type="auto"/>
            <w:vAlign w:val="center"/>
          </w:tcPr>
          <w:p w14:paraId="184CB4B9">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3#</w:t>
            </w:r>
          </w:p>
        </w:tc>
        <w:tc>
          <w:tcPr>
            <w:tcW w:w="0" w:type="auto"/>
            <w:vAlign w:val="center"/>
          </w:tcPr>
          <w:p w14:paraId="1BD51A0B">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4#</w:t>
            </w:r>
          </w:p>
        </w:tc>
      </w:tr>
      <w:tr w14:paraId="2A9A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0" w:type="auto"/>
            <w:vAlign w:val="center"/>
          </w:tcPr>
          <w:p w14:paraId="21D834D4">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预测点位置</w:t>
            </w:r>
          </w:p>
        </w:tc>
        <w:tc>
          <w:tcPr>
            <w:tcW w:w="0" w:type="auto"/>
            <w:vAlign w:val="center"/>
          </w:tcPr>
          <w:p w14:paraId="2D9A8FE2">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东厂界</w:t>
            </w:r>
          </w:p>
        </w:tc>
        <w:tc>
          <w:tcPr>
            <w:tcW w:w="0" w:type="auto"/>
            <w:vAlign w:val="center"/>
          </w:tcPr>
          <w:p w14:paraId="003C3F07">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南厂界</w:t>
            </w:r>
          </w:p>
        </w:tc>
        <w:tc>
          <w:tcPr>
            <w:tcW w:w="0" w:type="auto"/>
            <w:vAlign w:val="center"/>
          </w:tcPr>
          <w:p w14:paraId="58873883">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西厂界</w:t>
            </w:r>
          </w:p>
        </w:tc>
        <w:tc>
          <w:tcPr>
            <w:tcW w:w="0" w:type="auto"/>
            <w:vAlign w:val="center"/>
          </w:tcPr>
          <w:p w14:paraId="3012244F">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北厂界</w:t>
            </w:r>
          </w:p>
        </w:tc>
      </w:tr>
      <w:tr w14:paraId="0A45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0" w:type="auto"/>
            <w:shd w:val="clear" w:color="auto" w:fill="auto"/>
            <w:vAlign w:val="center"/>
          </w:tcPr>
          <w:p w14:paraId="21A8697B">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贡献值</w:t>
            </w:r>
          </w:p>
        </w:tc>
        <w:tc>
          <w:tcPr>
            <w:tcW w:w="1472" w:type="dxa"/>
            <w:shd w:val="clear" w:color="auto" w:fill="auto"/>
            <w:vAlign w:val="center"/>
          </w:tcPr>
          <w:p w14:paraId="7DB02F9D">
            <w:pPr>
              <w:keepNext w:val="0"/>
              <w:keepLines w:val="0"/>
              <w:suppressLineNumbers w:val="0"/>
              <w:spacing w:before="0" w:beforeAutospacing="0" w:after="0" w:afterAutospacing="0"/>
              <w:ind w:left="0" w:right="0"/>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54.8</w:t>
            </w:r>
          </w:p>
        </w:tc>
        <w:tc>
          <w:tcPr>
            <w:tcW w:w="1472" w:type="dxa"/>
            <w:shd w:val="clear" w:color="auto" w:fill="auto"/>
            <w:vAlign w:val="center"/>
          </w:tcPr>
          <w:p w14:paraId="414C3965">
            <w:pPr>
              <w:keepNext w:val="0"/>
              <w:keepLines w:val="0"/>
              <w:suppressLineNumbers w:val="0"/>
              <w:spacing w:before="0" w:beforeAutospacing="0" w:after="0" w:afterAutospacing="0"/>
              <w:ind w:left="0" w:right="0"/>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36.6</w:t>
            </w:r>
          </w:p>
        </w:tc>
        <w:tc>
          <w:tcPr>
            <w:tcW w:w="1473" w:type="dxa"/>
            <w:shd w:val="clear" w:color="auto" w:fill="auto"/>
            <w:vAlign w:val="center"/>
          </w:tcPr>
          <w:p w14:paraId="64E3E706">
            <w:pPr>
              <w:keepNext w:val="0"/>
              <w:keepLines w:val="0"/>
              <w:suppressLineNumbers w:val="0"/>
              <w:spacing w:before="0" w:beforeAutospacing="0" w:after="0" w:afterAutospacing="0"/>
              <w:ind w:left="0" w:right="0"/>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42.4</w:t>
            </w:r>
          </w:p>
        </w:tc>
        <w:tc>
          <w:tcPr>
            <w:tcW w:w="1473" w:type="dxa"/>
            <w:shd w:val="clear" w:color="auto" w:fill="auto"/>
            <w:vAlign w:val="center"/>
          </w:tcPr>
          <w:p w14:paraId="1EE65D03">
            <w:pPr>
              <w:keepNext w:val="0"/>
              <w:keepLines w:val="0"/>
              <w:suppressLineNumbers w:val="0"/>
              <w:spacing w:before="0" w:beforeAutospacing="0" w:after="0" w:afterAutospacing="0"/>
              <w:ind w:left="0" w:right="0"/>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27.1</w:t>
            </w:r>
          </w:p>
        </w:tc>
      </w:tr>
      <w:tr w14:paraId="49BB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0" w:type="auto"/>
            <w:vAlign w:val="center"/>
          </w:tcPr>
          <w:p w14:paraId="339CCC60">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昼/夜间标准值</w:t>
            </w:r>
          </w:p>
        </w:tc>
        <w:tc>
          <w:tcPr>
            <w:tcW w:w="0" w:type="auto"/>
            <w:vAlign w:val="center"/>
          </w:tcPr>
          <w:p w14:paraId="3BD17E41">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65（55）</w:t>
            </w:r>
          </w:p>
        </w:tc>
        <w:tc>
          <w:tcPr>
            <w:tcW w:w="0" w:type="auto"/>
            <w:vAlign w:val="center"/>
          </w:tcPr>
          <w:p w14:paraId="39DE1687">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65（55）</w:t>
            </w:r>
          </w:p>
        </w:tc>
        <w:tc>
          <w:tcPr>
            <w:tcW w:w="0" w:type="auto"/>
            <w:vAlign w:val="center"/>
          </w:tcPr>
          <w:p w14:paraId="727C2F0C">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65（55）</w:t>
            </w:r>
          </w:p>
        </w:tc>
        <w:tc>
          <w:tcPr>
            <w:tcW w:w="0" w:type="auto"/>
            <w:vAlign w:val="center"/>
          </w:tcPr>
          <w:p w14:paraId="7F1A3F4E">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65（55）</w:t>
            </w:r>
          </w:p>
        </w:tc>
      </w:tr>
      <w:tr w14:paraId="3640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0" w:type="auto"/>
            <w:vAlign w:val="center"/>
          </w:tcPr>
          <w:p w14:paraId="50152B81">
            <w:pPr>
              <w:keepNext w:val="0"/>
              <w:keepLines w:val="0"/>
              <w:suppressLineNumbers w:val="0"/>
              <w:snapToGrid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达标情况</w:t>
            </w:r>
          </w:p>
        </w:tc>
        <w:tc>
          <w:tcPr>
            <w:tcW w:w="0" w:type="auto"/>
            <w:vAlign w:val="center"/>
          </w:tcPr>
          <w:p w14:paraId="7C3D6EAB">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达标</w:t>
            </w:r>
          </w:p>
        </w:tc>
        <w:tc>
          <w:tcPr>
            <w:tcW w:w="0" w:type="auto"/>
            <w:vAlign w:val="center"/>
          </w:tcPr>
          <w:p w14:paraId="796794F6">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达标</w:t>
            </w:r>
          </w:p>
        </w:tc>
        <w:tc>
          <w:tcPr>
            <w:tcW w:w="0" w:type="auto"/>
            <w:vAlign w:val="center"/>
          </w:tcPr>
          <w:p w14:paraId="4C7037B0">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达标</w:t>
            </w:r>
          </w:p>
        </w:tc>
        <w:tc>
          <w:tcPr>
            <w:tcW w:w="0" w:type="auto"/>
            <w:vAlign w:val="center"/>
          </w:tcPr>
          <w:p w14:paraId="31241C98">
            <w:pPr>
              <w:keepNext w:val="0"/>
              <w:keepLines w:val="0"/>
              <w:suppressLineNumbers w:val="0"/>
              <w:spacing w:before="0" w:beforeAutospacing="0" w:after="0" w:afterAutospacing="0"/>
              <w:ind w:left="0" w:right="0"/>
              <w:jc w:val="center"/>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达标</w:t>
            </w:r>
          </w:p>
        </w:tc>
      </w:tr>
    </w:tbl>
    <w:p w14:paraId="516D1D5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0"/>
        </w:rPr>
      </w:pPr>
      <w:r>
        <w:rPr>
          <w:rFonts w:hint="default" w:ascii="Arial" w:hAnsi="Arial" w:eastAsia="宋体" w:cs="Arial"/>
          <w:color w:val="000000" w:themeColor="text1"/>
          <w:sz w:val="24"/>
          <w:szCs w:val="20"/>
          <w14:textFill>
            <w14:solidFill>
              <w14:schemeClr w14:val="tx1"/>
            </w14:solidFill>
          </w14:textFill>
        </w:rPr>
        <w:t>从表4-</w:t>
      </w:r>
      <w:r>
        <w:rPr>
          <w:rFonts w:hint="default" w:ascii="Arial" w:hAnsi="Arial" w:eastAsia="宋体" w:cs="Arial"/>
          <w:color w:val="000000" w:themeColor="text1"/>
          <w:sz w:val="24"/>
          <w:szCs w:val="20"/>
          <w:lang w:val="en-US" w:eastAsia="zh-CN"/>
          <w14:textFill>
            <w14:solidFill>
              <w14:schemeClr w14:val="tx1"/>
            </w14:solidFill>
          </w14:textFill>
        </w:rPr>
        <w:t>1</w:t>
      </w:r>
      <w:r>
        <w:rPr>
          <w:rFonts w:hint="eastAsia" w:ascii="Arial" w:hAnsi="Arial" w:eastAsia="宋体" w:cs="Arial"/>
          <w:color w:val="000000" w:themeColor="text1"/>
          <w:sz w:val="24"/>
          <w:szCs w:val="20"/>
          <w:lang w:val="en-US" w:eastAsia="zh-CN"/>
          <w14:textFill>
            <w14:solidFill>
              <w14:schemeClr w14:val="tx1"/>
            </w14:solidFill>
          </w14:textFill>
        </w:rPr>
        <w:t>6</w:t>
      </w:r>
      <w:r>
        <w:rPr>
          <w:rFonts w:hint="default" w:ascii="Arial" w:hAnsi="Arial" w:eastAsia="宋体" w:cs="Arial"/>
          <w:color w:val="000000" w:themeColor="text1"/>
          <w:sz w:val="24"/>
          <w:szCs w:val="20"/>
          <w14:textFill>
            <w14:solidFill>
              <w14:schemeClr w14:val="tx1"/>
            </w14:solidFill>
          </w14:textFill>
        </w:rPr>
        <w:t>可知，在考虑噪声治理的情况下，项目厂界噪声昼夜间叠加值符合3类功能区标准。由此可见，只要采取行之有效的措施，对设备运行噪声进行科学的防治，不会对</w:t>
      </w:r>
      <w:r>
        <w:rPr>
          <w:rFonts w:hint="default" w:ascii="Arial" w:hAnsi="Arial" w:eastAsia="宋体" w:cs="Arial"/>
          <w:sz w:val="24"/>
          <w:szCs w:val="20"/>
        </w:rPr>
        <w:t>项目周边环境和敏感目标造成不良影响。综上所述，项目建成投产后，项目噪声能实现厂界达标排放，可维持周围声环境现状。</w:t>
      </w:r>
    </w:p>
    <w:p w14:paraId="5259CFAB">
      <w:pPr>
        <w:pStyle w:val="76"/>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4.2.3.3声环境监测计划</w:t>
      </w:r>
    </w:p>
    <w:p w14:paraId="54237B25">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声环境监测计划</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992"/>
        <w:gridCol w:w="1231"/>
        <w:gridCol w:w="895"/>
        <w:gridCol w:w="3727"/>
      </w:tblGrid>
      <w:tr w14:paraId="5E99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2" w:type="dxa"/>
            <w:shd w:val="clear" w:color="auto" w:fill="auto"/>
            <w:vAlign w:val="center"/>
          </w:tcPr>
          <w:p w14:paraId="7D495359">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项目</w:t>
            </w:r>
          </w:p>
        </w:tc>
        <w:tc>
          <w:tcPr>
            <w:tcW w:w="992" w:type="dxa"/>
            <w:shd w:val="clear" w:color="auto" w:fill="auto"/>
            <w:vAlign w:val="center"/>
          </w:tcPr>
          <w:p w14:paraId="12ABA8BE">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监测点位</w:t>
            </w:r>
          </w:p>
        </w:tc>
        <w:tc>
          <w:tcPr>
            <w:tcW w:w="1231" w:type="dxa"/>
            <w:shd w:val="clear" w:color="auto" w:fill="auto"/>
            <w:vAlign w:val="center"/>
          </w:tcPr>
          <w:p w14:paraId="57EBF702">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监测指标</w:t>
            </w:r>
          </w:p>
        </w:tc>
        <w:tc>
          <w:tcPr>
            <w:tcW w:w="895" w:type="dxa"/>
            <w:shd w:val="clear" w:color="auto" w:fill="auto"/>
            <w:vAlign w:val="center"/>
          </w:tcPr>
          <w:p w14:paraId="627939FA">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监测频次</w:t>
            </w:r>
          </w:p>
        </w:tc>
        <w:tc>
          <w:tcPr>
            <w:tcW w:w="3727" w:type="dxa"/>
            <w:shd w:val="clear" w:color="auto" w:fill="auto"/>
            <w:vAlign w:val="center"/>
          </w:tcPr>
          <w:p w14:paraId="06BFC358">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执行排放标准</w:t>
            </w:r>
          </w:p>
        </w:tc>
      </w:tr>
      <w:tr w14:paraId="7CF8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2" w:type="dxa"/>
            <w:shd w:val="clear" w:color="auto" w:fill="auto"/>
            <w:vAlign w:val="center"/>
          </w:tcPr>
          <w:p w14:paraId="02B84E31">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声环境</w:t>
            </w:r>
          </w:p>
        </w:tc>
        <w:tc>
          <w:tcPr>
            <w:tcW w:w="992" w:type="dxa"/>
            <w:shd w:val="clear" w:color="auto" w:fill="auto"/>
            <w:vAlign w:val="center"/>
          </w:tcPr>
          <w:p w14:paraId="5A40B6B2">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厂界</w:t>
            </w:r>
          </w:p>
        </w:tc>
        <w:tc>
          <w:tcPr>
            <w:tcW w:w="1231" w:type="dxa"/>
            <w:shd w:val="clear" w:color="auto" w:fill="auto"/>
            <w:vAlign w:val="center"/>
          </w:tcPr>
          <w:p w14:paraId="17CB4A63">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L</w:t>
            </w:r>
            <w:r>
              <w:rPr>
                <w:rFonts w:hint="default" w:ascii="Arial" w:hAnsi="Arial" w:eastAsia="宋体" w:cs="Arial"/>
                <w:szCs w:val="21"/>
                <w:vertAlign w:val="subscript"/>
              </w:rPr>
              <w:t>Aeq</w:t>
            </w:r>
          </w:p>
        </w:tc>
        <w:tc>
          <w:tcPr>
            <w:tcW w:w="895" w:type="dxa"/>
            <w:shd w:val="clear" w:color="auto" w:fill="auto"/>
            <w:vAlign w:val="center"/>
          </w:tcPr>
          <w:p w14:paraId="65A8B7E0">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1次/季</w:t>
            </w:r>
          </w:p>
        </w:tc>
        <w:tc>
          <w:tcPr>
            <w:tcW w:w="3727" w:type="dxa"/>
            <w:shd w:val="clear" w:color="auto" w:fill="auto"/>
            <w:vAlign w:val="center"/>
          </w:tcPr>
          <w:p w14:paraId="59A6C18E">
            <w:pPr>
              <w:keepNext w:val="0"/>
              <w:keepLines w:val="0"/>
              <w:suppressLineNumbers w:val="0"/>
              <w:spacing w:before="0" w:beforeAutospacing="0" w:after="0" w:afterAutospacing="0" w:line="280" w:lineRule="exact"/>
              <w:ind w:left="0" w:right="0"/>
              <w:jc w:val="center"/>
              <w:rPr>
                <w:rFonts w:hint="default" w:ascii="Arial" w:hAnsi="Arial" w:eastAsia="宋体" w:cs="Arial"/>
                <w:szCs w:val="21"/>
              </w:rPr>
            </w:pPr>
            <w:r>
              <w:rPr>
                <w:rFonts w:hint="default" w:ascii="Arial" w:hAnsi="Arial" w:eastAsia="宋体" w:cs="Arial"/>
                <w:szCs w:val="21"/>
              </w:rPr>
              <w:t>厂界昼夜间噪声执行《工业企业厂界噪声排放标准》（GB 12348—2008）中3类标准</w:t>
            </w:r>
          </w:p>
        </w:tc>
      </w:tr>
    </w:tbl>
    <w:p w14:paraId="753C3FC1">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固体废物环境影响和保护措施</w:t>
      </w:r>
    </w:p>
    <w:p w14:paraId="1924257E">
      <w:pPr>
        <w:pStyle w:val="76"/>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4.2.4.1固体废物产生情况</w:t>
      </w:r>
    </w:p>
    <w:p w14:paraId="41A88C23">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废一般包装材料</w:t>
      </w:r>
    </w:p>
    <w:p w14:paraId="0557C662">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项目原材料使用过程中会产生少量废一般包装材料，产生量约为1t/a，属于一般固废。</w:t>
      </w:r>
    </w:p>
    <w:p w14:paraId="5018DC0F">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废金属</w:t>
      </w:r>
    </w:p>
    <w:p w14:paraId="6FE2E618">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本项目下料、检验等工序会产生废金属，包括金属边角料和不合格品，表面不沾染切削液，根据建设单位提供的资料。本项目废金属产生量约为</w:t>
      </w:r>
      <w:r>
        <w:rPr>
          <w:rFonts w:hint="eastAsia" w:ascii="Arial" w:hAnsi="Arial" w:eastAsia="宋体" w:cs="Arial"/>
          <w:bCs/>
          <w:sz w:val="24"/>
          <w:szCs w:val="24"/>
          <w:lang w:val="en-US" w:eastAsia="zh-CN"/>
        </w:rPr>
        <w:t>310</w:t>
      </w:r>
      <w:r>
        <w:rPr>
          <w:rFonts w:hint="default" w:ascii="Arial" w:hAnsi="Arial" w:eastAsia="宋体" w:cs="Arial"/>
          <w:bCs/>
          <w:sz w:val="24"/>
          <w:szCs w:val="24"/>
          <w:lang w:val="en-US" w:eastAsia="zh-CN"/>
        </w:rPr>
        <w:t>t/a。</w:t>
      </w:r>
    </w:p>
    <w:p w14:paraId="5AAB2F73">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布袋收尘</w:t>
      </w:r>
    </w:p>
    <w:p w14:paraId="5C0A80CA">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本项目产生的抛丸</w:t>
      </w:r>
      <w:r>
        <w:rPr>
          <w:rFonts w:hint="eastAsia" w:ascii="Arial" w:hAnsi="Arial" w:eastAsia="宋体" w:cs="Arial"/>
          <w:bCs/>
          <w:sz w:val="24"/>
          <w:szCs w:val="24"/>
          <w:lang w:val="en-US" w:eastAsia="zh-CN"/>
        </w:rPr>
        <w:t>、下料</w:t>
      </w:r>
      <w:r>
        <w:rPr>
          <w:rFonts w:hint="default" w:ascii="Arial" w:hAnsi="Arial" w:eastAsia="宋体" w:cs="Arial"/>
          <w:bCs/>
          <w:sz w:val="24"/>
          <w:szCs w:val="24"/>
          <w:lang w:val="en-US" w:eastAsia="zh-CN"/>
        </w:rPr>
        <w:t>粉尘经收集后引至同套脉冲布袋除尘装置净化处理，根据源强分析，布袋收尘产生量约为</w:t>
      </w:r>
      <w:r>
        <w:rPr>
          <w:rFonts w:hint="eastAsia" w:ascii="Arial" w:hAnsi="Arial" w:eastAsia="宋体" w:cs="Arial"/>
          <w:bCs/>
          <w:sz w:val="24"/>
          <w:szCs w:val="24"/>
          <w:lang w:val="en-US" w:eastAsia="zh-CN"/>
        </w:rPr>
        <w:t>9.17</w:t>
      </w:r>
      <w:r>
        <w:rPr>
          <w:rFonts w:hint="default" w:ascii="Arial" w:hAnsi="Arial" w:eastAsia="宋体" w:cs="Arial"/>
          <w:bCs/>
          <w:sz w:val="24"/>
          <w:szCs w:val="24"/>
          <w:lang w:val="en-US" w:eastAsia="zh-CN"/>
        </w:rPr>
        <w:t>t/a。</w:t>
      </w:r>
    </w:p>
    <w:p w14:paraId="05B7059F">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废钢丸</w:t>
      </w:r>
    </w:p>
    <w:p w14:paraId="7A1D800A">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本项目抛丸产生废钢丸量约为8t/a。</w:t>
      </w:r>
    </w:p>
    <w:p w14:paraId="3D0630EC">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0"/>
          <w:lang w:val="en-US" w:eastAsia="zh-CN"/>
        </w:rPr>
      </w:pPr>
      <w:r>
        <w:rPr>
          <w:rFonts w:hint="default" w:ascii="Arial" w:hAnsi="Arial" w:eastAsia="宋体" w:cs="Arial"/>
          <w:bCs/>
          <w:sz w:val="24"/>
          <w:szCs w:val="20"/>
          <w:lang w:val="en-US" w:eastAsia="zh-CN"/>
        </w:rPr>
        <w:t>废探伤液</w:t>
      </w:r>
    </w:p>
    <w:p w14:paraId="39DC6688">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0"/>
          <w:lang w:val="en-US" w:eastAsia="zh-CN"/>
        </w:rPr>
      </w:pPr>
      <w:r>
        <w:rPr>
          <w:rFonts w:hint="default" w:ascii="Arial" w:hAnsi="Arial" w:eastAsia="宋体" w:cs="Arial"/>
          <w:bCs/>
          <w:sz w:val="24"/>
          <w:szCs w:val="20"/>
          <w:lang w:val="en-US" w:eastAsia="zh-CN"/>
        </w:rPr>
        <w:t>本项目探伤液由荧光粉与水配置，循环使用</w:t>
      </w:r>
      <w:r>
        <w:rPr>
          <w:rFonts w:hint="eastAsia" w:ascii="Arial" w:hAnsi="Arial" w:eastAsia="宋体" w:cs="Arial"/>
          <w:bCs/>
          <w:sz w:val="24"/>
          <w:szCs w:val="20"/>
          <w:lang w:val="en-US" w:eastAsia="zh-CN"/>
        </w:rPr>
        <w:t>定期添加水</w:t>
      </w:r>
      <w:r>
        <w:rPr>
          <w:rFonts w:hint="default" w:ascii="Arial" w:hAnsi="Arial" w:eastAsia="宋体" w:cs="Arial"/>
          <w:bCs/>
          <w:sz w:val="24"/>
          <w:szCs w:val="20"/>
          <w:lang w:val="en-US" w:eastAsia="zh-CN"/>
        </w:rPr>
        <w:t>，</w:t>
      </w:r>
      <w:r>
        <w:rPr>
          <w:rFonts w:hint="default" w:ascii="Arial" w:hAnsi="Arial" w:eastAsia="宋体" w:cs="Arial"/>
          <w:kern w:val="2"/>
          <w:sz w:val="24"/>
          <w:szCs w:val="24"/>
          <w:lang w:val="en-US" w:eastAsia="zh-CN" w:bidi="ar"/>
        </w:rPr>
        <w:t>长期循环后不能满足质量需求，整体更换，补充新液。废探伤液产生量约为0.5t/a</w:t>
      </w:r>
      <w:r>
        <w:rPr>
          <w:rFonts w:hint="default" w:ascii="Arial" w:hAnsi="Arial" w:eastAsia="宋体" w:cs="Arial"/>
          <w:bCs/>
          <w:sz w:val="24"/>
          <w:szCs w:val="20"/>
          <w:lang w:val="en-US" w:eastAsia="zh-CN"/>
        </w:rPr>
        <w:t>。</w:t>
      </w:r>
    </w:p>
    <w:p w14:paraId="0579B436">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废含油金属屑</w:t>
      </w:r>
    </w:p>
    <w:p w14:paraId="0A5E718F">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本项目机加工的过程中会产生含油金属屑，根据建设单位提供的资料，本项目含油金属屑产生量约为8t/a。</w:t>
      </w:r>
    </w:p>
    <w:p w14:paraId="6181FA2D">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废切削液</w:t>
      </w:r>
    </w:p>
    <w:p w14:paraId="3660CA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5" w:leftChars="50" w:right="0" w:firstLine="480" w:firstLineChars="200"/>
        <w:jc w:val="both"/>
        <w:textAlignment w:val="auto"/>
        <w:rPr>
          <w:rFonts w:hint="default" w:ascii="Arial" w:hAnsi="Arial" w:eastAsia="宋体" w:cs="Arial"/>
        </w:rPr>
      </w:pPr>
      <w:r>
        <w:rPr>
          <w:rFonts w:hint="default" w:ascii="Arial" w:hAnsi="Arial" w:eastAsia="宋体" w:cs="Arial"/>
          <w:kern w:val="2"/>
          <w:sz w:val="24"/>
          <w:szCs w:val="24"/>
          <w:lang w:val="en-US" w:eastAsia="zh-CN" w:bidi="ar"/>
        </w:rPr>
        <w:t>项目机加工使用切削液进行冷却，切削液循环使用，定期补充少量水。长期循环后不能满足质量需求，整体更换，补充新液，废切削液产生量3t/a。</w:t>
      </w:r>
    </w:p>
    <w:p w14:paraId="2CC13EE2">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废化学品包装</w:t>
      </w:r>
    </w:p>
    <w:p w14:paraId="7E6E6C90">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0"/>
          <w:lang w:val="en-US" w:eastAsia="zh-CN"/>
        </w:rPr>
      </w:pPr>
      <w:r>
        <w:rPr>
          <w:rFonts w:hint="default" w:ascii="Arial" w:hAnsi="Arial" w:eastAsia="宋体" w:cs="Arial"/>
          <w:sz w:val="24"/>
          <w:szCs w:val="24"/>
        </w:rPr>
        <w:t>项目</w:t>
      </w:r>
      <w:r>
        <w:rPr>
          <w:rFonts w:hint="default" w:ascii="Arial" w:hAnsi="Arial" w:eastAsia="宋体" w:cs="Arial"/>
          <w:sz w:val="24"/>
          <w:szCs w:val="24"/>
          <w:lang w:val="en-US" w:eastAsia="zh-CN"/>
        </w:rPr>
        <w:t>清洗剂</w:t>
      </w:r>
      <w:r>
        <w:rPr>
          <w:rFonts w:hint="default" w:ascii="Arial" w:hAnsi="Arial" w:eastAsia="宋体" w:cs="Arial"/>
          <w:sz w:val="24"/>
          <w:szCs w:val="24"/>
        </w:rPr>
        <w:t>、切削液</w:t>
      </w:r>
      <w:r>
        <w:rPr>
          <w:rFonts w:hint="default" w:ascii="Arial" w:hAnsi="Arial" w:eastAsia="宋体" w:cs="Arial"/>
          <w:sz w:val="24"/>
          <w:szCs w:val="24"/>
          <w:lang w:eastAsia="zh-CN"/>
        </w:rPr>
        <w:t>、</w:t>
      </w:r>
      <w:r>
        <w:rPr>
          <w:rFonts w:hint="default" w:ascii="Arial" w:hAnsi="Arial" w:eastAsia="宋体" w:cs="Arial"/>
          <w:sz w:val="24"/>
          <w:szCs w:val="24"/>
          <w:lang w:val="en-US" w:eastAsia="zh-CN"/>
        </w:rPr>
        <w:t>液压油</w:t>
      </w:r>
      <w:r>
        <w:rPr>
          <w:rFonts w:hint="default" w:ascii="Arial" w:hAnsi="Arial" w:eastAsia="宋体" w:cs="Arial"/>
          <w:sz w:val="24"/>
          <w:szCs w:val="24"/>
        </w:rPr>
        <w:t>等有毒有害原料在使用过程中会产生一定量的废包装桶，根据原料使用及包装规格估算，废包装桶产生量约</w:t>
      </w:r>
      <w:r>
        <w:rPr>
          <w:rFonts w:hint="default" w:ascii="Arial" w:hAnsi="Arial" w:eastAsia="宋体" w:cs="Arial"/>
          <w:sz w:val="24"/>
          <w:szCs w:val="24"/>
          <w:lang w:val="en-US" w:eastAsia="zh-CN"/>
        </w:rPr>
        <w:t>0.2</w:t>
      </w:r>
      <w:r>
        <w:rPr>
          <w:rFonts w:hint="default" w:ascii="Arial" w:hAnsi="Arial" w:eastAsia="宋体" w:cs="Arial"/>
          <w:sz w:val="24"/>
          <w:szCs w:val="24"/>
        </w:rPr>
        <w:t>t/a</w:t>
      </w:r>
      <w:r>
        <w:rPr>
          <w:rFonts w:hint="default" w:ascii="Arial" w:hAnsi="Arial" w:eastAsia="宋体" w:cs="Arial"/>
          <w:bCs/>
          <w:sz w:val="24"/>
          <w:szCs w:val="24"/>
          <w:lang w:val="en-US" w:eastAsia="zh-CN"/>
        </w:rPr>
        <w:t>，</w:t>
      </w:r>
      <w:r>
        <w:rPr>
          <w:rFonts w:hint="default" w:ascii="Arial" w:hAnsi="Arial" w:eastAsia="宋体" w:cs="Arial"/>
          <w:bCs/>
          <w:sz w:val="24"/>
          <w:szCs w:val="20"/>
          <w:lang w:val="en-US" w:eastAsia="zh-CN"/>
        </w:rPr>
        <w:t>委托有资质单位进行安全处置。</w:t>
      </w:r>
    </w:p>
    <w:p w14:paraId="28FABB0A">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0"/>
          <w:lang w:val="en-US" w:eastAsia="zh-CN"/>
        </w:rPr>
      </w:pPr>
      <w:r>
        <w:rPr>
          <w:rFonts w:hint="eastAsia" w:ascii="Arial" w:hAnsi="Arial" w:eastAsia="宋体" w:cs="Arial"/>
          <w:bCs/>
          <w:sz w:val="24"/>
          <w:szCs w:val="20"/>
          <w:lang w:val="en-US" w:eastAsia="zh-CN"/>
        </w:rPr>
        <w:t>清洗废液</w:t>
      </w:r>
    </w:p>
    <w:p w14:paraId="05C4562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0"/>
          <w:lang w:val="en-US" w:eastAsia="zh-CN"/>
        </w:rPr>
      </w:pPr>
      <w:r>
        <w:rPr>
          <w:rFonts w:hint="default" w:ascii="Arial" w:hAnsi="Arial" w:eastAsia="宋体" w:cs="Arial"/>
          <w:bCs/>
          <w:sz w:val="24"/>
          <w:szCs w:val="20"/>
          <w:lang w:val="en-US" w:eastAsia="zh-CN"/>
        </w:rPr>
        <w:t>根据工程分析，</w:t>
      </w:r>
      <w:r>
        <w:rPr>
          <w:rFonts w:hint="eastAsia" w:ascii="Arial" w:hAnsi="Arial" w:eastAsia="宋体" w:cs="Arial"/>
          <w:bCs/>
          <w:sz w:val="24"/>
          <w:szCs w:val="20"/>
          <w:lang w:val="en-US" w:eastAsia="zh-CN"/>
        </w:rPr>
        <w:t>清洗废液</w:t>
      </w:r>
      <w:r>
        <w:rPr>
          <w:rFonts w:hint="default" w:ascii="Arial" w:hAnsi="Arial" w:eastAsia="宋体" w:cs="Arial"/>
          <w:bCs/>
          <w:sz w:val="24"/>
          <w:szCs w:val="20"/>
          <w:lang w:val="en-US" w:eastAsia="zh-CN"/>
        </w:rPr>
        <w:t>的产生量约为9t/a，委托有资质单位进行安全处置。</w:t>
      </w:r>
    </w:p>
    <w:p w14:paraId="5CBC6547">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eastAsia" w:ascii="Arial" w:hAnsi="Arial" w:eastAsia="宋体" w:cs="Arial"/>
          <w:bCs/>
          <w:sz w:val="24"/>
          <w:szCs w:val="24"/>
          <w:lang w:val="en-US" w:eastAsia="zh-CN"/>
        </w:rPr>
        <w:t>光饰机清灰</w:t>
      </w:r>
    </w:p>
    <w:p w14:paraId="61E3FF22">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rPr>
      </w:pPr>
      <w:r>
        <w:rPr>
          <w:rFonts w:hint="eastAsia" w:ascii="Arial" w:hAnsi="Arial" w:eastAsia="宋体" w:cs="Arial"/>
          <w:bCs/>
          <w:sz w:val="24"/>
          <w:szCs w:val="24"/>
          <w:lang w:val="en-US" w:eastAsia="zh-CN"/>
        </w:rPr>
        <w:t>光饰机清灰主要包括金属屑和磨料碎屑。根据建设单位提供资料，项目光饰机年处理量约为4000t，金属屑产生量约占处理量的0.1%，约为4t/a；磨料损耗量约为添加量的5%，磨料使用量为5t/a，废磨料产生量约为0.25t/a。综上，光饰机清灰产生量约为4.25t/a。</w:t>
      </w:r>
    </w:p>
    <w:p w14:paraId="0487F643">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eastAsia" w:ascii="Arial" w:hAnsi="Arial" w:eastAsia="宋体" w:cs="Arial"/>
          <w:bCs/>
          <w:sz w:val="24"/>
          <w:szCs w:val="24"/>
          <w:lang w:val="en-US" w:eastAsia="zh-CN"/>
        </w:rPr>
        <w:t>废磨料</w:t>
      </w:r>
    </w:p>
    <w:p w14:paraId="5CCFA6AB">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lang w:val="en-US"/>
        </w:rPr>
      </w:pPr>
      <w:r>
        <w:rPr>
          <w:rFonts w:hint="eastAsia" w:ascii="Arial" w:hAnsi="Arial" w:eastAsia="宋体" w:cs="Arial"/>
          <w:bCs/>
          <w:sz w:val="24"/>
          <w:szCs w:val="24"/>
          <w:lang w:val="en-US" w:eastAsia="zh-CN"/>
        </w:rPr>
        <w:t>根据建设单位提供资料，光饰机磨料定时补充，每年彻底更换一次，更换量约为装载量的80%，废磨料产生量约为1t/a。</w:t>
      </w:r>
    </w:p>
    <w:p w14:paraId="2D2FF215">
      <w:pPr>
        <w:pStyle w:val="76"/>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生活垃圾</w:t>
      </w:r>
    </w:p>
    <w:p w14:paraId="7EBE258C">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本项目劳动定员</w:t>
      </w:r>
      <w:r>
        <w:rPr>
          <w:rFonts w:hint="default" w:ascii="Arial" w:hAnsi="Arial" w:eastAsia="宋体" w:cs="Arial"/>
          <w:bCs/>
          <w:sz w:val="24"/>
          <w:szCs w:val="24"/>
          <w:lang w:val="en-US" w:eastAsia="zh-CN"/>
        </w:rPr>
        <w:t>30</w:t>
      </w:r>
      <w:r>
        <w:rPr>
          <w:rFonts w:hint="default" w:ascii="Arial" w:hAnsi="Arial" w:eastAsia="宋体" w:cs="Arial"/>
          <w:bCs/>
          <w:sz w:val="24"/>
          <w:szCs w:val="24"/>
        </w:rPr>
        <w:t>人，生活垃圾产生量约1.2kg/d·人，则建设项目生活垃圾产生量约</w:t>
      </w:r>
      <w:r>
        <w:rPr>
          <w:rFonts w:hint="default" w:ascii="Arial" w:hAnsi="Arial" w:eastAsia="宋体" w:cs="Arial"/>
          <w:bCs/>
          <w:sz w:val="24"/>
          <w:szCs w:val="24"/>
          <w:lang w:val="en-US" w:eastAsia="zh-CN"/>
        </w:rPr>
        <w:t>9</w:t>
      </w:r>
      <w:r>
        <w:rPr>
          <w:rFonts w:hint="default" w:ascii="Arial" w:hAnsi="Arial" w:eastAsia="宋体" w:cs="Arial"/>
          <w:bCs/>
          <w:sz w:val="24"/>
          <w:szCs w:val="24"/>
        </w:rPr>
        <w:t>t/a。生活垃圾经收集后委托环卫部门统一清运。</w:t>
      </w:r>
    </w:p>
    <w:p w14:paraId="4E95EEA7">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根据以上分析，本项目固废具体产生及处理处置情况如下：</w:t>
      </w:r>
    </w:p>
    <w:p w14:paraId="629B6D84">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项目副产物产生情况汇总见表4-</w:t>
      </w:r>
      <w:r>
        <w:rPr>
          <w:rFonts w:hint="default" w:ascii="Arial" w:hAnsi="Arial" w:eastAsia="宋体" w:cs="Arial"/>
          <w:bCs/>
          <w:sz w:val="24"/>
          <w:szCs w:val="24"/>
          <w:lang w:val="en-US" w:eastAsia="zh-CN"/>
        </w:rPr>
        <w:t>1</w:t>
      </w:r>
      <w:r>
        <w:rPr>
          <w:rFonts w:hint="eastAsia" w:ascii="Arial" w:hAnsi="Arial" w:eastAsia="宋体" w:cs="Arial"/>
          <w:bCs/>
          <w:sz w:val="24"/>
          <w:szCs w:val="24"/>
          <w:lang w:val="en-US" w:eastAsia="zh-CN"/>
        </w:rPr>
        <w:t>8</w:t>
      </w:r>
      <w:r>
        <w:rPr>
          <w:rFonts w:hint="default" w:ascii="Arial" w:hAnsi="Arial" w:eastAsia="宋体" w:cs="Arial"/>
          <w:bCs/>
          <w:sz w:val="24"/>
          <w:szCs w:val="24"/>
        </w:rPr>
        <w:t>。</w:t>
      </w:r>
    </w:p>
    <w:p w14:paraId="16B546E1">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项目副产物产生情况</w:t>
      </w:r>
    </w:p>
    <w:tbl>
      <w:tblPr>
        <w:tblStyle w:val="5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786"/>
        <w:gridCol w:w="1462"/>
        <w:gridCol w:w="747"/>
        <w:gridCol w:w="1728"/>
        <w:gridCol w:w="1536"/>
      </w:tblGrid>
      <w:tr w14:paraId="467E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vAlign w:val="center"/>
          </w:tcPr>
          <w:p w14:paraId="594BDF5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序号</w:t>
            </w:r>
          </w:p>
        </w:tc>
        <w:tc>
          <w:tcPr>
            <w:tcW w:w="1786" w:type="dxa"/>
            <w:vAlign w:val="center"/>
          </w:tcPr>
          <w:p w14:paraId="1B853777">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产物名称</w:t>
            </w:r>
          </w:p>
        </w:tc>
        <w:tc>
          <w:tcPr>
            <w:tcW w:w="1462" w:type="dxa"/>
            <w:vAlign w:val="center"/>
          </w:tcPr>
          <w:p w14:paraId="29E202D6">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产生工序</w:t>
            </w:r>
          </w:p>
        </w:tc>
        <w:tc>
          <w:tcPr>
            <w:tcW w:w="747" w:type="dxa"/>
            <w:vAlign w:val="center"/>
          </w:tcPr>
          <w:p w14:paraId="7924E318">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形态</w:t>
            </w:r>
          </w:p>
        </w:tc>
        <w:tc>
          <w:tcPr>
            <w:tcW w:w="1728" w:type="dxa"/>
            <w:vAlign w:val="center"/>
          </w:tcPr>
          <w:p w14:paraId="030FDECF">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主要成分</w:t>
            </w:r>
          </w:p>
        </w:tc>
        <w:tc>
          <w:tcPr>
            <w:tcW w:w="1536" w:type="dxa"/>
            <w:vAlign w:val="center"/>
          </w:tcPr>
          <w:p w14:paraId="3F637C8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产生量（t/a）</w:t>
            </w:r>
          </w:p>
        </w:tc>
      </w:tr>
      <w:tr w14:paraId="51F9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vAlign w:val="center"/>
          </w:tcPr>
          <w:p w14:paraId="6AD0107B">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1</w:t>
            </w:r>
          </w:p>
        </w:tc>
        <w:tc>
          <w:tcPr>
            <w:tcW w:w="1786" w:type="dxa"/>
            <w:shd w:val="clear" w:color="auto" w:fill="auto"/>
            <w:vAlign w:val="center"/>
          </w:tcPr>
          <w:p w14:paraId="0E5DA24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废一般包装材料</w:t>
            </w:r>
          </w:p>
        </w:tc>
        <w:tc>
          <w:tcPr>
            <w:tcW w:w="1462" w:type="dxa"/>
            <w:shd w:val="clear" w:color="auto" w:fill="auto"/>
            <w:vAlign w:val="center"/>
          </w:tcPr>
          <w:p w14:paraId="49FFD07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原料使用</w:t>
            </w:r>
          </w:p>
        </w:tc>
        <w:tc>
          <w:tcPr>
            <w:tcW w:w="747" w:type="dxa"/>
            <w:shd w:val="clear" w:color="auto" w:fill="auto"/>
            <w:vAlign w:val="center"/>
          </w:tcPr>
          <w:p w14:paraId="1B591F5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728" w:type="dxa"/>
            <w:shd w:val="clear" w:color="auto" w:fill="auto"/>
            <w:vAlign w:val="center"/>
          </w:tcPr>
          <w:p w14:paraId="2FCEE1A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塑料</w:t>
            </w:r>
          </w:p>
        </w:tc>
        <w:tc>
          <w:tcPr>
            <w:tcW w:w="1536" w:type="dxa"/>
            <w:shd w:val="clear" w:color="auto" w:fill="auto"/>
            <w:vAlign w:val="center"/>
          </w:tcPr>
          <w:p w14:paraId="7E53FD5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w:t>
            </w:r>
          </w:p>
        </w:tc>
      </w:tr>
      <w:tr w14:paraId="39C1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vAlign w:val="center"/>
          </w:tcPr>
          <w:p w14:paraId="7AFC4012">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2</w:t>
            </w:r>
          </w:p>
        </w:tc>
        <w:tc>
          <w:tcPr>
            <w:tcW w:w="1786" w:type="dxa"/>
            <w:shd w:val="clear" w:color="auto" w:fill="auto"/>
            <w:vAlign w:val="center"/>
          </w:tcPr>
          <w:p w14:paraId="7CF8B16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462" w:type="dxa"/>
            <w:shd w:val="clear" w:color="auto" w:fill="auto"/>
            <w:vAlign w:val="center"/>
          </w:tcPr>
          <w:p w14:paraId="2D20150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机加工</w:t>
            </w:r>
          </w:p>
        </w:tc>
        <w:tc>
          <w:tcPr>
            <w:tcW w:w="747" w:type="dxa"/>
            <w:shd w:val="clear" w:color="auto" w:fill="auto"/>
            <w:vAlign w:val="center"/>
          </w:tcPr>
          <w:p w14:paraId="0BDBB1E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728" w:type="dxa"/>
            <w:shd w:val="clear" w:color="auto" w:fill="auto"/>
            <w:vAlign w:val="center"/>
          </w:tcPr>
          <w:p w14:paraId="6E61B49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536" w:type="dxa"/>
            <w:shd w:val="clear" w:color="auto" w:fill="auto"/>
            <w:vAlign w:val="center"/>
          </w:tcPr>
          <w:p w14:paraId="5E1990C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310</w:t>
            </w:r>
          </w:p>
        </w:tc>
      </w:tr>
      <w:tr w14:paraId="153A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68B5353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3</w:t>
            </w:r>
          </w:p>
        </w:tc>
        <w:tc>
          <w:tcPr>
            <w:tcW w:w="1786" w:type="dxa"/>
            <w:shd w:val="clear" w:color="auto" w:fill="auto"/>
            <w:vAlign w:val="center"/>
          </w:tcPr>
          <w:p w14:paraId="69C1024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布袋收尘</w:t>
            </w:r>
          </w:p>
        </w:tc>
        <w:tc>
          <w:tcPr>
            <w:tcW w:w="1462" w:type="dxa"/>
            <w:shd w:val="clear" w:color="auto" w:fill="auto"/>
            <w:vAlign w:val="center"/>
          </w:tcPr>
          <w:p w14:paraId="076D4D5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747" w:type="dxa"/>
            <w:shd w:val="clear" w:color="auto" w:fill="auto"/>
            <w:vAlign w:val="center"/>
          </w:tcPr>
          <w:p w14:paraId="4E630C8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728" w:type="dxa"/>
            <w:shd w:val="clear" w:color="auto" w:fill="auto"/>
            <w:vAlign w:val="center"/>
          </w:tcPr>
          <w:p w14:paraId="6947250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金属屑</w:t>
            </w:r>
          </w:p>
        </w:tc>
        <w:tc>
          <w:tcPr>
            <w:tcW w:w="1536" w:type="dxa"/>
            <w:shd w:val="clear" w:color="auto" w:fill="auto"/>
            <w:vAlign w:val="center"/>
          </w:tcPr>
          <w:p w14:paraId="6ABB4AD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9.17</w:t>
            </w:r>
          </w:p>
        </w:tc>
      </w:tr>
      <w:tr w14:paraId="230C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353AF08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4</w:t>
            </w:r>
          </w:p>
        </w:tc>
        <w:tc>
          <w:tcPr>
            <w:tcW w:w="1786" w:type="dxa"/>
            <w:shd w:val="clear" w:color="auto" w:fill="auto"/>
            <w:vAlign w:val="center"/>
          </w:tcPr>
          <w:p w14:paraId="3D3FA35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废钢丸</w:t>
            </w:r>
          </w:p>
        </w:tc>
        <w:tc>
          <w:tcPr>
            <w:tcW w:w="1462" w:type="dxa"/>
            <w:shd w:val="clear" w:color="auto" w:fill="auto"/>
            <w:vAlign w:val="center"/>
          </w:tcPr>
          <w:p w14:paraId="25B5FB9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747" w:type="dxa"/>
            <w:shd w:val="clear" w:color="auto" w:fill="auto"/>
            <w:vAlign w:val="center"/>
          </w:tcPr>
          <w:p w14:paraId="27572DC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728" w:type="dxa"/>
            <w:shd w:val="clear" w:color="auto" w:fill="auto"/>
            <w:vAlign w:val="center"/>
          </w:tcPr>
          <w:p w14:paraId="3721364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金属</w:t>
            </w:r>
          </w:p>
        </w:tc>
        <w:tc>
          <w:tcPr>
            <w:tcW w:w="1536" w:type="dxa"/>
            <w:shd w:val="clear" w:color="auto" w:fill="auto"/>
            <w:vAlign w:val="center"/>
          </w:tcPr>
          <w:p w14:paraId="145D70A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r>
      <w:tr w14:paraId="5DE1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357D755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5</w:t>
            </w:r>
          </w:p>
        </w:tc>
        <w:tc>
          <w:tcPr>
            <w:tcW w:w="1786" w:type="dxa"/>
            <w:shd w:val="clear" w:color="auto" w:fill="auto"/>
            <w:vAlign w:val="center"/>
          </w:tcPr>
          <w:p w14:paraId="04B36D6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废含油金属屑</w:t>
            </w:r>
          </w:p>
        </w:tc>
        <w:tc>
          <w:tcPr>
            <w:tcW w:w="1462" w:type="dxa"/>
            <w:shd w:val="clear" w:color="auto" w:fill="auto"/>
            <w:vAlign w:val="center"/>
          </w:tcPr>
          <w:p w14:paraId="09137FF8">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机加工</w:t>
            </w:r>
          </w:p>
        </w:tc>
        <w:tc>
          <w:tcPr>
            <w:tcW w:w="747" w:type="dxa"/>
            <w:shd w:val="clear" w:color="auto" w:fill="auto"/>
            <w:vAlign w:val="center"/>
          </w:tcPr>
          <w:p w14:paraId="58F4C3F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固</w:t>
            </w:r>
          </w:p>
        </w:tc>
        <w:tc>
          <w:tcPr>
            <w:tcW w:w="1728" w:type="dxa"/>
            <w:shd w:val="clear" w:color="auto" w:fill="auto"/>
            <w:vAlign w:val="center"/>
          </w:tcPr>
          <w:p w14:paraId="0B0616B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切削液、废金属</w:t>
            </w:r>
          </w:p>
        </w:tc>
        <w:tc>
          <w:tcPr>
            <w:tcW w:w="1536" w:type="dxa"/>
            <w:shd w:val="clear" w:color="auto" w:fill="auto"/>
            <w:vAlign w:val="center"/>
          </w:tcPr>
          <w:p w14:paraId="411B4A2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r>
      <w:tr w14:paraId="61AD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4A8F7A1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6</w:t>
            </w:r>
          </w:p>
        </w:tc>
        <w:tc>
          <w:tcPr>
            <w:tcW w:w="1786" w:type="dxa"/>
            <w:shd w:val="clear" w:color="auto" w:fill="auto"/>
            <w:vAlign w:val="center"/>
          </w:tcPr>
          <w:p w14:paraId="1AE6637E">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废切削液</w:t>
            </w:r>
          </w:p>
        </w:tc>
        <w:tc>
          <w:tcPr>
            <w:tcW w:w="1462" w:type="dxa"/>
            <w:shd w:val="clear" w:color="auto" w:fill="auto"/>
            <w:vAlign w:val="center"/>
          </w:tcPr>
          <w:p w14:paraId="2B1F78C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机加工</w:t>
            </w:r>
          </w:p>
        </w:tc>
        <w:tc>
          <w:tcPr>
            <w:tcW w:w="747" w:type="dxa"/>
            <w:shd w:val="clear" w:color="auto" w:fill="auto"/>
            <w:vAlign w:val="center"/>
          </w:tcPr>
          <w:p w14:paraId="0DC1A07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1728" w:type="dxa"/>
            <w:shd w:val="clear" w:color="auto" w:fill="auto"/>
            <w:vAlign w:val="center"/>
          </w:tcPr>
          <w:p w14:paraId="45F8E14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切削液</w:t>
            </w:r>
          </w:p>
        </w:tc>
        <w:tc>
          <w:tcPr>
            <w:tcW w:w="1536" w:type="dxa"/>
            <w:shd w:val="clear" w:color="auto" w:fill="auto"/>
            <w:vAlign w:val="center"/>
          </w:tcPr>
          <w:p w14:paraId="37E6917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3</w:t>
            </w:r>
          </w:p>
        </w:tc>
      </w:tr>
      <w:tr w14:paraId="2668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61BBA85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7</w:t>
            </w:r>
          </w:p>
        </w:tc>
        <w:tc>
          <w:tcPr>
            <w:tcW w:w="1786" w:type="dxa"/>
            <w:shd w:val="clear" w:color="auto" w:fill="auto"/>
            <w:vAlign w:val="center"/>
          </w:tcPr>
          <w:p w14:paraId="69512D38">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废</w:t>
            </w:r>
            <w:r>
              <w:rPr>
                <w:rFonts w:hint="default" w:ascii="Arial" w:hAnsi="Arial" w:eastAsia="宋体" w:cs="Arial"/>
                <w:sz w:val="21"/>
                <w:szCs w:val="21"/>
                <w:lang w:val="en-US" w:eastAsia="zh-CN"/>
              </w:rPr>
              <w:t>化学品包装</w:t>
            </w:r>
          </w:p>
        </w:tc>
        <w:tc>
          <w:tcPr>
            <w:tcW w:w="1462" w:type="dxa"/>
            <w:shd w:val="clear" w:color="auto" w:fill="auto"/>
            <w:vAlign w:val="center"/>
          </w:tcPr>
          <w:p w14:paraId="641902C8">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原材料使用</w:t>
            </w:r>
          </w:p>
        </w:tc>
        <w:tc>
          <w:tcPr>
            <w:tcW w:w="747" w:type="dxa"/>
            <w:shd w:val="clear" w:color="auto" w:fill="auto"/>
            <w:vAlign w:val="center"/>
          </w:tcPr>
          <w:p w14:paraId="25A835B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固</w:t>
            </w:r>
          </w:p>
        </w:tc>
        <w:tc>
          <w:tcPr>
            <w:tcW w:w="1728" w:type="dxa"/>
            <w:shd w:val="clear" w:color="auto" w:fill="auto"/>
            <w:vAlign w:val="center"/>
          </w:tcPr>
          <w:p w14:paraId="5347075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塑料、</w:t>
            </w:r>
            <w:r>
              <w:rPr>
                <w:rFonts w:hint="default" w:ascii="Arial" w:hAnsi="Arial" w:eastAsia="宋体" w:cs="Arial"/>
                <w:sz w:val="21"/>
                <w:szCs w:val="21"/>
                <w:lang w:val="en-US" w:eastAsia="zh-CN"/>
              </w:rPr>
              <w:t>有机物</w:t>
            </w:r>
          </w:p>
        </w:tc>
        <w:tc>
          <w:tcPr>
            <w:tcW w:w="1536" w:type="dxa"/>
            <w:shd w:val="clear" w:color="auto" w:fill="auto"/>
            <w:vAlign w:val="center"/>
          </w:tcPr>
          <w:p w14:paraId="0DFDFFB8">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0.2</w:t>
            </w:r>
          </w:p>
        </w:tc>
      </w:tr>
      <w:tr w14:paraId="7B40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1F536BF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8</w:t>
            </w:r>
          </w:p>
        </w:tc>
        <w:tc>
          <w:tcPr>
            <w:tcW w:w="1786" w:type="dxa"/>
            <w:shd w:val="clear" w:color="auto" w:fill="auto"/>
            <w:vAlign w:val="center"/>
          </w:tcPr>
          <w:p w14:paraId="55D58AF6">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清洗废液</w:t>
            </w:r>
          </w:p>
        </w:tc>
        <w:tc>
          <w:tcPr>
            <w:tcW w:w="1462" w:type="dxa"/>
            <w:shd w:val="clear" w:color="auto" w:fill="auto"/>
            <w:vAlign w:val="center"/>
          </w:tcPr>
          <w:p w14:paraId="18E33A2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清洗</w:t>
            </w:r>
          </w:p>
        </w:tc>
        <w:tc>
          <w:tcPr>
            <w:tcW w:w="747" w:type="dxa"/>
            <w:shd w:val="clear" w:color="auto" w:fill="auto"/>
            <w:vAlign w:val="center"/>
          </w:tcPr>
          <w:p w14:paraId="400BFBF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1728" w:type="dxa"/>
            <w:shd w:val="clear" w:color="auto" w:fill="auto"/>
            <w:vAlign w:val="center"/>
          </w:tcPr>
          <w:p w14:paraId="5AB52A0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水、清洗剂</w:t>
            </w:r>
          </w:p>
        </w:tc>
        <w:tc>
          <w:tcPr>
            <w:tcW w:w="1536" w:type="dxa"/>
            <w:shd w:val="clear" w:color="auto" w:fill="auto"/>
            <w:vAlign w:val="center"/>
          </w:tcPr>
          <w:p w14:paraId="1BF31A1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r>
      <w:tr w14:paraId="5443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377A1E21">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default" w:ascii="Arial" w:hAnsi="Arial" w:eastAsia="宋体" w:cs="Arial"/>
                <w:sz w:val="21"/>
                <w:szCs w:val="21"/>
                <w:lang w:val="en-US" w:eastAsia="zh-CN"/>
              </w:rPr>
              <w:t>9</w:t>
            </w:r>
          </w:p>
        </w:tc>
        <w:tc>
          <w:tcPr>
            <w:tcW w:w="1786" w:type="dxa"/>
            <w:shd w:val="clear" w:color="auto" w:fill="auto"/>
            <w:vAlign w:val="center"/>
          </w:tcPr>
          <w:p w14:paraId="707FB707">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废探伤液</w:t>
            </w:r>
          </w:p>
        </w:tc>
        <w:tc>
          <w:tcPr>
            <w:tcW w:w="1462" w:type="dxa"/>
            <w:shd w:val="clear" w:color="auto" w:fill="auto"/>
            <w:vAlign w:val="center"/>
          </w:tcPr>
          <w:p w14:paraId="6415FE9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探伤</w:t>
            </w:r>
          </w:p>
        </w:tc>
        <w:tc>
          <w:tcPr>
            <w:tcW w:w="747" w:type="dxa"/>
            <w:shd w:val="clear" w:color="auto" w:fill="auto"/>
            <w:vAlign w:val="center"/>
          </w:tcPr>
          <w:p w14:paraId="4DD90FE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1728" w:type="dxa"/>
            <w:shd w:val="clear" w:color="auto" w:fill="auto"/>
            <w:vAlign w:val="center"/>
          </w:tcPr>
          <w:p w14:paraId="6FCA049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水、探伤粉</w:t>
            </w:r>
          </w:p>
        </w:tc>
        <w:tc>
          <w:tcPr>
            <w:tcW w:w="1536" w:type="dxa"/>
            <w:shd w:val="clear" w:color="auto" w:fill="auto"/>
            <w:vAlign w:val="center"/>
          </w:tcPr>
          <w:p w14:paraId="6E9EA08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0.5</w:t>
            </w:r>
          </w:p>
        </w:tc>
      </w:tr>
      <w:tr w14:paraId="6A01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3B7128F0">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default" w:ascii="Arial" w:hAnsi="Arial" w:eastAsia="宋体" w:cs="Arial"/>
                <w:sz w:val="21"/>
                <w:szCs w:val="21"/>
                <w:lang w:val="en-US" w:eastAsia="zh-CN"/>
              </w:rPr>
              <w:t>10</w:t>
            </w:r>
          </w:p>
        </w:tc>
        <w:tc>
          <w:tcPr>
            <w:tcW w:w="1786" w:type="dxa"/>
            <w:shd w:val="clear" w:color="auto" w:fill="auto"/>
            <w:vAlign w:val="center"/>
          </w:tcPr>
          <w:p w14:paraId="7DE451CF">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光饰机清灰</w:t>
            </w:r>
          </w:p>
        </w:tc>
        <w:tc>
          <w:tcPr>
            <w:tcW w:w="1462" w:type="dxa"/>
            <w:shd w:val="clear" w:color="auto" w:fill="auto"/>
            <w:vAlign w:val="center"/>
          </w:tcPr>
          <w:p w14:paraId="0F5ED9C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光饰</w:t>
            </w:r>
          </w:p>
        </w:tc>
        <w:tc>
          <w:tcPr>
            <w:tcW w:w="747" w:type="dxa"/>
            <w:shd w:val="clear" w:color="auto" w:fill="auto"/>
            <w:vAlign w:val="center"/>
          </w:tcPr>
          <w:p w14:paraId="156D6A6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固</w:t>
            </w:r>
          </w:p>
        </w:tc>
        <w:tc>
          <w:tcPr>
            <w:tcW w:w="1728" w:type="dxa"/>
            <w:shd w:val="clear" w:color="auto" w:fill="auto"/>
            <w:vAlign w:val="center"/>
          </w:tcPr>
          <w:p w14:paraId="5B93AD0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金属</w:t>
            </w:r>
          </w:p>
        </w:tc>
        <w:tc>
          <w:tcPr>
            <w:tcW w:w="1536" w:type="dxa"/>
            <w:shd w:val="clear" w:color="auto" w:fill="auto"/>
            <w:vAlign w:val="center"/>
          </w:tcPr>
          <w:p w14:paraId="143F92A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4.25</w:t>
            </w:r>
          </w:p>
        </w:tc>
      </w:tr>
      <w:tr w14:paraId="5B48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1F7A6980">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11</w:t>
            </w:r>
          </w:p>
        </w:tc>
        <w:tc>
          <w:tcPr>
            <w:tcW w:w="1786" w:type="dxa"/>
            <w:shd w:val="clear" w:color="auto" w:fill="auto"/>
            <w:vAlign w:val="center"/>
          </w:tcPr>
          <w:p w14:paraId="1EAD4B76">
            <w:pPr>
              <w:keepNext w:val="0"/>
              <w:keepLines w:val="0"/>
              <w:suppressLineNumbers w:val="0"/>
              <w:spacing w:before="0" w:beforeAutospacing="0" w:after="0" w:afterAutospacing="0"/>
              <w:ind w:left="0" w:right="0"/>
              <w:jc w:val="center"/>
              <w:rPr>
                <w:rFonts w:hint="default" w:ascii="Arial" w:hAnsi="Arial" w:eastAsia="宋体" w:cs="Arial"/>
                <w:bCs/>
                <w:sz w:val="21"/>
                <w:szCs w:val="21"/>
                <w:lang w:val="en-US" w:eastAsia="zh-CN"/>
              </w:rPr>
            </w:pPr>
            <w:r>
              <w:rPr>
                <w:rFonts w:hint="eastAsia" w:ascii="Arial" w:hAnsi="Arial" w:eastAsia="宋体" w:cs="Arial"/>
                <w:bCs/>
                <w:sz w:val="21"/>
                <w:szCs w:val="21"/>
                <w:lang w:val="en-US" w:eastAsia="zh-CN"/>
              </w:rPr>
              <w:t>废磨料</w:t>
            </w:r>
          </w:p>
        </w:tc>
        <w:tc>
          <w:tcPr>
            <w:tcW w:w="1462" w:type="dxa"/>
            <w:shd w:val="clear" w:color="auto" w:fill="auto"/>
            <w:vAlign w:val="center"/>
          </w:tcPr>
          <w:p w14:paraId="527DFE4C">
            <w:pPr>
              <w:keepNext w:val="0"/>
              <w:keepLines w:val="0"/>
              <w:suppressLineNumbers w:val="0"/>
              <w:spacing w:before="0" w:beforeAutospacing="0" w:after="0" w:afterAutospacing="0"/>
              <w:ind w:left="0" w:right="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光饰</w:t>
            </w:r>
          </w:p>
        </w:tc>
        <w:tc>
          <w:tcPr>
            <w:tcW w:w="747" w:type="dxa"/>
            <w:shd w:val="clear" w:color="auto" w:fill="auto"/>
            <w:vAlign w:val="center"/>
          </w:tcPr>
          <w:p w14:paraId="16F818DD">
            <w:pPr>
              <w:keepNext w:val="0"/>
              <w:keepLines w:val="0"/>
              <w:suppressLineNumbers w:val="0"/>
              <w:spacing w:before="0" w:beforeAutospacing="0" w:after="0" w:afterAutospacing="0"/>
              <w:ind w:left="0" w:right="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固</w:t>
            </w:r>
          </w:p>
        </w:tc>
        <w:tc>
          <w:tcPr>
            <w:tcW w:w="1728" w:type="dxa"/>
            <w:shd w:val="clear" w:color="auto" w:fill="auto"/>
            <w:vAlign w:val="center"/>
          </w:tcPr>
          <w:p w14:paraId="2E870DDC">
            <w:pPr>
              <w:keepNext w:val="0"/>
              <w:keepLines w:val="0"/>
              <w:suppressLineNumbers w:val="0"/>
              <w:spacing w:before="0" w:beforeAutospacing="0" w:after="0" w:afterAutospacing="0"/>
              <w:ind w:left="0" w:right="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陶瓷</w:t>
            </w:r>
          </w:p>
        </w:tc>
        <w:tc>
          <w:tcPr>
            <w:tcW w:w="1536" w:type="dxa"/>
            <w:shd w:val="clear" w:color="auto" w:fill="auto"/>
            <w:vAlign w:val="center"/>
          </w:tcPr>
          <w:p w14:paraId="6EC128C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w:t>
            </w:r>
          </w:p>
        </w:tc>
      </w:tr>
      <w:tr w14:paraId="0A6A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8" w:type="dxa"/>
            <w:shd w:val="clear" w:color="auto" w:fill="auto"/>
            <w:vAlign w:val="center"/>
          </w:tcPr>
          <w:p w14:paraId="086F7282">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12</w:t>
            </w:r>
          </w:p>
        </w:tc>
        <w:tc>
          <w:tcPr>
            <w:tcW w:w="1786" w:type="dxa"/>
            <w:shd w:val="clear" w:color="auto" w:fill="auto"/>
            <w:vAlign w:val="center"/>
          </w:tcPr>
          <w:p w14:paraId="6B4B1D34">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生活垃圾</w:t>
            </w:r>
          </w:p>
        </w:tc>
        <w:tc>
          <w:tcPr>
            <w:tcW w:w="1462" w:type="dxa"/>
            <w:shd w:val="clear" w:color="auto" w:fill="auto"/>
            <w:vAlign w:val="center"/>
          </w:tcPr>
          <w:p w14:paraId="13B704F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生活</w:t>
            </w:r>
          </w:p>
        </w:tc>
        <w:tc>
          <w:tcPr>
            <w:tcW w:w="747" w:type="dxa"/>
            <w:shd w:val="clear" w:color="auto" w:fill="auto"/>
            <w:vAlign w:val="center"/>
          </w:tcPr>
          <w:p w14:paraId="491C093B">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固</w:t>
            </w:r>
          </w:p>
        </w:tc>
        <w:tc>
          <w:tcPr>
            <w:tcW w:w="1728" w:type="dxa"/>
            <w:shd w:val="clear" w:color="auto" w:fill="auto"/>
            <w:vAlign w:val="center"/>
          </w:tcPr>
          <w:p w14:paraId="19ACEC1A">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塑料、果壳等</w:t>
            </w:r>
          </w:p>
        </w:tc>
        <w:tc>
          <w:tcPr>
            <w:tcW w:w="1536" w:type="dxa"/>
            <w:shd w:val="clear" w:color="auto" w:fill="auto"/>
            <w:vAlign w:val="center"/>
          </w:tcPr>
          <w:p w14:paraId="7E4B779F">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r>
    </w:tbl>
    <w:p w14:paraId="1B119CAD">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2、项目固废属性判定</w:t>
      </w:r>
    </w:p>
    <w:p w14:paraId="535C9182">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根据《固体废物鉴别标准通则》</w:t>
      </w:r>
      <w:r>
        <w:rPr>
          <w:rFonts w:hint="eastAsia" w:ascii="Arial" w:hAnsi="Arial" w:eastAsia="宋体" w:cs="Arial"/>
          <w:bCs/>
          <w:sz w:val="24"/>
          <w:szCs w:val="24"/>
          <w:lang w:eastAsia="zh-CN"/>
        </w:rPr>
        <w:t>（</w:t>
      </w:r>
      <w:r>
        <w:rPr>
          <w:rFonts w:hint="eastAsia" w:ascii="Arial" w:hAnsi="Arial" w:eastAsia="宋体" w:cs="Arial"/>
          <w:bCs/>
          <w:sz w:val="24"/>
          <w:szCs w:val="24"/>
          <w:lang w:val="en-US" w:eastAsia="zh-CN"/>
        </w:rPr>
        <w:t>GB34330-2025</w:t>
      </w:r>
      <w:r>
        <w:rPr>
          <w:rFonts w:hint="eastAsia" w:ascii="Arial" w:hAnsi="Arial" w:eastAsia="宋体" w:cs="Arial"/>
          <w:bCs/>
          <w:sz w:val="24"/>
          <w:szCs w:val="24"/>
          <w:lang w:eastAsia="zh-CN"/>
        </w:rPr>
        <w:t>）</w:t>
      </w:r>
      <w:r>
        <w:rPr>
          <w:rFonts w:hint="default" w:ascii="Arial" w:hAnsi="Arial" w:eastAsia="宋体" w:cs="Arial"/>
          <w:bCs/>
          <w:sz w:val="24"/>
          <w:szCs w:val="24"/>
        </w:rPr>
        <w:t>规定对上述固废属性进行判定，具体见表4-</w:t>
      </w:r>
      <w:r>
        <w:rPr>
          <w:rFonts w:hint="default" w:ascii="Arial" w:hAnsi="Arial" w:eastAsia="宋体" w:cs="Arial"/>
          <w:bCs/>
          <w:sz w:val="24"/>
          <w:szCs w:val="24"/>
          <w:lang w:val="en-US" w:eastAsia="zh-CN"/>
        </w:rPr>
        <w:t>1</w:t>
      </w:r>
      <w:r>
        <w:rPr>
          <w:rFonts w:hint="eastAsia" w:ascii="Arial" w:hAnsi="Arial" w:eastAsia="宋体" w:cs="Arial"/>
          <w:bCs/>
          <w:sz w:val="24"/>
          <w:szCs w:val="24"/>
          <w:lang w:val="en-US" w:eastAsia="zh-CN"/>
        </w:rPr>
        <w:t>9</w:t>
      </w:r>
      <w:r>
        <w:rPr>
          <w:rFonts w:hint="default" w:ascii="Arial" w:hAnsi="Arial" w:eastAsia="宋体" w:cs="Arial"/>
          <w:bCs/>
          <w:sz w:val="24"/>
          <w:szCs w:val="24"/>
        </w:rPr>
        <w:t>。</w:t>
      </w:r>
    </w:p>
    <w:p w14:paraId="37BD4754">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建设项目固废属性判定表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3"/>
        <w:gridCol w:w="1632"/>
        <w:gridCol w:w="1173"/>
        <w:gridCol w:w="843"/>
        <w:gridCol w:w="1388"/>
        <w:gridCol w:w="1209"/>
        <w:gridCol w:w="1099"/>
      </w:tblGrid>
      <w:tr w14:paraId="7736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vAlign w:val="center"/>
          </w:tcPr>
          <w:p w14:paraId="36618DA8">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序号</w:t>
            </w:r>
          </w:p>
        </w:tc>
        <w:tc>
          <w:tcPr>
            <w:tcW w:w="1632" w:type="dxa"/>
            <w:vAlign w:val="center"/>
          </w:tcPr>
          <w:p w14:paraId="5D84A487">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产物名称</w:t>
            </w:r>
          </w:p>
        </w:tc>
        <w:tc>
          <w:tcPr>
            <w:tcW w:w="1173" w:type="dxa"/>
            <w:vAlign w:val="center"/>
          </w:tcPr>
          <w:p w14:paraId="7FB719D3">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产生工序</w:t>
            </w:r>
          </w:p>
        </w:tc>
        <w:tc>
          <w:tcPr>
            <w:tcW w:w="843" w:type="dxa"/>
            <w:vAlign w:val="center"/>
          </w:tcPr>
          <w:p w14:paraId="14CF23F3">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形态</w:t>
            </w:r>
          </w:p>
        </w:tc>
        <w:tc>
          <w:tcPr>
            <w:tcW w:w="1388" w:type="dxa"/>
            <w:vAlign w:val="center"/>
          </w:tcPr>
          <w:p w14:paraId="2F7E471C">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主要成分</w:t>
            </w:r>
          </w:p>
        </w:tc>
        <w:tc>
          <w:tcPr>
            <w:tcW w:w="1209" w:type="dxa"/>
            <w:vAlign w:val="center"/>
          </w:tcPr>
          <w:p w14:paraId="678B2980">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是否属固废</w:t>
            </w:r>
          </w:p>
        </w:tc>
        <w:tc>
          <w:tcPr>
            <w:tcW w:w="1099" w:type="dxa"/>
            <w:vAlign w:val="center"/>
          </w:tcPr>
          <w:p w14:paraId="70020D95">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判定依据</w:t>
            </w:r>
          </w:p>
        </w:tc>
      </w:tr>
      <w:tr w14:paraId="3C42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vAlign w:val="center"/>
          </w:tcPr>
          <w:p w14:paraId="5FF82528">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rPr>
            </w:pPr>
            <w:r>
              <w:rPr>
                <w:rFonts w:hint="default" w:ascii="Arial" w:hAnsi="Arial" w:eastAsia="宋体" w:cs="Arial"/>
                <w:kern w:val="0"/>
                <w:sz w:val="21"/>
                <w:szCs w:val="21"/>
              </w:rPr>
              <w:t>1</w:t>
            </w:r>
          </w:p>
        </w:tc>
        <w:tc>
          <w:tcPr>
            <w:tcW w:w="1632" w:type="dxa"/>
            <w:shd w:val="clear" w:color="auto" w:fill="auto"/>
            <w:vAlign w:val="center"/>
          </w:tcPr>
          <w:p w14:paraId="146DA58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废一般包装材料</w:t>
            </w:r>
          </w:p>
        </w:tc>
        <w:tc>
          <w:tcPr>
            <w:tcW w:w="1173" w:type="dxa"/>
            <w:shd w:val="clear" w:color="auto" w:fill="auto"/>
            <w:vAlign w:val="center"/>
          </w:tcPr>
          <w:p w14:paraId="5C4E9228">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原料使用</w:t>
            </w:r>
          </w:p>
        </w:tc>
        <w:tc>
          <w:tcPr>
            <w:tcW w:w="843" w:type="dxa"/>
            <w:shd w:val="clear" w:color="auto" w:fill="auto"/>
            <w:vAlign w:val="center"/>
          </w:tcPr>
          <w:p w14:paraId="5846636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388" w:type="dxa"/>
            <w:shd w:val="clear" w:color="auto" w:fill="auto"/>
            <w:vAlign w:val="center"/>
          </w:tcPr>
          <w:p w14:paraId="4E4BA3A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塑料</w:t>
            </w:r>
          </w:p>
        </w:tc>
        <w:tc>
          <w:tcPr>
            <w:tcW w:w="1209" w:type="dxa"/>
            <w:shd w:val="clear" w:color="auto" w:fill="auto"/>
            <w:vAlign w:val="center"/>
          </w:tcPr>
          <w:p w14:paraId="048981D4">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6C55E773">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4.1.b</w:t>
            </w:r>
          </w:p>
        </w:tc>
      </w:tr>
      <w:tr w14:paraId="0575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vAlign w:val="center"/>
          </w:tcPr>
          <w:p w14:paraId="17F45047">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2</w:t>
            </w:r>
          </w:p>
        </w:tc>
        <w:tc>
          <w:tcPr>
            <w:tcW w:w="1632" w:type="dxa"/>
            <w:shd w:val="clear" w:color="auto" w:fill="auto"/>
            <w:vAlign w:val="center"/>
          </w:tcPr>
          <w:p w14:paraId="793245C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173" w:type="dxa"/>
            <w:shd w:val="clear" w:color="auto" w:fill="auto"/>
            <w:vAlign w:val="center"/>
          </w:tcPr>
          <w:p w14:paraId="0EFF66B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机加工</w:t>
            </w:r>
          </w:p>
        </w:tc>
        <w:tc>
          <w:tcPr>
            <w:tcW w:w="843" w:type="dxa"/>
            <w:shd w:val="clear" w:color="auto" w:fill="auto"/>
            <w:vAlign w:val="center"/>
          </w:tcPr>
          <w:p w14:paraId="03A19EC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388" w:type="dxa"/>
            <w:shd w:val="clear" w:color="auto" w:fill="auto"/>
            <w:vAlign w:val="center"/>
          </w:tcPr>
          <w:p w14:paraId="1515F9E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209" w:type="dxa"/>
            <w:shd w:val="clear" w:color="auto" w:fill="auto"/>
            <w:vAlign w:val="center"/>
          </w:tcPr>
          <w:p w14:paraId="4AB9D23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6F49040A">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bCs/>
                <w:kern w:val="2"/>
                <w:sz w:val="21"/>
                <w:szCs w:val="21"/>
                <w:highlight w:val="yellow"/>
                <w:lang w:val="en-US" w:eastAsia="zh-CN" w:bidi="ar-SA"/>
              </w:rPr>
            </w:pPr>
            <w:r>
              <w:rPr>
                <w:rFonts w:hint="eastAsia" w:ascii="Arial" w:hAnsi="Arial" w:eastAsia="宋体" w:cs="Arial"/>
                <w:kern w:val="0"/>
                <w:sz w:val="21"/>
                <w:szCs w:val="21"/>
                <w:lang w:val="en-US" w:eastAsia="zh-CN" w:bidi="ar-SA"/>
              </w:rPr>
              <w:t>4.1.d</w:t>
            </w:r>
          </w:p>
        </w:tc>
      </w:tr>
      <w:tr w14:paraId="233F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240451E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3</w:t>
            </w:r>
          </w:p>
        </w:tc>
        <w:tc>
          <w:tcPr>
            <w:tcW w:w="1632" w:type="dxa"/>
            <w:shd w:val="clear" w:color="auto" w:fill="auto"/>
            <w:vAlign w:val="center"/>
          </w:tcPr>
          <w:p w14:paraId="24DD8E7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布袋收尘</w:t>
            </w:r>
          </w:p>
        </w:tc>
        <w:tc>
          <w:tcPr>
            <w:tcW w:w="1173" w:type="dxa"/>
            <w:shd w:val="clear" w:color="auto" w:fill="auto"/>
            <w:vAlign w:val="center"/>
          </w:tcPr>
          <w:p w14:paraId="57C68AD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843" w:type="dxa"/>
            <w:shd w:val="clear" w:color="auto" w:fill="auto"/>
            <w:vAlign w:val="center"/>
          </w:tcPr>
          <w:p w14:paraId="1BD2901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388" w:type="dxa"/>
            <w:shd w:val="clear" w:color="auto" w:fill="auto"/>
            <w:vAlign w:val="center"/>
          </w:tcPr>
          <w:p w14:paraId="3E57610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209" w:type="dxa"/>
            <w:shd w:val="clear" w:color="auto" w:fill="auto"/>
            <w:vAlign w:val="center"/>
          </w:tcPr>
          <w:p w14:paraId="7186044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2BBAB1B4">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bCs/>
                <w:sz w:val="21"/>
                <w:szCs w:val="21"/>
                <w:highlight w:val="yellow"/>
                <w:lang w:val="en-US" w:eastAsia="zh-CN"/>
              </w:rPr>
            </w:pPr>
            <w:r>
              <w:rPr>
                <w:rFonts w:hint="eastAsia" w:ascii="Arial" w:hAnsi="Arial" w:eastAsia="宋体" w:cs="Arial"/>
                <w:kern w:val="0"/>
                <w:sz w:val="21"/>
                <w:szCs w:val="21"/>
                <w:lang w:val="en-US" w:eastAsia="zh-CN" w:bidi="ar-SA"/>
              </w:rPr>
              <w:t>4.1.d</w:t>
            </w:r>
          </w:p>
        </w:tc>
      </w:tr>
      <w:tr w14:paraId="289D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56D4BA1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4</w:t>
            </w:r>
          </w:p>
        </w:tc>
        <w:tc>
          <w:tcPr>
            <w:tcW w:w="1632" w:type="dxa"/>
            <w:shd w:val="clear" w:color="auto" w:fill="auto"/>
            <w:vAlign w:val="center"/>
          </w:tcPr>
          <w:p w14:paraId="339A693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废钢丸</w:t>
            </w:r>
          </w:p>
        </w:tc>
        <w:tc>
          <w:tcPr>
            <w:tcW w:w="1173" w:type="dxa"/>
            <w:shd w:val="clear" w:color="auto" w:fill="auto"/>
            <w:vAlign w:val="center"/>
          </w:tcPr>
          <w:p w14:paraId="26EA387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843" w:type="dxa"/>
            <w:shd w:val="clear" w:color="auto" w:fill="auto"/>
            <w:vAlign w:val="center"/>
          </w:tcPr>
          <w:p w14:paraId="2CBF1E2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388" w:type="dxa"/>
            <w:shd w:val="clear" w:color="auto" w:fill="auto"/>
            <w:vAlign w:val="center"/>
          </w:tcPr>
          <w:p w14:paraId="3860F02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209" w:type="dxa"/>
            <w:shd w:val="clear" w:color="auto" w:fill="auto"/>
            <w:vAlign w:val="center"/>
          </w:tcPr>
          <w:p w14:paraId="109AEF3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25A71D2E">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sz w:val="21"/>
                <w:szCs w:val="21"/>
                <w:highlight w:val="yellow"/>
                <w:lang w:val="en-US" w:eastAsia="zh-CN"/>
              </w:rPr>
            </w:pPr>
            <w:r>
              <w:rPr>
                <w:rFonts w:hint="eastAsia" w:ascii="Arial" w:hAnsi="Arial" w:eastAsia="宋体" w:cs="Arial"/>
                <w:kern w:val="0"/>
                <w:sz w:val="21"/>
                <w:szCs w:val="21"/>
                <w:lang w:val="en-US" w:eastAsia="zh-CN" w:bidi="ar-SA"/>
              </w:rPr>
              <w:t>4.1.b</w:t>
            </w:r>
          </w:p>
        </w:tc>
      </w:tr>
      <w:tr w14:paraId="7D20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5EBB81F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5</w:t>
            </w:r>
          </w:p>
        </w:tc>
        <w:tc>
          <w:tcPr>
            <w:tcW w:w="1632" w:type="dxa"/>
            <w:shd w:val="clear" w:color="auto" w:fill="auto"/>
            <w:vAlign w:val="center"/>
          </w:tcPr>
          <w:p w14:paraId="485B28A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废含油金属屑</w:t>
            </w:r>
          </w:p>
        </w:tc>
        <w:tc>
          <w:tcPr>
            <w:tcW w:w="1173" w:type="dxa"/>
            <w:shd w:val="clear" w:color="auto" w:fill="auto"/>
            <w:vAlign w:val="center"/>
          </w:tcPr>
          <w:p w14:paraId="7DEA73E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机加工</w:t>
            </w:r>
          </w:p>
        </w:tc>
        <w:tc>
          <w:tcPr>
            <w:tcW w:w="843" w:type="dxa"/>
            <w:shd w:val="clear" w:color="auto" w:fill="auto"/>
            <w:vAlign w:val="center"/>
          </w:tcPr>
          <w:p w14:paraId="301FA63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固</w:t>
            </w:r>
          </w:p>
        </w:tc>
        <w:tc>
          <w:tcPr>
            <w:tcW w:w="1388" w:type="dxa"/>
            <w:shd w:val="clear" w:color="auto" w:fill="auto"/>
            <w:vAlign w:val="center"/>
          </w:tcPr>
          <w:p w14:paraId="6D167E7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切削液、废金属</w:t>
            </w:r>
          </w:p>
        </w:tc>
        <w:tc>
          <w:tcPr>
            <w:tcW w:w="1209" w:type="dxa"/>
            <w:shd w:val="clear" w:color="auto" w:fill="auto"/>
            <w:vAlign w:val="center"/>
          </w:tcPr>
          <w:p w14:paraId="153AE13A">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1183119A">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2"/>
                <w:sz w:val="21"/>
                <w:szCs w:val="21"/>
                <w:highlight w:val="yellow"/>
                <w:lang w:val="en-US" w:eastAsia="zh-CN" w:bidi="ar-SA"/>
              </w:rPr>
            </w:pPr>
            <w:r>
              <w:rPr>
                <w:rFonts w:hint="eastAsia" w:ascii="Arial" w:hAnsi="Arial" w:eastAsia="宋体" w:cs="Arial"/>
                <w:kern w:val="0"/>
                <w:sz w:val="21"/>
                <w:szCs w:val="21"/>
                <w:lang w:val="en-US" w:eastAsia="zh-CN" w:bidi="ar-SA"/>
              </w:rPr>
              <w:t>4.1.d</w:t>
            </w:r>
          </w:p>
        </w:tc>
      </w:tr>
      <w:tr w14:paraId="0101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488A793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6</w:t>
            </w:r>
          </w:p>
        </w:tc>
        <w:tc>
          <w:tcPr>
            <w:tcW w:w="1632" w:type="dxa"/>
            <w:shd w:val="clear" w:color="auto" w:fill="auto"/>
            <w:vAlign w:val="center"/>
          </w:tcPr>
          <w:p w14:paraId="1B74DBB7">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废切削液</w:t>
            </w:r>
          </w:p>
        </w:tc>
        <w:tc>
          <w:tcPr>
            <w:tcW w:w="1173" w:type="dxa"/>
            <w:shd w:val="clear" w:color="auto" w:fill="auto"/>
            <w:vAlign w:val="center"/>
          </w:tcPr>
          <w:p w14:paraId="13B8D6E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机加工</w:t>
            </w:r>
          </w:p>
        </w:tc>
        <w:tc>
          <w:tcPr>
            <w:tcW w:w="843" w:type="dxa"/>
            <w:shd w:val="clear" w:color="auto" w:fill="auto"/>
            <w:vAlign w:val="center"/>
          </w:tcPr>
          <w:p w14:paraId="79D07E0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1388" w:type="dxa"/>
            <w:shd w:val="clear" w:color="auto" w:fill="auto"/>
            <w:vAlign w:val="center"/>
          </w:tcPr>
          <w:p w14:paraId="3CB0AC3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切削液</w:t>
            </w:r>
          </w:p>
        </w:tc>
        <w:tc>
          <w:tcPr>
            <w:tcW w:w="1209" w:type="dxa"/>
            <w:shd w:val="clear" w:color="auto" w:fill="auto"/>
            <w:vAlign w:val="center"/>
          </w:tcPr>
          <w:p w14:paraId="1BCA213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129B5AA7">
            <w:pPr>
              <w:keepNext w:val="0"/>
              <w:keepLines w:val="0"/>
              <w:widowControl/>
              <w:suppressLineNumbers w:val="0"/>
              <w:adjustRightInd w:val="0"/>
              <w:snapToGrid w:val="0"/>
              <w:spacing w:before="0" w:beforeAutospacing="0" w:after="0" w:afterAutospacing="0"/>
              <w:ind w:left="0" w:leftChars="0" w:right="0" w:rightChars="0"/>
              <w:contextualSpacing/>
              <w:jc w:val="center"/>
              <w:rPr>
                <w:rFonts w:hint="default" w:ascii="Arial" w:hAnsi="Arial" w:eastAsia="宋体" w:cs="Arial"/>
                <w:kern w:val="2"/>
                <w:sz w:val="21"/>
                <w:szCs w:val="21"/>
                <w:highlight w:val="yellow"/>
                <w:lang w:val="en-US" w:eastAsia="zh-CN" w:bidi="ar-SA"/>
              </w:rPr>
            </w:pPr>
            <w:r>
              <w:rPr>
                <w:rFonts w:hint="eastAsia" w:ascii="Arial" w:hAnsi="Arial" w:eastAsia="宋体" w:cs="Arial"/>
                <w:kern w:val="0"/>
                <w:sz w:val="21"/>
                <w:szCs w:val="21"/>
                <w:lang w:val="en-US" w:eastAsia="zh-CN" w:bidi="ar-SA"/>
              </w:rPr>
              <w:t>4.1.b</w:t>
            </w:r>
          </w:p>
        </w:tc>
      </w:tr>
      <w:tr w14:paraId="2AA9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199DEEE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7</w:t>
            </w:r>
          </w:p>
        </w:tc>
        <w:tc>
          <w:tcPr>
            <w:tcW w:w="1632" w:type="dxa"/>
            <w:shd w:val="clear" w:color="auto" w:fill="auto"/>
            <w:vAlign w:val="center"/>
          </w:tcPr>
          <w:p w14:paraId="30AC815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废化学品包装</w:t>
            </w:r>
          </w:p>
        </w:tc>
        <w:tc>
          <w:tcPr>
            <w:tcW w:w="1173" w:type="dxa"/>
            <w:shd w:val="clear" w:color="auto" w:fill="auto"/>
            <w:vAlign w:val="center"/>
          </w:tcPr>
          <w:p w14:paraId="5EA2427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原材料使用</w:t>
            </w:r>
          </w:p>
        </w:tc>
        <w:tc>
          <w:tcPr>
            <w:tcW w:w="843" w:type="dxa"/>
            <w:shd w:val="clear" w:color="auto" w:fill="auto"/>
            <w:vAlign w:val="center"/>
          </w:tcPr>
          <w:p w14:paraId="0AD34ED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固</w:t>
            </w:r>
          </w:p>
        </w:tc>
        <w:tc>
          <w:tcPr>
            <w:tcW w:w="1388" w:type="dxa"/>
            <w:shd w:val="clear" w:color="auto" w:fill="auto"/>
            <w:vAlign w:val="center"/>
          </w:tcPr>
          <w:p w14:paraId="79C6C568">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塑料</w:t>
            </w:r>
            <w:r>
              <w:rPr>
                <w:rFonts w:hint="default" w:ascii="Arial" w:hAnsi="Arial" w:eastAsia="宋体" w:cs="Arial"/>
                <w:sz w:val="21"/>
                <w:szCs w:val="21"/>
                <w:lang w:eastAsia="zh-CN"/>
              </w:rPr>
              <w:t>、</w:t>
            </w:r>
            <w:r>
              <w:rPr>
                <w:rFonts w:hint="default" w:ascii="Arial" w:hAnsi="Arial" w:eastAsia="宋体" w:cs="Arial"/>
                <w:sz w:val="21"/>
                <w:szCs w:val="21"/>
              </w:rPr>
              <w:t>有机物</w:t>
            </w:r>
          </w:p>
        </w:tc>
        <w:tc>
          <w:tcPr>
            <w:tcW w:w="1209" w:type="dxa"/>
            <w:shd w:val="clear" w:color="auto" w:fill="auto"/>
            <w:vAlign w:val="center"/>
          </w:tcPr>
          <w:p w14:paraId="79516696">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是</w:t>
            </w:r>
          </w:p>
        </w:tc>
        <w:tc>
          <w:tcPr>
            <w:tcW w:w="1099" w:type="dxa"/>
            <w:shd w:val="clear" w:color="auto" w:fill="auto"/>
            <w:vAlign w:val="center"/>
          </w:tcPr>
          <w:p w14:paraId="2D12FB01">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highlight w:val="yellow"/>
                <w:lang w:val="en-US" w:eastAsia="zh-CN" w:bidi="ar-SA"/>
              </w:rPr>
            </w:pPr>
            <w:r>
              <w:rPr>
                <w:rFonts w:hint="eastAsia" w:ascii="Arial" w:hAnsi="Arial" w:eastAsia="宋体" w:cs="Arial"/>
                <w:kern w:val="0"/>
                <w:sz w:val="21"/>
                <w:szCs w:val="21"/>
                <w:lang w:val="en-US" w:eastAsia="zh-CN" w:bidi="ar-SA"/>
              </w:rPr>
              <w:t>4.1.b</w:t>
            </w:r>
          </w:p>
        </w:tc>
      </w:tr>
      <w:tr w14:paraId="18A5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36A7E5B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8</w:t>
            </w:r>
          </w:p>
        </w:tc>
        <w:tc>
          <w:tcPr>
            <w:tcW w:w="1632" w:type="dxa"/>
            <w:shd w:val="clear" w:color="auto" w:fill="auto"/>
            <w:vAlign w:val="center"/>
          </w:tcPr>
          <w:p w14:paraId="2096E85E">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清洗废液</w:t>
            </w:r>
          </w:p>
        </w:tc>
        <w:tc>
          <w:tcPr>
            <w:tcW w:w="1173" w:type="dxa"/>
            <w:shd w:val="clear" w:color="auto" w:fill="auto"/>
            <w:vAlign w:val="center"/>
          </w:tcPr>
          <w:p w14:paraId="6E6DF33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清洗</w:t>
            </w:r>
          </w:p>
        </w:tc>
        <w:tc>
          <w:tcPr>
            <w:tcW w:w="843" w:type="dxa"/>
            <w:shd w:val="clear" w:color="auto" w:fill="auto"/>
            <w:vAlign w:val="center"/>
          </w:tcPr>
          <w:p w14:paraId="04CD612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1388" w:type="dxa"/>
            <w:shd w:val="clear" w:color="auto" w:fill="auto"/>
            <w:vAlign w:val="center"/>
          </w:tcPr>
          <w:p w14:paraId="291940E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水、清洗剂</w:t>
            </w:r>
          </w:p>
        </w:tc>
        <w:tc>
          <w:tcPr>
            <w:tcW w:w="1209" w:type="dxa"/>
            <w:shd w:val="clear" w:color="auto" w:fill="auto"/>
            <w:vAlign w:val="center"/>
          </w:tcPr>
          <w:p w14:paraId="72C672C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是</w:t>
            </w:r>
          </w:p>
        </w:tc>
        <w:tc>
          <w:tcPr>
            <w:tcW w:w="1099" w:type="dxa"/>
            <w:shd w:val="clear" w:color="auto" w:fill="auto"/>
            <w:vAlign w:val="center"/>
          </w:tcPr>
          <w:p w14:paraId="6E62A613">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bCs/>
                <w:kern w:val="2"/>
                <w:sz w:val="21"/>
                <w:szCs w:val="21"/>
                <w:highlight w:val="yellow"/>
                <w:lang w:val="en-US" w:eastAsia="zh-CN" w:bidi="ar-SA"/>
              </w:rPr>
            </w:pPr>
            <w:r>
              <w:rPr>
                <w:rFonts w:hint="eastAsia" w:ascii="Arial" w:hAnsi="Arial" w:eastAsia="宋体" w:cs="Arial"/>
                <w:kern w:val="0"/>
                <w:sz w:val="21"/>
                <w:szCs w:val="21"/>
                <w:lang w:val="en-US" w:eastAsia="zh-CN" w:bidi="ar-SA"/>
              </w:rPr>
              <w:t>4.1.c</w:t>
            </w:r>
          </w:p>
        </w:tc>
      </w:tr>
      <w:tr w14:paraId="1E9D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5221823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9</w:t>
            </w:r>
          </w:p>
        </w:tc>
        <w:tc>
          <w:tcPr>
            <w:tcW w:w="1632" w:type="dxa"/>
            <w:shd w:val="clear" w:color="auto" w:fill="auto"/>
            <w:vAlign w:val="center"/>
          </w:tcPr>
          <w:p w14:paraId="49A4B23B">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废探伤液</w:t>
            </w:r>
          </w:p>
        </w:tc>
        <w:tc>
          <w:tcPr>
            <w:tcW w:w="1173" w:type="dxa"/>
            <w:shd w:val="clear" w:color="auto" w:fill="auto"/>
            <w:vAlign w:val="center"/>
          </w:tcPr>
          <w:p w14:paraId="6CD4506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探伤</w:t>
            </w:r>
          </w:p>
        </w:tc>
        <w:tc>
          <w:tcPr>
            <w:tcW w:w="843" w:type="dxa"/>
            <w:shd w:val="clear" w:color="auto" w:fill="auto"/>
            <w:vAlign w:val="center"/>
          </w:tcPr>
          <w:p w14:paraId="00B8E0E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1388" w:type="dxa"/>
            <w:shd w:val="clear" w:color="auto" w:fill="auto"/>
            <w:vAlign w:val="center"/>
          </w:tcPr>
          <w:p w14:paraId="3703286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水、探伤粉</w:t>
            </w:r>
          </w:p>
        </w:tc>
        <w:tc>
          <w:tcPr>
            <w:tcW w:w="1209" w:type="dxa"/>
            <w:shd w:val="clear" w:color="auto" w:fill="auto"/>
            <w:vAlign w:val="center"/>
          </w:tcPr>
          <w:p w14:paraId="04A991F8">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是</w:t>
            </w:r>
          </w:p>
        </w:tc>
        <w:tc>
          <w:tcPr>
            <w:tcW w:w="1099" w:type="dxa"/>
            <w:shd w:val="clear" w:color="auto" w:fill="auto"/>
            <w:vAlign w:val="center"/>
          </w:tcPr>
          <w:p w14:paraId="1F179437">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highlight w:val="yellow"/>
                <w:lang w:val="en-US" w:eastAsia="zh-CN" w:bidi="ar-SA"/>
              </w:rPr>
            </w:pPr>
            <w:r>
              <w:rPr>
                <w:rFonts w:hint="eastAsia" w:ascii="Arial" w:hAnsi="Arial" w:eastAsia="宋体" w:cs="Arial"/>
                <w:kern w:val="0"/>
                <w:sz w:val="21"/>
                <w:szCs w:val="21"/>
                <w:lang w:val="en-US" w:eastAsia="zh-CN" w:bidi="ar-SA"/>
              </w:rPr>
              <w:t>4.1.b</w:t>
            </w:r>
          </w:p>
        </w:tc>
      </w:tr>
      <w:tr w14:paraId="104F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77841EB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10</w:t>
            </w:r>
          </w:p>
        </w:tc>
        <w:tc>
          <w:tcPr>
            <w:tcW w:w="1632" w:type="dxa"/>
            <w:shd w:val="clear" w:color="auto" w:fill="auto"/>
            <w:vAlign w:val="center"/>
          </w:tcPr>
          <w:p w14:paraId="66777476">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光饰机清灰</w:t>
            </w:r>
          </w:p>
        </w:tc>
        <w:tc>
          <w:tcPr>
            <w:tcW w:w="1173" w:type="dxa"/>
            <w:shd w:val="clear" w:color="auto" w:fill="auto"/>
            <w:vAlign w:val="center"/>
          </w:tcPr>
          <w:p w14:paraId="7527D84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光饰</w:t>
            </w:r>
          </w:p>
        </w:tc>
        <w:tc>
          <w:tcPr>
            <w:tcW w:w="843" w:type="dxa"/>
            <w:shd w:val="clear" w:color="auto" w:fill="auto"/>
            <w:vAlign w:val="center"/>
          </w:tcPr>
          <w:p w14:paraId="41E7571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固</w:t>
            </w:r>
          </w:p>
        </w:tc>
        <w:tc>
          <w:tcPr>
            <w:tcW w:w="1388" w:type="dxa"/>
            <w:shd w:val="clear" w:color="auto" w:fill="auto"/>
            <w:vAlign w:val="center"/>
          </w:tcPr>
          <w:p w14:paraId="05357FE9">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金属</w:t>
            </w:r>
          </w:p>
        </w:tc>
        <w:tc>
          <w:tcPr>
            <w:tcW w:w="1209" w:type="dxa"/>
            <w:shd w:val="clear" w:color="auto" w:fill="auto"/>
            <w:vAlign w:val="center"/>
          </w:tcPr>
          <w:p w14:paraId="72E7F8BB">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32FDB621">
            <w:pPr>
              <w:keepNext w:val="0"/>
              <w:keepLines w:val="0"/>
              <w:widowControl/>
              <w:suppressLineNumbers w:val="0"/>
              <w:adjustRightInd w:val="0"/>
              <w:snapToGrid w:val="0"/>
              <w:spacing w:before="0" w:beforeAutospacing="0" w:after="0" w:afterAutospacing="0"/>
              <w:ind w:left="0" w:right="0"/>
              <w:contextualSpacing/>
              <w:jc w:val="center"/>
              <w:rPr>
                <w:rFonts w:hint="default"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4.1.d</w:t>
            </w:r>
          </w:p>
        </w:tc>
      </w:tr>
      <w:tr w14:paraId="0BA5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0FAE7C2E">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11</w:t>
            </w:r>
          </w:p>
        </w:tc>
        <w:tc>
          <w:tcPr>
            <w:tcW w:w="1632" w:type="dxa"/>
            <w:shd w:val="clear" w:color="auto" w:fill="auto"/>
            <w:vAlign w:val="center"/>
          </w:tcPr>
          <w:p w14:paraId="09E34F4D">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sz w:val="21"/>
                <w:szCs w:val="21"/>
                <w:lang w:val="en-US" w:eastAsia="zh-CN"/>
              </w:rPr>
              <w:t>废磨料</w:t>
            </w:r>
          </w:p>
        </w:tc>
        <w:tc>
          <w:tcPr>
            <w:tcW w:w="1173" w:type="dxa"/>
            <w:shd w:val="clear" w:color="auto" w:fill="auto"/>
            <w:vAlign w:val="center"/>
          </w:tcPr>
          <w:p w14:paraId="005D78A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光饰</w:t>
            </w:r>
          </w:p>
        </w:tc>
        <w:tc>
          <w:tcPr>
            <w:tcW w:w="843" w:type="dxa"/>
            <w:shd w:val="clear" w:color="auto" w:fill="auto"/>
            <w:vAlign w:val="center"/>
          </w:tcPr>
          <w:p w14:paraId="4CD94CF2">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固</w:t>
            </w:r>
          </w:p>
        </w:tc>
        <w:tc>
          <w:tcPr>
            <w:tcW w:w="1388" w:type="dxa"/>
            <w:shd w:val="clear" w:color="auto" w:fill="auto"/>
            <w:vAlign w:val="center"/>
          </w:tcPr>
          <w:p w14:paraId="0AD85FB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陶瓷</w:t>
            </w:r>
          </w:p>
        </w:tc>
        <w:tc>
          <w:tcPr>
            <w:tcW w:w="1209" w:type="dxa"/>
            <w:shd w:val="clear" w:color="auto" w:fill="auto"/>
            <w:vAlign w:val="center"/>
          </w:tcPr>
          <w:p w14:paraId="1DDD02DB">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是</w:t>
            </w:r>
          </w:p>
        </w:tc>
        <w:tc>
          <w:tcPr>
            <w:tcW w:w="1099" w:type="dxa"/>
            <w:shd w:val="clear" w:color="auto" w:fill="auto"/>
            <w:vAlign w:val="center"/>
          </w:tcPr>
          <w:p w14:paraId="0CB1BF41">
            <w:pPr>
              <w:keepNext w:val="0"/>
              <w:keepLines w:val="0"/>
              <w:widowControl/>
              <w:suppressLineNumbers w:val="0"/>
              <w:adjustRightInd w:val="0"/>
              <w:snapToGrid w:val="0"/>
              <w:spacing w:before="0" w:beforeAutospacing="0" w:after="0" w:afterAutospacing="0"/>
              <w:ind w:left="0" w:leftChars="0" w:right="0" w:rightChars="0"/>
              <w:contextualSpacing/>
              <w:jc w:val="center"/>
              <w:rPr>
                <w:rFonts w:hint="eastAsia"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4.1.b</w:t>
            </w:r>
          </w:p>
        </w:tc>
      </w:tr>
      <w:tr w14:paraId="3CF2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93" w:type="dxa"/>
            <w:shd w:val="clear" w:color="auto" w:fill="auto"/>
            <w:vAlign w:val="center"/>
          </w:tcPr>
          <w:p w14:paraId="3502AA6A">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12</w:t>
            </w:r>
          </w:p>
        </w:tc>
        <w:tc>
          <w:tcPr>
            <w:tcW w:w="1632" w:type="dxa"/>
            <w:shd w:val="clear" w:color="auto" w:fill="auto"/>
            <w:vAlign w:val="center"/>
          </w:tcPr>
          <w:p w14:paraId="2A58304E">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生活垃圾</w:t>
            </w:r>
          </w:p>
        </w:tc>
        <w:tc>
          <w:tcPr>
            <w:tcW w:w="1173" w:type="dxa"/>
            <w:shd w:val="clear" w:color="auto" w:fill="auto"/>
            <w:vAlign w:val="center"/>
          </w:tcPr>
          <w:p w14:paraId="6493DBFA">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生活</w:t>
            </w:r>
          </w:p>
        </w:tc>
        <w:tc>
          <w:tcPr>
            <w:tcW w:w="843" w:type="dxa"/>
            <w:shd w:val="clear" w:color="auto" w:fill="auto"/>
            <w:vAlign w:val="center"/>
          </w:tcPr>
          <w:p w14:paraId="441A6412">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固</w:t>
            </w:r>
          </w:p>
        </w:tc>
        <w:tc>
          <w:tcPr>
            <w:tcW w:w="1388" w:type="dxa"/>
            <w:shd w:val="clear" w:color="auto" w:fill="auto"/>
            <w:vAlign w:val="center"/>
          </w:tcPr>
          <w:p w14:paraId="58A96F3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塑料、果壳等</w:t>
            </w:r>
          </w:p>
        </w:tc>
        <w:tc>
          <w:tcPr>
            <w:tcW w:w="1209" w:type="dxa"/>
            <w:shd w:val="clear" w:color="auto" w:fill="auto"/>
            <w:vAlign w:val="center"/>
          </w:tcPr>
          <w:p w14:paraId="1FF6675C">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是</w:t>
            </w:r>
          </w:p>
        </w:tc>
        <w:tc>
          <w:tcPr>
            <w:tcW w:w="1099" w:type="dxa"/>
            <w:shd w:val="clear" w:color="auto" w:fill="auto"/>
            <w:vAlign w:val="center"/>
          </w:tcPr>
          <w:p w14:paraId="5FE3C870">
            <w:pPr>
              <w:keepNext w:val="0"/>
              <w:keepLines w:val="0"/>
              <w:widowControl/>
              <w:suppressLineNumbers w:val="0"/>
              <w:adjustRightInd w:val="0"/>
              <w:snapToGrid w:val="0"/>
              <w:spacing w:before="0" w:beforeAutospacing="0" w:after="0" w:afterAutospacing="0"/>
              <w:ind w:left="0" w:leftChars="0" w:right="0" w:rightChars="0"/>
              <w:contextualSpacing/>
              <w:jc w:val="center"/>
              <w:rPr>
                <w:rFonts w:hint="eastAsia"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4.1.a</w:t>
            </w:r>
          </w:p>
        </w:tc>
      </w:tr>
    </w:tbl>
    <w:p w14:paraId="6E966943">
      <w:pPr>
        <w:pStyle w:val="76"/>
        <w:keepNext/>
        <w:keepLines w:val="0"/>
        <w:pageBreakBefore w:val="0"/>
        <w:widowControl w:val="0"/>
        <w:numPr>
          <w:ilvl w:val="0"/>
          <w:numId w:val="1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项目危险废物属性判定</w:t>
      </w:r>
    </w:p>
    <w:p w14:paraId="064786F2">
      <w:pPr>
        <w:pStyle w:val="76"/>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根据《国家危险废物名录（202</w:t>
      </w:r>
      <w:r>
        <w:rPr>
          <w:rFonts w:hint="default" w:ascii="Arial" w:hAnsi="Arial" w:eastAsia="宋体" w:cs="Arial"/>
          <w:bCs/>
          <w:sz w:val="24"/>
          <w:szCs w:val="24"/>
          <w:lang w:val="en-US" w:eastAsia="zh-CN"/>
        </w:rPr>
        <w:t>5</w:t>
      </w:r>
      <w:r>
        <w:rPr>
          <w:rFonts w:hint="default" w:ascii="Arial" w:hAnsi="Arial" w:eastAsia="宋体" w:cs="Arial"/>
          <w:bCs/>
          <w:sz w:val="24"/>
          <w:szCs w:val="24"/>
        </w:rPr>
        <w:t>年版）》以及《危险废物鉴别标准通则》，判定建设项目的固体废物是否属于危险废物，判定结果见表4-</w:t>
      </w:r>
      <w:r>
        <w:rPr>
          <w:rFonts w:hint="eastAsia" w:ascii="Arial" w:hAnsi="Arial" w:eastAsia="宋体" w:cs="Arial"/>
          <w:bCs/>
          <w:sz w:val="24"/>
          <w:szCs w:val="24"/>
          <w:lang w:val="en-US" w:eastAsia="zh-CN"/>
        </w:rPr>
        <w:t>20</w:t>
      </w:r>
      <w:r>
        <w:rPr>
          <w:rFonts w:hint="default" w:ascii="Arial" w:hAnsi="Arial" w:eastAsia="宋体" w:cs="Arial"/>
          <w:bCs/>
          <w:sz w:val="24"/>
          <w:szCs w:val="24"/>
        </w:rPr>
        <w:t>。</w:t>
      </w:r>
    </w:p>
    <w:p w14:paraId="4132A2AE">
      <w:pPr>
        <w:pStyle w:val="76"/>
        <w:keepNext/>
        <w:keepLines w:val="0"/>
        <w:pageBreakBefore w:val="0"/>
        <w:widowControl w:val="0"/>
        <w:numPr>
          <w:ilvl w:val="3"/>
          <w:numId w:val="5"/>
        </w:numPr>
        <w:kinsoku/>
        <w:wordWrap/>
        <w:overflowPunct/>
        <w:topLinePunct w:val="0"/>
        <w:autoSpaceDE/>
        <w:autoSpaceDN/>
        <w:bidi w:val="0"/>
        <w:adjustRightInd/>
        <w:snapToGrid/>
        <w:ind w:left="777" w:leftChars="0" w:firstLineChars="0"/>
        <w:jc w:val="center"/>
        <w:textAlignment w:val="auto"/>
        <w:outlineLvl w:val="3"/>
        <w:rPr>
          <w:rFonts w:hint="default" w:ascii="Arial" w:hAnsi="Arial" w:eastAsia="宋体" w:cs="Arial"/>
          <w:b/>
          <w:bCs/>
          <w:sz w:val="24"/>
          <w:szCs w:val="24"/>
        </w:rPr>
      </w:pPr>
      <w:r>
        <w:rPr>
          <w:rFonts w:hint="default" w:ascii="Arial" w:hAnsi="Arial" w:eastAsia="宋体" w:cs="Arial"/>
          <w:b/>
          <w:bCs/>
          <w:sz w:val="24"/>
          <w:szCs w:val="24"/>
        </w:rPr>
        <w:t xml:space="preserve">  项目危险废物属性判定表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786"/>
        <w:gridCol w:w="1822"/>
        <w:gridCol w:w="1131"/>
        <w:gridCol w:w="1131"/>
        <w:gridCol w:w="1383"/>
      </w:tblGrid>
      <w:tr w14:paraId="03E5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vAlign w:val="center"/>
          </w:tcPr>
          <w:p w14:paraId="78243854">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序号</w:t>
            </w:r>
          </w:p>
        </w:tc>
        <w:tc>
          <w:tcPr>
            <w:tcW w:w="1786" w:type="dxa"/>
            <w:vAlign w:val="center"/>
          </w:tcPr>
          <w:p w14:paraId="26363EF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固体废物名称</w:t>
            </w:r>
          </w:p>
        </w:tc>
        <w:tc>
          <w:tcPr>
            <w:tcW w:w="1822" w:type="dxa"/>
            <w:vAlign w:val="center"/>
          </w:tcPr>
          <w:p w14:paraId="66C8192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产生工序</w:t>
            </w:r>
          </w:p>
        </w:tc>
        <w:tc>
          <w:tcPr>
            <w:tcW w:w="1131" w:type="dxa"/>
            <w:vAlign w:val="center"/>
          </w:tcPr>
          <w:p w14:paraId="5C5F91B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是否属于</w:t>
            </w:r>
          </w:p>
          <w:p w14:paraId="5BE3293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危险废物</w:t>
            </w:r>
          </w:p>
        </w:tc>
        <w:tc>
          <w:tcPr>
            <w:tcW w:w="1131" w:type="dxa"/>
            <w:vAlign w:val="center"/>
          </w:tcPr>
          <w:p w14:paraId="631AE8B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废物类别</w:t>
            </w:r>
          </w:p>
        </w:tc>
        <w:tc>
          <w:tcPr>
            <w:tcW w:w="1383" w:type="dxa"/>
            <w:vAlign w:val="center"/>
          </w:tcPr>
          <w:p w14:paraId="2DE5752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rPr>
              <w:t>废物代码</w:t>
            </w:r>
          </w:p>
        </w:tc>
      </w:tr>
      <w:tr w14:paraId="0FFA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vAlign w:val="center"/>
          </w:tcPr>
          <w:p w14:paraId="422EBA3F">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1</w:t>
            </w:r>
          </w:p>
        </w:tc>
        <w:tc>
          <w:tcPr>
            <w:tcW w:w="1786" w:type="dxa"/>
            <w:shd w:val="clear" w:color="auto" w:fill="auto"/>
            <w:vAlign w:val="center"/>
          </w:tcPr>
          <w:p w14:paraId="37FC372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废一般包装材料</w:t>
            </w:r>
          </w:p>
        </w:tc>
        <w:tc>
          <w:tcPr>
            <w:tcW w:w="1822" w:type="dxa"/>
            <w:shd w:val="clear" w:color="auto" w:fill="auto"/>
            <w:vAlign w:val="center"/>
          </w:tcPr>
          <w:p w14:paraId="3C0EB63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原料使用</w:t>
            </w:r>
          </w:p>
        </w:tc>
        <w:tc>
          <w:tcPr>
            <w:tcW w:w="1131" w:type="dxa"/>
            <w:shd w:val="clear" w:color="auto" w:fill="auto"/>
            <w:vAlign w:val="center"/>
          </w:tcPr>
          <w:p w14:paraId="0BA994A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否</w:t>
            </w:r>
          </w:p>
        </w:tc>
        <w:tc>
          <w:tcPr>
            <w:tcW w:w="1131" w:type="dxa"/>
            <w:shd w:val="clear" w:color="auto" w:fill="auto"/>
            <w:vAlign w:val="center"/>
          </w:tcPr>
          <w:p w14:paraId="40399B1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SW17</w:t>
            </w:r>
          </w:p>
        </w:tc>
        <w:tc>
          <w:tcPr>
            <w:tcW w:w="1383" w:type="dxa"/>
            <w:shd w:val="clear" w:color="auto" w:fill="auto"/>
            <w:vAlign w:val="center"/>
          </w:tcPr>
          <w:p w14:paraId="1D0338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kern w:val="2"/>
                <w:sz w:val="21"/>
                <w:szCs w:val="21"/>
                <w:lang w:val="en-US" w:eastAsia="zh-CN" w:bidi="ar-SA"/>
              </w:rPr>
            </w:pPr>
            <w:r>
              <w:rPr>
                <w:rFonts w:hint="default" w:ascii="Arial" w:hAnsi="Arial" w:eastAsia="宋体" w:cs="Arial"/>
                <w:sz w:val="21"/>
                <w:szCs w:val="21"/>
              </w:rPr>
              <w:t>900-00</w:t>
            </w:r>
            <w:r>
              <w:rPr>
                <w:rFonts w:hint="default" w:ascii="Arial" w:hAnsi="Arial" w:eastAsia="宋体" w:cs="Arial"/>
                <w:sz w:val="21"/>
                <w:szCs w:val="21"/>
                <w:lang w:val="en-US" w:eastAsia="zh-CN"/>
              </w:rPr>
              <w:t>3</w:t>
            </w:r>
            <w:r>
              <w:rPr>
                <w:rFonts w:hint="default" w:ascii="Arial" w:hAnsi="Arial" w:eastAsia="宋体" w:cs="Arial"/>
                <w:sz w:val="21"/>
                <w:szCs w:val="21"/>
              </w:rPr>
              <w:t>-S17</w:t>
            </w:r>
          </w:p>
        </w:tc>
      </w:tr>
      <w:tr w14:paraId="0F24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vAlign w:val="center"/>
          </w:tcPr>
          <w:p w14:paraId="2E6D0591">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default" w:ascii="Arial" w:hAnsi="Arial" w:eastAsia="宋体" w:cs="Arial"/>
                <w:sz w:val="21"/>
                <w:szCs w:val="21"/>
                <w:lang w:val="en-US" w:eastAsia="zh-CN"/>
              </w:rPr>
              <w:t>2</w:t>
            </w:r>
          </w:p>
        </w:tc>
        <w:tc>
          <w:tcPr>
            <w:tcW w:w="1786" w:type="dxa"/>
            <w:shd w:val="clear" w:color="auto" w:fill="auto"/>
            <w:vAlign w:val="center"/>
          </w:tcPr>
          <w:p w14:paraId="68C5E94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822" w:type="dxa"/>
            <w:shd w:val="clear" w:color="auto" w:fill="auto"/>
            <w:vAlign w:val="center"/>
          </w:tcPr>
          <w:p w14:paraId="2A02873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机加工</w:t>
            </w:r>
          </w:p>
        </w:tc>
        <w:tc>
          <w:tcPr>
            <w:tcW w:w="1131" w:type="dxa"/>
            <w:shd w:val="clear" w:color="auto" w:fill="auto"/>
            <w:vAlign w:val="center"/>
          </w:tcPr>
          <w:p w14:paraId="4032E1E3">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否</w:t>
            </w:r>
          </w:p>
        </w:tc>
        <w:tc>
          <w:tcPr>
            <w:tcW w:w="1131" w:type="dxa"/>
            <w:shd w:val="clear" w:color="auto" w:fill="auto"/>
            <w:vAlign w:val="center"/>
          </w:tcPr>
          <w:p w14:paraId="6014D6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kern w:val="0"/>
                <w:sz w:val="21"/>
                <w:szCs w:val="21"/>
                <w:lang w:val="en-US" w:eastAsia="zh-CN" w:bidi="ar-SA"/>
              </w:rPr>
            </w:pPr>
            <w:r>
              <w:rPr>
                <w:rFonts w:hint="default" w:ascii="Arial" w:hAnsi="Arial" w:eastAsia="宋体" w:cs="Arial"/>
                <w:sz w:val="21"/>
                <w:szCs w:val="21"/>
                <w:lang w:val="en-US" w:eastAsia="zh-CN"/>
              </w:rPr>
              <w:t>SW17</w:t>
            </w:r>
          </w:p>
        </w:tc>
        <w:tc>
          <w:tcPr>
            <w:tcW w:w="1383" w:type="dxa"/>
            <w:shd w:val="clear" w:color="auto" w:fill="auto"/>
            <w:vAlign w:val="center"/>
          </w:tcPr>
          <w:p w14:paraId="635782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kern w:val="0"/>
                <w:sz w:val="21"/>
                <w:szCs w:val="21"/>
                <w:lang w:val="en-US" w:eastAsia="zh-CN" w:bidi="ar-SA"/>
              </w:rPr>
            </w:pPr>
            <w:r>
              <w:rPr>
                <w:rFonts w:hint="default" w:ascii="Arial" w:hAnsi="Arial" w:eastAsia="宋体" w:cs="Arial"/>
                <w:sz w:val="21"/>
                <w:szCs w:val="21"/>
              </w:rPr>
              <w:t>900-00</w:t>
            </w:r>
            <w:r>
              <w:rPr>
                <w:rFonts w:hint="default" w:ascii="Arial" w:hAnsi="Arial" w:eastAsia="宋体" w:cs="Arial"/>
                <w:sz w:val="21"/>
                <w:szCs w:val="21"/>
                <w:lang w:val="en-US" w:eastAsia="zh-CN"/>
              </w:rPr>
              <w:t>2</w:t>
            </w:r>
            <w:r>
              <w:rPr>
                <w:rFonts w:hint="default" w:ascii="Arial" w:hAnsi="Arial" w:eastAsia="宋体" w:cs="Arial"/>
                <w:sz w:val="21"/>
                <w:szCs w:val="21"/>
              </w:rPr>
              <w:t>-S17</w:t>
            </w:r>
          </w:p>
        </w:tc>
      </w:tr>
      <w:tr w14:paraId="6D7E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3DBAF3B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3</w:t>
            </w:r>
          </w:p>
        </w:tc>
        <w:tc>
          <w:tcPr>
            <w:tcW w:w="1786" w:type="dxa"/>
            <w:shd w:val="clear" w:color="auto" w:fill="auto"/>
            <w:vAlign w:val="center"/>
          </w:tcPr>
          <w:p w14:paraId="052FACF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布袋收尘</w:t>
            </w:r>
          </w:p>
        </w:tc>
        <w:tc>
          <w:tcPr>
            <w:tcW w:w="1822" w:type="dxa"/>
            <w:shd w:val="clear" w:color="auto" w:fill="auto"/>
            <w:vAlign w:val="center"/>
          </w:tcPr>
          <w:p w14:paraId="4083452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1131" w:type="dxa"/>
            <w:shd w:val="clear" w:color="auto" w:fill="auto"/>
            <w:vAlign w:val="center"/>
          </w:tcPr>
          <w:p w14:paraId="06F0BD3C">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否</w:t>
            </w:r>
          </w:p>
        </w:tc>
        <w:tc>
          <w:tcPr>
            <w:tcW w:w="1131" w:type="dxa"/>
            <w:shd w:val="clear" w:color="auto" w:fill="auto"/>
            <w:vAlign w:val="center"/>
          </w:tcPr>
          <w:p w14:paraId="0E8922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SW17</w:t>
            </w:r>
          </w:p>
        </w:tc>
        <w:tc>
          <w:tcPr>
            <w:tcW w:w="1383" w:type="dxa"/>
            <w:shd w:val="clear" w:color="auto" w:fill="auto"/>
            <w:vAlign w:val="center"/>
          </w:tcPr>
          <w:p w14:paraId="6A1C059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sz w:val="21"/>
                <w:szCs w:val="21"/>
              </w:rPr>
            </w:pPr>
            <w:r>
              <w:rPr>
                <w:rFonts w:hint="default" w:ascii="Arial" w:hAnsi="Arial" w:eastAsia="宋体" w:cs="Arial"/>
                <w:sz w:val="21"/>
                <w:szCs w:val="21"/>
              </w:rPr>
              <w:t>900-0</w:t>
            </w:r>
            <w:r>
              <w:rPr>
                <w:rFonts w:hint="default" w:ascii="Arial" w:hAnsi="Arial" w:eastAsia="宋体" w:cs="Arial"/>
                <w:sz w:val="21"/>
                <w:szCs w:val="21"/>
                <w:lang w:val="en-US" w:eastAsia="zh-CN"/>
              </w:rPr>
              <w:t>99</w:t>
            </w:r>
            <w:r>
              <w:rPr>
                <w:rFonts w:hint="default" w:ascii="Arial" w:hAnsi="Arial" w:eastAsia="宋体" w:cs="Arial"/>
                <w:sz w:val="21"/>
                <w:szCs w:val="21"/>
              </w:rPr>
              <w:t>-S17</w:t>
            </w:r>
          </w:p>
        </w:tc>
      </w:tr>
      <w:tr w14:paraId="18EF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36523BE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4</w:t>
            </w:r>
          </w:p>
        </w:tc>
        <w:tc>
          <w:tcPr>
            <w:tcW w:w="1786" w:type="dxa"/>
            <w:shd w:val="clear" w:color="auto" w:fill="auto"/>
            <w:vAlign w:val="center"/>
          </w:tcPr>
          <w:p w14:paraId="2511E70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废钢丸</w:t>
            </w:r>
          </w:p>
        </w:tc>
        <w:tc>
          <w:tcPr>
            <w:tcW w:w="1822" w:type="dxa"/>
            <w:shd w:val="clear" w:color="auto" w:fill="auto"/>
            <w:vAlign w:val="center"/>
          </w:tcPr>
          <w:p w14:paraId="5F18963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1131" w:type="dxa"/>
            <w:vAlign w:val="center"/>
          </w:tcPr>
          <w:p w14:paraId="19EEB849">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kern w:val="0"/>
                <w:sz w:val="21"/>
                <w:szCs w:val="21"/>
                <w:lang w:val="en-US" w:eastAsia="zh-CN"/>
              </w:rPr>
              <w:t>否</w:t>
            </w:r>
          </w:p>
        </w:tc>
        <w:tc>
          <w:tcPr>
            <w:tcW w:w="1131" w:type="dxa"/>
            <w:vAlign w:val="center"/>
          </w:tcPr>
          <w:p w14:paraId="59CDC5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bCs/>
                <w:sz w:val="21"/>
                <w:szCs w:val="21"/>
                <w:lang w:val="en-US" w:eastAsia="zh-CN"/>
              </w:rPr>
            </w:pPr>
            <w:r>
              <w:rPr>
                <w:rFonts w:hint="default" w:ascii="Arial" w:hAnsi="Arial" w:eastAsia="宋体" w:cs="Arial"/>
                <w:sz w:val="21"/>
                <w:szCs w:val="21"/>
                <w:lang w:val="en-US" w:eastAsia="zh-CN"/>
              </w:rPr>
              <w:t>SW17</w:t>
            </w:r>
          </w:p>
        </w:tc>
        <w:tc>
          <w:tcPr>
            <w:tcW w:w="1383" w:type="dxa"/>
            <w:vAlign w:val="center"/>
          </w:tcPr>
          <w:p w14:paraId="4B2272A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Arial" w:hAnsi="Arial" w:eastAsia="宋体" w:cs="Arial"/>
                <w:bCs/>
                <w:sz w:val="21"/>
                <w:szCs w:val="21"/>
                <w:lang w:val="en-US" w:eastAsia="zh-CN"/>
              </w:rPr>
            </w:pPr>
            <w:r>
              <w:rPr>
                <w:rFonts w:hint="default" w:ascii="Arial" w:hAnsi="Arial" w:eastAsia="宋体" w:cs="Arial"/>
                <w:sz w:val="21"/>
                <w:szCs w:val="21"/>
              </w:rPr>
              <w:t>900-0</w:t>
            </w:r>
            <w:r>
              <w:rPr>
                <w:rFonts w:hint="default" w:ascii="Arial" w:hAnsi="Arial" w:eastAsia="宋体" w:cs="Arial"/>
                <w:sz w:val="21"/>
                <w:szCs w:val="21"/>
                <w:lang w:val="en-US" w:eastAsia="zh-CN"/>
              </w:rPr>
              <w:t>99</w:t>
            </w:r>
            <w:r>
              <w:rPr>
                <w:rFonts w:hint="default" w:ascii="Arial" w:hAnsi="Arial" w:eastAsia="宋体" w:cs="Arial"/>
                <w:sz w:val="21"/>
                <w:szCs w:val="21"/>
              </w:rPr>
              <w:t>-S17</w:t>
            </w:r>
          </w:p>
        </w:tc>
      </w:tr>
      <w:tr w14:paraId="2580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5F31683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5</w:t>
            </w:r>
          </w:p>
        </w:tc>
        <w:tc>
          <w:tcPr>
            <w:tcW w:w="1786" w:type="dxa"/>
            <w:shd w:val="clear" w:color="auto" w:fill="auto"/>
            <w:vAlign w:val="center"/>
          </w:tcPr>
          <w:p w14:paraId="2F7BF20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探伤废液</w:t>
            </w:r>
          </w:p>
        </w:tc>
        <w:tc>
          <w:tcPr>
            <w:tcW w:w="1822" w:type="dxa"/>
            <w:shd w:val="clear" w:color="auto" w:fill="auto"/>
            <w:vAlign w:val="center"/>
          </w:tcPr>
          <w:p w14:paraId="74A8D9E0">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探伤</w:t>
            </w:r>
          </w:p>
        </w:tc>
        <w:tc>
          <w:tcPr>
            <w:tcW w:w="1131" w:type="dxa"/>
            <w:shd w:val="clear" w:color="auto" w:fill="auto"/>
            <w:vAlign w:val="center"/>
          </w:tcPr>
          <w:p w14:paraId="006FA68A">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否</w:t>
            </w:r>
          </w:p>
        </w:tc>
        <w:tc>
          <w:tcPr>
            <w:tcW w:w="1131" w:type="dxa"/>
            <w:shd w:val="clear" w:color="auto" w:fill="auto"/>
            <w:vAlign w:val="center"/>
          </w:tcPr>
          <w:p w14:paraId="06B174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SW59</w:t>
            </w:r>
          </w:p>
        </w:tc>
        <w:tc>
          <w:tcPr>
            <w:tcW w:w="1383" w:type="dxa"/>
            <w:shd w:val="clear" w:color="auto" w:fill="auto"/>
            <w:vAlign w:val="center"/>
          </w:tcPr>
          <w:p w14:paraId="7904C4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900-099-S59</w:t>
            </w:r>
          </w:p>
        </w:tc>
      </w:tr>
      <w:tr w14:paraId="28BF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1EFE917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6</w:t>
            </w:r>
          </w:p>
        </w:tc>
        <w:tc>
          <w:tcPr>
            <w:tcW w:w="1786" w:type="dxa"/>
            <w:shd w:val="clear" w:color="auto" w:fill="auto"/>
            <w:vAlign w:val="center"/>
          </w:tcPr>
          <w:p w14:paraId="5787068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废含油金属屑</w:t>
            </w:r>
          </w:p>
        </w:tc>
        <w:tc>
          <w:tcPr>
            <w:tcW w:w="1822" w:type="dxa"/>
            <w:shd w:val="clear" w:color="auto" w:fill="auto"/>
            <w:vAlign w:val="center"/>
          </w:tcPr>
          <w:p w14:paraId="151022C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机加工</w:t>
            </w:r>
          </w:p>
        </w:tc>
        <w:tc>
          <w:tcPr>
            <w:tcW w:w="1131" w:type="dxa"/>
            <w:shd w:val="clear" w:color="auto" w:fill="auto"/>
            <w:vAlign w:val="center"/>
          </w:tcPr>
          <w:p w14:paraId="5A4B8B89">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rPr>
              <w:t>是</w:t>
            </w:r>
          </w:p>
        </w:tc>
        <w:tc>
          <w:tcPr>
            <w:tcW w:w="1131" w:type="dxa"/>
            <w:shd w:val="clear" w:color="auto" w:fill="auto"/>
            <w:vAlign w:val="center"/>
          </w:tcPr>
          <w:p w14:paraId="2E4BEA5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Arial" w:hAnsi="Arial" w:eastAsia="宋体" w:cs="Arial"/>
                <w:bCs/>
                <w:kern w:val="2"/>
                <w:sz w:val="21"/>
                <w:szCs w:val="21"/>
                <w:lang w:val="en-US" w:eastAsia="zh-CN" w:bidi="ar-SA"/>
              </w:rPr>
            </w:pPr>
            <w:r>
              <w:rPr>
                <w:rFonts w:hint="default" w:ascii="Arial" w:hAnsi="Arial" w:eastAsia="宋体" w:cs="Arial"/>
                <w:sz w:val="21"/>
                <w:szCs w:val="21"/>
              </w:rPr>
              <w:t>HW09</w:t>
            </w:r>
          </w:p>
        </w:tc>
        <w:tc>
          <w:tcPr>
            <w:tcW w:w="1383" w:type="dxa"/>
            <w:shd w:val="clear" w:color="auto" w:fill="auto"/>
            <w:vAlign w:val="center"/>
          </w:tcPr>
          <w:p w14:paraId="170D45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Arial" w:hAnsi="Arial" w:eastAsia="宋体" w:cs="Arial"/>
                <w:bCs/>
                <w:kern w:val="2"/>
                <w:sz w:val="21"/>
                <w:szCs w:val="21"/>
                <w:lang w:val="en-US" w:eastAsia="zh-CN" w:bidi="ar-SA"/>
              </w:rPr>
            </w:pPr>
            <w:r>
              <w:rPr>
                <w:rFonts w:hint="default" w:ascii="Arial" w:hAnsi="Arial" w:eastAsia="宋体" w:cs="Arial"/>
                <w:sz w:val="21"/>
                <w:szCs w:val="21"/>
              </w:rPr>
              <w:t>900-006-09</w:t>
            </w:r>
          </w:p>
        </w:tc>
      </w:tr>
      <w:tr w14:paraId="2EFB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47CD143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7</w:t>
            </w:r>
          </w:p>
        </w:tc>
        <w:tc>
          <w:tcPr>
            <w:tcW w:w="1786" w:type="dxa"/>
            <w:shd w:val="clear" w:color="auto" w:fill="auto"/>
            <w:vAlign w:val="center"/>
          </w:tcPr>
          <w:p w14:paraId="2CBD039E">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废切削液</w:t>
            </w:r>
          </w:p>
        </w:tc>
        <w:tc>
          <w:tcPr>
            <w:tcW w:w="1822" w:type="dxa"/>
            <w:shd w:val="clear" w:color="auto" w:fill="auto"/>
            <w:vAlign w:val="center"/>
          </w:tcPr>
          <w:p w14:paraId="6BF3139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机加工</w:t>
            </w:r>
          </w:p>
        </w:tc>
        <w:tc>
          <w:tcPr>
            <w:tcW w:w="1131" w:type="dxa"/>
            <w:shd w:val="clear" w:color="auto" w:fill="auto"/>
            <w:vAlign w:val="center"/>
          </w:tcPr>
          <w:p w14:paraId="3DFA3D2C">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rPr>
              <w:t>是</w:t>
            </w:r>
          </w:p>
        </w:tc>
        <w:tc>
          <w:tcPr>
            <w:tcW w:w="1131" w:type="dxa"/>
            <w:shd w:val="clear" w:color="auto" w:fill="auto"/>
            <w:vAlign w:val="center"/>
          </w:tcPr>
          <w:p w14:paraId="24F14FDD">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rPr>
              <w:t>HW09</w:t>
            </w:r>
          </w:p>
        </w:tc>
        <w:tc>
          <w:tcPr>
            <w:tcW w:w="1383" w:type="dxa"/>
            <w:shd w:val="clear" w:color="auto" w:fill="auto"/>
            <w:vAlign w:val="center"/>
          </w:tcPr>
          <w:p w14:paraId="028D974D">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rPr>
              <w:t>900-006-09</w:t>
            </w:r>
          </w:p>
        </w:tc>
      </w:tr>
      <w:tr w14:paraId="78DC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448D7AA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8</w:t>
            </w:r>
          </w:p>
        </w:tc>
        <w:tc>
          <w:tcPr>
            <w:tcW w:w="1786" w:type="dxa"/>
            <w:shd w:val="clear" w:color="auto" w:fill="auto"/>
            <w:vAlign w:val="center"/>
          </w:tcPr>
          <w:p w14:paraId="6B7E9A08">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废化学品包装</w:t>
            </w:r>
          </w:p>
        </w:tc>
        <w:tc>
          <w:tcPr>
            <w:tcW w:w="1822" w:type="dxa"/>
            <w:shd w:val="clear" w:color="auto" w:fill="auto"/>
            <w:vAlign w:val="center"/>
          </w:tcPr>
          <w:p w14:paraId="383BC94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原材料使用</w:t>
            </w:r>
          </w:p>
        </w:tc>
        <w:tc>
          <w:tcPr>
            <w:tcW w:w="1131" w:type="dxa"/>
            <w:shd w:val="clear" w:color="auto" w:fill="auto"/>
            <w:vAlign w:val="center"/>
          </w:tcPr>
          <w:p w14:paraId="2FFF0653">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rPr>
              <w:t>是</w:t>
            </w:r>
          </w:p>
        </w:tc>
        <w:tc>
          <w:tcPr>
            <w:tcW w:w="1131" w:type="dxa"/>
            <w:shd w:val="clear" w:color="auto" w:fill="auto"/>
            <w:vAlign w:val="center"/>
          </w:tcPr>
          <w:p w14:paraId="5C1E7E01">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bCs/>
                <w:sz w:val="21"/>
                <w:szCs w:val="21"/>
              </w:rPr>
              <w:t>HW49</w:t>
            </w:r>
          </w:p>
        </w:tc>
        <w:tc>
          <w:tcPr>
            <w:tcW w:w="1383" w:type="dxa"/>
            <w:shd w:val="clear" w:color="auto" w:fill="auto"/>
            <w:vAlign w:val="center"/>
          </w:tcPr>
          <w:p w14:paraId="2BF4193D">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bCs/>
                <w:sz w:val="21"/>
                <w:szCs w:val="21"/>
              </w:rPr>
              <w:t>900-041-49</w:t>
            </w:r>
          </w:p>
        </w:tc>
      </w:tr>
      <w:tr w14:paraId="48D8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260C230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9</w:t>
            </w:r>
          </w:p>
        </w:tc>
        <w:tc>
          <w:tcPr>
            <w:tcW w:w="1786" w:type="dxa"/>
            <w:shd w:val="clear" w:color="auto" w:fill="auto"/>
            <w:vAlign w:val="center"/>
          </w:tcPr>
          <w:p w14:paraId="024D7012">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清洗废液</w:t>
            </w:r>
          </w:p>
        </w:tc>
        <w:tc>
          <w:tcPr>
            <w:tcW w:w="1822" w:type="dxa"/>
            <w:shd w:val="clear" w:color="auto" w:fill="auto"/>
            <w:vAlign w:val="center"/>
          </w:tcPr>
          <w:p w14:paraId="0FAA2965">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清洗</w:t>
            </w:r>
          </w:p>
        </w:tc>
        <w:tc>
          <w:tcPr>
            <w:tcW w:w="1131" w:type="dxa"/>
            <w:shd w:val="clear" w:color="auto" w:fill="auto"/>
            <w:vAlign w:val="center"/>
          </w:tcPr>
          <w:p w14:paraId="1BE684B7">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是</w:t>
            </w:r>
          </w:p>
        </w:tc>
        <w:tc>
          <w:tcPr>
            <w:tcW w:w="1131" w:type="dxa"/>
            <w:shd w:val="clear" w:color="auto" w:fill="auto"/>
            <w:vAlign w:val="center"/>
          </w:tcPr>
          <w:p w14:paraId="78E77FD0">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HW17</w:t>
            </w:r>
          </w:p>
        </w:tc>
        <w:tc>
          <w:tcPr>
            <w:tcW w:w="1383" w:type="dxa"/>
            <w:shd w:val="clear" w:color="auto" w:fill="auto"/>
            <w:vAlign w:val="center"/>
          </w:tcPr>
          <w:p w14:paraId="339FBF70">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336-064-17</w:t>
            </w:r>
          </w:p>
        </w:tc>
      </w:tr>
      <w:tr w14:paraId="7167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5E6628B8">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default" w:ascii="Arial" w:hAnsi="Arial" w:eastAsia="宋体" w:cs="Arial"/>
                <w:sz w:val="21"/>
                <w:szCs w:val="21"/>
                <w:lang w:val="en-US" w:eastAsia="zh-CN"/>
              </w:rPr>
              <w:t>10</w:t>
            </w:r>
          </w:p>
        </w:tc>
        <w:tc>
          <w:tcPr>
            <w:tcW w:w="1786" w:type="dxa"/>
            <w:shd w:val="clear" w:color="auto" w:fill="auto"/>
            <w:vAlign w:val="center"/>
          </w:tcPr>
          <w:p w14:paraId="730C36DE">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光饰机清灰</w:t>
            </w:r>
          </w:p>
        </w:tc>
        <w:tc>
          <w:tcPr>
            <w:tcW w:w="1822" w:type="dxa"/>
            <w:shd w:val="clear" w:color="auto" w:fill="auto"/>
            <w:vAlign w:val="center"/>
          </w:tcPr>
          <w:p w14:paraId="3D767B53">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光饰</w:t>
            </w:r>
          </w:p>
        </w:tc>
        <w:tc>
          <w:tcPr>
            <w:tcW w:w="1131" w:type="dxa"/>
            <w:shd w:val="clear" w:color="auto" w:fill="auto"/>
            <w:vAlign w:val="center"/>
          </w:tcPr>
          <w:p w14:paraId="170C851D">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否</w:t>
            </w:r>
          </w:p>
        </w:tc>
        <w:tc>
          <w:tcPr>
            <w:tcW w:w="1131" w:type="dxa"/>
            <w:shd w:val="clear" w:color="auto" w:fill="auto"/>
            <w:vAlign w:val="center"/>
          </w:tcPr>
          <w:p w14:paraId="3E7B54A6">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sz w:val="21"/>
                <w:szCs w:val="21"/>
              </w:rPr>
              <w:t>S17</w:t>
            </w:r>
          </w:p>
        </w:tc>
        <w:tc>
          <w:tcPr>
            <w:tcW w:w="1383" w:type="dxa"/>
            <w:shd w:val="clear" w:color="auto" w:fill="auto"/>
            <w:vAlign w:val="center"/>
          </w:tcPr>
          <w:p w14:paraId="434A1E1E">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sz w:val="21"/>
                <w:szCs w:val="21"/>
              </w:rPr>
              <w:t>900-0</w:t>
            </w:r>
            <w:r>
              <w:rPr>
                <w:rFonts w:hint="default" w:ascii="Arial" w:hAnsi="Arial" w:eastAsia="宋体" w:cs="Arial"/>
                <w:sz w:val="21"/>
                <w:szCs w:val="21"/>
                <w:lang w:val="en-US" w:eastAsia="zh-CN"/>
              </w:rPr>
              <w:t>99</w:t>
            </w:r>
            <w:r>
              <w:rPr>
                <w:rFonts w:hint="default" w:ascii="Arial" w:hAnsi="Arial" w:eastAsia="宋体" w:cs="Arial"/>
                <w:sz w:val="21"/>
                <w:szCs w:val="21"/>
              </w:rPr>
              <w:t>-S17</w:t>
            </w:r>
          </w:p>
        </w:tc>
      </w:tr>
      <w:tr w14:paraId="09C9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7E6F2F8A">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11</w:t>
            </w:r>
          </w:p>
        </w:tc>
        <w:tc>
          <w:tcPr>
            <w:tcW w:w="1786" w:type="dxa"/>
            <w:shd w:val="clear" w:color="auto" w:fill="auto"/>
            <w:vAlign w:val="center"/>
          </w:tcPr>
          <w:p w14:paraId="0D9A74F2">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sz w:val="21"/>
                <w:szCs w:val="21"/>
                <w:lang w:val="en-US" w:eastAsia="zh-CN"/>
              </w:rPr>
              <w:t>废磨料</w:t>
            </w:r>
          </w:p>
        </w:tc>
        <w:tc>
          <w:tcPr>
            <w:tcW w:w="1822" w:type="dxa"/>
            <w:shd w:val="clear" w:color="auto" w:fill="auto"/>
            <w:vAlign w:val="center"/>
          </w:tcPr>
          <w:p w14:paraId="280342F2">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光饰</w:t>
            </w:r>
          </w:p>
        </w:tc>
        <w:tc>
          <w:tcPr>
            <w:tcW w:w="1131" w:type="dxa"/>
            <w:shd w:val="clear" w:color="auto" w:fill="auto"/>
            <w:vAlign w:val="center"/>
          </w:tcPr>
          <w:p w14:paraId="23217BCF">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kern w:val="0"/>
                <w:sz w:val="21"/>
                <w:szCs w:val="21"/>
                <w:lang w:val="en-US" w:eastAsia="zh-CN" w:bidi="ar-SA"/>
              </w:rPr>
              <w:t>否</w:t>
            </w:r>
          </w:p>
        </w:tc>
        <w:tc>
          <w:tcPr>
            <w:tcW w:w="1131" w:type="dxa"/>
            <w:shd w:val="clear" w:color="auto" w:fill="auto"/>
            <w:vAlign w:val="center"/>
          </w:tcPr>
          <w:p w14:paraId="7F7B0AC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sz w:val="21"/>
                <w:szCs w:val="21"/>
              </w:rPr>
              <w:t>S17</w:t>
            </w:r>
          </w:p>
        </w:tc>
        <w:tc>
          <w:tcPr>
            <w:tcW w:w="1383" w:type="dxa"/>
            <w:shd w:val="clear" w:color="auto" w:fill="auto"/>
            <w:vAlign w:val="center"/>
          </w:tcPr>
          <w:p w14:paraId="78B633F5">
            <w:pPr>
              <w:keepNext w:val="0"/>
              <w:keepLines w:val="0"/>
              <w:suppressLineNumbers w:val="0"/>
              <w:adjustRightInd w:val="0"/>
              <w:snapToGrid w:val="0"/>
              <w:spacing w:before="0" w:beforeAutospacing="0" w:after="0" w:afterAutospacing="0"/>
              <w:ind w:left="0" w:right="0"/>
              <w:jc w:val="center"/>
              <w:rPr>
                <w:rFonts w:hint="default" w:ascii="Arial" w:hAnsi="Arial" w:eastAsia="宋体" w:cs="Arial"/>
                <w:kern w:val="0"/>
                <w:sz w:val="21"/>
                <w:szCs w:val="21"/>
              </w:rPr>
            </w:pPr>
            <w:r>
              <w:rPr>
                <w:rFonts w:hint="default" w:ascii="Arial" w:hAnsi="Arial" w:eastAsia="宋体" w:cs="Arial"/>
                <w:sz w:val="21"/>
                <w:szCs w:val="21"/>
              </w:rPr>
              <w:t>900-0</w:t>
            </w:r>
            <w:r>
              <w:rPr>
                <w:rFonts w:hint="default" w:ascii="Arial" w:hAnsi="Arial" w:eastAsia="宋体" w:cs="Arial"/>
                <w:sz w:val="21"/>
                <w:szCs w:val="21"/>
                <w:lang w:val="en-US" w:eastAsia="zh-CN"/>
              </w:rPr>
              <w:t>99</w:t>
            </w:r>
            <w:r>
              <w:rPr>
                <w:rFonts w:hint="default" w:ascii="Arial" w:hAnsi="Arial" w:eastAsia="宋体" w:cs="Arial"/>
                <w:sz w:val="21"/>
                <w:szCs w:val="21"/>
              </w:rPr>
              <w:t>-S17</w:t>
            </w:r>
          </w:p>
        </w:tc>
      </w:tr>
      <w:tr w14:paraId="33EB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84" w:type="dxa"/>
            <w:shd w:val="clear" w:color="auto" w:fill="auto"/>
            <w:vAlign w:val="center"/>
          </w:tcPr>
          <w:p w14:paraId="26A68871">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12</w:t>
            </w:r>
          </w:p>
        </w:tc>
        <w:tc>
          <w:tcPr>
            <w:tcW w:w="1786" w:type="dxa"/>
            <w:shd w:val="clear" w:color="auto" w:fill="auto"/>
            <w:vAlign w:val="center"/>
          </w:tcPr>
          <w:p w14:paraId="20F22272">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bCs/>
                <w:sz w:val="21"/>
                <w:szCs w:val="21"/>
              </w:rPr>
              <w:t>生活垃圾</w:t>
            </w:r>
          </w:p>
        </w:tc>
        <w:tc>
          <w:tcPr>
            <w:tcW w:w="1822" w:type="dxa"/>
            <w:shd w:val="clear" w:color="auto" w:fill="auto"/>
            <w:vAlign w:val="center"/>
          </w:tcPr>
          <w:p w14:paraId="3405FB9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生活</w:t>
            </w:r>
          </w:p>
        </w:tc>
        <w:tc>
          <w:tcPr>
            <w:tcW w:w="1131" w:type="dxa"/>
            <w:shd w:val="clear" w:color="auto" w:fill="auto"/>
            <w:vAlign w:val="center"/>
          </w:tcPr>
          <w:p w14:paraId="16E45FDA">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rPr>
              <w:t>否</w:t>
            </w:r>
          </w:p>
        </w:tc>
        <w:tc>
          <w:tcPr>
            <w:tcW w:w="1131" w:type="dxa"/>
            <w:shd w:val="clear" w:color="auto" w:fill="auto"/>
            <w:vAlign w:val="center"/>
          </w:tcPr>
          <w:p w14:paraId="2EF4AB79">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kern w:val="0"/>
                <w:sz w:val="21"/>
                <w:szCs w:val="21"/>
              </w:rPr>
              <w:t>/</w:t>
            </w:r>
          </w:p>
        </w:tc>
        <w:tc>
          <w:tcPr>
            <w:tcW w:w="1383" w:type="dxa"/>
            <w:shd w:val="clear" w:color="auto" w:fill="auto"/>
            <w:vAlign w:val="center"/>
          </w:tcPr>
          <w:p w14:paraId="37E91C1F">
            <w:pPr>
              <w:keepNext w:val="0"/>
              <w:keepLines w:val="0"/>
              <w:suppressLineNumbers w:val="0"/>
              <w:adjustRightInd w:val="0"/>
              <w:snapToGrid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kern w:val="0"/>
                <w:sz w:val="21"/>
                <w:szCs w:val="21"/>
              </w:rPr>
              <w:t>/</w:t>
            </w:r>
          </w:p>
        </w:tc>
      </w:tr>
    </w:tbl>
    <w:p w14:paraId="409C5A09">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4、一般固废情况汇总</w:t>
      </w:r>
    </w:p>
    <w:p w14:paraId="2D95FF9F">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项目一般固废产生情况见4-</w:t>
      </w:r>
      <w:r>
        <w:rPr>
          <w:rFonts w:hint="eastAsia" w:ascii="Arial" w:hAnsi="Arial" w:eastAsia="宋体" w:cs="Arial"/>
          <w:bCs/>
          <w:sz w:val="24"/>
          <w:szCs w:val="24"/>
          <w:lang w:val="en-US" w:eastAsia="zh-CN"/>
        </w:rPr>
        <w:t>21</w:t>
      </w:r>
      <w:r>
        <w:rPr>
          <w:rFonts w:hint="default" w:ascii="Arial" w:hAnsi="Arial" w:eastAsia="宋体" w:cs="Arial"/>
          <w:bCs/>
          <w:sz w:val="24"/>
          <w:szCs w:val="24"/>
        </w:rPr>
        <w:t>。</w:t>
      </w:r>
    </w:p>
    <w:p w14:paraId="22A439D3">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一般固废产生情况汇总表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57"/>
        <w:gridCol w:w="1118"/>
        <w:gridCol w:w="725"/>
        <w:gridCol w:w="1512"/>
        <w:gridCol w:w="1275"/>
        <w:gridCol w:w="1320"/>
      </w:tblGrid>
      <w:tr w14:paraId="6EB4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05C3CB75">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序号</w:t>
            </w:r>
          </w:p>
        </w:tc>
        <w:tc>
          <w:tcPr>
            <w:tcW w:w="1357" w:type="dxa"/>
            <w:vAlign w:val="center"/>
          </w:tcPr>
          <w:p w14:paraId="3E6ACD25">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副产物名称</w:t>
            </w:r>
          </w:p>
        </w:tc>
        <w:tc>
          <w:tcPr>
            <w:tcW w:w="1118" w:type="dxa"/>
            <w:vAlign w:val="center"/>
          </w:tcPr>
          <w:p w14:paraId="4F03CF53">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产生工序</w:t>
            </w:r>
          </w:p>
        </w:tc>
        <w:tc>
          <w:tcPr>
            <w:tcW w:w="725" w:type="dxa"/>
            <w:vAlign w:val="center"/>
          </w:tcPr>
          <w:p w14:paraId="7C503F6F">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形态</w:t>
            </w:r>
          </w:p>
        </w:tc>
        <w:tc>
          <w:tcPr>
            <w:tcW w:w="1512" w:type="dxa"/>
            <w:vAlign w:val="center"/>
          </w:tcPr>
          <w:p w14:paraId="70DE76B7">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主要成分</w:t>
            </w:r>
          </w:p>
        </w:tc>
        <w:tc>
          <w:tcPr>
            <w:tcW w:w="1275" w:type="dxa"/>
            <w:vAlign w:val="center"/>
          </w:tcPr>
          <w:p w14:paraId="7BAC4237">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预测产生量（t/a）</w:t>
            </w:r>
          </w:p>
        </w:tc>
        <w:tc>
          <w:tcPr>
            <w:tcW w:w="1320" w:type="dxa"/>
            <w:vAlign w:val="center"/>
          </w:tcPr>
          <w:p w14:paraId="659DD0CC">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处置方式</w:t>
            </w:r>
          </w:p>
        </w:tc>
      </w:tr>
      <w:tr w14:paraId="2D3B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340A3B5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kern w:val="0"/>
                <w:sz w:val="21"/>
                <w:szCs w:val="21"/>
              </w:rPr>
              <w:t>1</w:t>
            </w:r>
          </w:p>
        </w:tc>
        <w:tc>
          <w:tcPr>
            <w:tcW w:w="1357" w:type="dxa"/>
            <w:shd w:val="clear" w:color="auto" w:fill="auto"/>
            <w:vAlign w:val="center"/>
          </w:tcPr>
          <w:p w14:paraId="083C72F7">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废一般包装材料</w:t>
            </w:r>
          </w:p>
        </w:tc>
        <w:tc>
          <w:tcPr>
            <w:tcW w:w="1118" w:type="dxa"/>
            <w:shd w:val="clear" w:color="auto" w:fill="auto"/>
            <w:vAlign w:val="center"/>
          </w:tcPr>
          <w:p w14:paraId="4499B61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原料使用</w:t>
            </w:r>
          </w:p>
        </w:tc>
        <w:tc>
          <w:tcPr>
            <w:tcW w:w="725" w:type="dxa"/>
            <w:shd w:val="clear" w:color="auto" w:fill="auto"/>
            <w:vAlign w:val="center"/>
          </w:tcPr>
          <w:p w14:paraId="123BCED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512" w:type="dxa"/>
            <w:shd w:val="clear" w:color="auto" w:fill="auto"/>
            <w:vAlign w:val="center"/>
          </w:tcPr>
          <w:p w14:paraId="5C5D6D03">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塑料</w:t>
            </w:r>
          </w:p>
        </w:tc>
        <w:tc>
          <w:tcPr>
            <w:tcW w:w="1275" w:type="dxa"/>
            <w:shd w:val="clear" w:color="auto" w:fill="auto"/>
            <w:vAlign w:val="center"/>
          </w:tcPr>
          <w:p w14:paraId="40D8E17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w:t>
            </w:r>
          </w:p>
        </w:tc>
        <w:tc>
          <w:tcPr>
            <w:tcW w:w="1320" w:type="dxa"/>
            <w:vMerge w:val="restart"/>
            <w:shd w:val="clear" w:color="auto" w:fill="auto"/>
            <w:vAlign w:val="center"/>
          </w:tcPr>
          <w:p w14:paraId="5B251EF5">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物资公司回收综合利用</w:t>
            </w:r>
          </w:p>
        </w:tc>
      </w:tr>
      <w:tr w14:paraId="644F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04F1D88E">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kern w:val="0"/>
                <w:sz w:val="21"/>
                <w:szCs w:val="21"/>
                <w:lang w:val="en-US" w:eastAsia="zh-CN"/>
              </w:rPr>
              <w:t>2</w:t>
            </w:r>
          </w:p>
        </w:tc>
        <w:tc>
          <w:tcPr>
            <w:tcW w:w="1357" w:type="dxa"/>
            <w:shd w:val="clear" w:color="auto" w:fill="auto"/>
            <w:vAlign w:val="center"/>
          </w:tcPr>
          <w:p w14:paraId="6BD970A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118" w:type="dxa"/>
            <w:shd w:val="clear" w:color="auto" w:fill="auto"/>
            <w:vAlign w:val="center"/>
          </w:tcPr>
          <w:p w14:paraId="2307AA34">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机加工</w:t>
            </w:r>
          </w:p>
        </w:tc>
        <w:tc>
          <w:tcPr>
            <w:tcW w:w="725" w:type="dxa"/>
            <w:shd w:val="clear" w:color="auto" w:fill="auto"/>
            <w:vAlign w:val="center"/>
          </w:tcPr>
          <w:p w14:paraId="2333E9B5">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kern w:val="2"/>
                <w:sz w:val="21"/>
                <w:szCs w:val="21"/>
                <w:lang w:val="en-US" w:eastAsia="zh-CN" w:bidi="ar-SA"/>
              </w:rPr>
              <w:t>固</w:t>
            </w:r>
          </w:p>
        </w:tc>
        <w:tc>
          <w:tcPr>
            <w:tcW w:w="1512" w:type="dxa"/>
            <w:shd w:val="clear" w:color="auto" w:fill="auto"/>
            <w:vAlign w:val="center"/>
          </w:tcPr>
          <w:p w14:paraId="7EBE099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kern w:val="2"/>
                <w:sz w:val="21"/>
                <w:szCs w:val="21"/>
                <w:lang w:val="en-US" w:eastAsia="zh-CN" w:bidi="ar-SA"/>
              </w:rPr>
              <w:t>废金属</w:t>
            </w:r>
          </w:p>
        </w:tc>
        <w:tc>
          <w:tcPr>
            <w:tcW w:w="1275" w:type="dxa"/>
            <w:shd w:val="clear" w:color="auto" w:fill="auto"/>
            <w:vAlign w:val="center"/>
          </w:tcPr>
          <w:p w14:paraId="5A5C845F">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310</w:t>
            </w:r>
          </w:p>
        </w:tc>
        <w:tc>
          <w:tcPr>
            <w:tcW w:w="1320" w:type="dxa"/>
            <w:vMerge w:val="continue"/>
            <w:shd w:val="clear" w:color="auto" w:fill="auto"/>
            <w:vAlign w:val="center"/>
          </w:tcPr>
          <w:p w14:paraId="3FE2A4C7">
            <w:pPr>
              <w:keepNext w:val="0"/>
              <w:keepLines w:val="0"/>
              <w:suppressLineNumbers w:val="0"/>
              <w:spacing w:before="0" w:beforeAutospacing="0" w:after="0" w:afterAutospacing="0"/>
              <w:ind w:left="0" w:right="0"/>
              <w:jc w:val="center"/>
              <w:rPr>
                <w:rFonts w:hint="default" w:ascii="Arial" w:hAnsi="Arial" w:eastAsia="宋体" w:cs="Arial"/>
                <w:sz w:val="21"/>
                <w:szCs w:val="21"/>
              </w:rPr>
            </w:pPr>
          </w:p>
        </w:tc>
      </w:tr>
      <w:tr w14:paraId="12B9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541831E3">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kern w:val="0"/>
                <w:sz w:val="21"/>
                <w:szCs w:val="21"/>
                <w:lang w:val="en-US" w:eastAsia="zh-CN"/>
              </w:rPr>
              <w:t>3</w:t>
            </w:r>
          </w:p>
        </w:tc>
        <w:tc>
          <w:tcPr>
            <w:tcW w:w="1357" w:type="dxa"/>
            <w:shd w:val="clear" w:color="auto" w:fill="auto"/>
            <w:vAlign w:val="center"/>
          </w:tcPr>
          <w:p w14:paraId="1EAFC221">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布袋收尘</w:t>
            </w:r>
          </w:p>
        </w:tc>
        <w:tc>
          <w:tcPr>
            <w:tcW w:w="1118" w:type="dxa"/>
            <w:shd w:val="clear" w:color="auto" w:fill="auto"/>
            <w:vAlign w:val="center"/>
          </w:tcPr>
          <w:p w14:paraId="29BA837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废气处理</w:t>
            </w:r>
          </w:p>
        </w:tc>
        <w:tc>
          <w:tcPr>
            <w:tcW w:w="725" w:type="dxa"/>
            <w:shd w:val="clear" w:color="auto" w:fill="auto"/>
            <w:vAlign w:val="center"/>
          </w:tcPr>
          <w:p w14:paraId="706115D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512" w:type="dxa"/>
            <w:shd w:val="clear" w:color="auto" w:fill="auto"/>
            <w:vAlign w:val="center"/>
          </w:tcPr>
          <w:p w14:paraId="66D3277A">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275" w:type="dxa"/>
            <w:shd w:val="clear" w:color="auto" w:fill="auto"/>
            <w:vAlign w:val="center"/>
          </w:tcPr>
          <w:p w14:paraId="2A75BD3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9.17</w:t>
            </w:r>
          </w:p>
        </w:tc>
        <w:tc>
          <w:tcPr>
            <w:tcW w:w="1320" w:type="dxa"/>
            <w:vMerge w:val="continue"/>
            <w:shd w:val="clear" w:color="auto" w:fill="auto"/>
            <w:vAlign w:val="center"/>
          </w:tcPr>
          <w:p w14:paraId="41B8F74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p>
        </w:tc>
      </w:tr>
      <w:tr w14:paraId="0A3E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53B33D60">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kern w:val="0"/>
                <w:sz w:val="21"/>
                <w:szCs w:val="21"/>
                <w:lang w:val="en-US" w:eastAsia="zh-CN"/>
              </w:rPr>
              <w:t>4</w:t>
            </w:r>
          </w:p>
        </w:tc>
        <w:tc>
          <w:tcPr>
            <w:tcW w:w="1357" w:type="dxa"/>
            <w:shd w:val="clear" w:color="auto" w:fill="auto"/>
            <w:vAlign w:val="center"/>
          </w:tcPr>
          <w:p w14:paraId="3E84A58A">
            <w:pPr>
              <w:keepNext w:val="0"/>
              <w:keepLines w:val="0"/>
              <w:suppressLineNumbers w:val="0"/>
              <w:spacing w:before="0" w:beforeAutospacing="0" w:after="0" w:afterAutospacing="0"/>
              <w:ind w:left="0" w:right="0"/>
              <w:jc w:val="center"/>
              <w:rPr>
                <w:rFonts w:hint="default" w:ascii="Arial" w:hAnsi="Arial" w:eastAsia="宋体" w:cs="Arial"/>
                <w:bCs/>
                <w:kern w:val="2"/>
                <w:sz w:val="21"/>
                <w:szCs w:val="21"/>
                <w:lang w:val="en-US" w:eastAsia="zh-CN" w:bidi="ar-SA"/>
              </w:rPr>
            </w:pPr>
            <w:r>
              <w:rPr>
                <w:rFonts w:hint="default" w:ascii="Arial" w:hAnsi="Arial" w:eastAsia="宋体" w:cs="Arial"/>
                <w:bCs/>
                <w:kern w:val="2"/>
                <w:sz w:val="21"/>
                <w:szCs w:val="21"/>
                <w:lang w:val="en-US" w:eastAsia="zh-CN" w:bidi="ar-SA"/>
              </w:rPr>
              <w:t>废钢丸</w:t>
            </w:r>
          </w:p>
        </w:tc>
        <w:tc>
          <w:tcPr>
            <w:tcW w:w="1118" w:type="dxa"/>
            <w:shd w:val="clear" w:color="auto" w:fill="auto"/>
            <w:vAlign w:val="center"/>
          </w:tcPr>
          <w:p w14:paraId="06FAE08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抛丸</w:t>
            </w:r>
          </w:p>
        </w:tc>
        <w:tc>
          <w:tcPr>
            <w:tcW w:w="725" w:type="dxa"/>
            <w:shd w:val="clear" w:color="auto" w:fill="auto"/>
            <w:vAlign w:val="center"/>
          </w:tcPr>
          <w:p w14:paraId="7322520D">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固</w:t>
            </w:r>
          </w:p>
        </w:tc>
        <w:tc>
          <w:tcPr>
            <w:tcW w:w="1512" w:type="dxa"/>
            <w:shd w:val="clear" w:color="auto" w:fill="auto"/>
            <w:vAlign w:val="center"/>
          </w:tcPr>
          <w:p w14:paraId="38EBAFF0">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废金属</w:t>
            </w:r>
          </w:p>
        </w:tc>
        <w:tc>
          <w:tcPr>
            <w:tcW w:w="1275" w:type="dxa"/>
            <w:shd w:val="clear" w:color="auto" w:fill="auto"/>
            <w:vAlign w:val="center"/>
          </w:tcPr>
          <w:p w14:paraId="75F1564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8</w:t>
            </w:r>
          </w:p>
        </w:tc>
        <w:tc>
          <w:tcPr>
            <w:tcW w:w="1320" w:type="dxa"/>
            <w:vMerge w:val="continue"/>
            <w:shd w:val="clear" w:color="auto" w:fill="auto"/>
            <w:vAlign w:val="center"/>
          </w:tcPr>
          <w:p w14:paraId="3C3C78A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p>
        </w:tc>
      </w:tr>
      <w:tr w14:paraId="3B2C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6024EDAA">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kern w:val="0"/>
                <w:sz w:val="21"/>
                <w:szCs w:val="21"/>
                <w:lang w:val="en-US" w:eastAsia="zh-CN"/>
              </w:rPr>
              <w:t>5</w:t>
            </w:r>
          </w:p>
        </w:tc>
        <w:tc>
          <w:tcPr>
            <w:tcW w:w="1357" w:type="dxa"/>
            <w:shd w:val="clear" w:color="auto" w:fill="auto"/>
            <w:vAlign w:val="center"/>
          </w:tcPr>
          <w:p w14:paraId="5C7899CB">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探伤废液</w:t>
            </w:r>
          </w:p>
        </w:tc>
        <w:tc>
          <w:tcPr>
            <w:tcW w:w="1118" w:type="dxa"/>
            <w:shd w:val="clear" w:color="auto" w:fill="auto"/>
            <w:vAlign w:val="center"/>
          </w:tcPr>
          <w:p w14:paraId="4D32E0E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探伤</w:t>
            </w:r>
          </w:p>
        </w:tc>
        <w:tc>
          <w:tcPr>
            <w:tcW w:w="725" w:type="dxa"/>
            <w:shd w:val="clear" w:color="auto" w:fill="auto"/>
            <w:vAlign w:val="center"/>
          </w:tcPr>
          <w:p w14:paraId="7E67762C">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液</w:t>
            </w:r>
          </w:p>
        </w:tc>
        <w:tc>
          <w:tcPr>
            <w:tcW w:w="1512" w:type="dxa"/>
            <w:shd w:val="clear" w:color="auto" w:fill="auto"/>
            <w:vAlign w:val="center"/>
          </w:tcPr>
          <w:p w14:paraId="473006E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荧光粉、水</w:t>
            </w:r>
          </w:p>
        </w:tc>
        <w:tc>
          <w:tcPr>
            <w:tcW w:w="1275" w:type="dxa"/>
            <w:shd w:val="clear" w:color="auto" w:fill="auto"/>
            <w:vAlign w:val="center"/>
          </w:tcPr>
          <w:p w14:paraId="5A3CD966">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0.5</w:t>
            </w:r>
          </w:p>
        </w:tc>
        <w:tc>
          <w:tcPr>
            <w:tcW w:w="1320" w:type="dxa"/>
            <w:vMerge w:val="continue"/>
            <w:shd w:val="clear" w:color="auto" w:fill="auto"/>
            <w:vAlign w:val="center"/>
          </w:tcPr>
          <w:p w14:paraId="6DF3E91A">
            <w:pPr>
              <w:keepNext w:val="0"/>
              <w:keepLines w:val="0"/>
              <w:suppressLineNumbers w:val="0"/>
              <w:spacing w:before="0" w:beforeAutospacing="0" w:after="0" w:afterAutospacing="0"/>
              <w:ind w:left="0" w:right="0"/>
              <w:jc w:val="center"/>
              <w:rPr>
                <w:rFonts w:hint="default" w:ascii="Arial" w:hAnsi="Arial" w:eastAsia="宋体" w:cs="Arial"/>
                <w:sz w:val="21"/>
                <w:szCs w:val="21"/>
              </w:rPr>
            </w:pPr>
          </w:p>
        </w:tc>
      </w:tr>
      <w:tr w14:paraId="29F9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30" w:type="dxa"/>
            <w:vAlign w:val="center"/>
          </w:tcPr>
          <w:p w14:paraId="09A27B1D">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default" w:ascii="Arial" w:hAnsi="Arial" w:eastAsia="宋体" w:cs="Arial"/>
                <w:kern w:val="0"/>
                <w:sz w:val="21"/>
                <w:szCs w:val="21"/>
                <w:lang w:val="en-US" w:eastAsia="zh-CN"/>
              </w:rPr>
              <w:t>6</w:t>
            </w:r>
          </w:p>
        </w:tc>
        <w:tc>
          <w:tcPr>
            <w:tcW w:w="1357" w:type="dxa"/>
            <w:shd w:val="clear" w:color="auto" w:fill="auto"/>
            <w:vAlign w:val="center"/>
          </w:tcPr>
          <w:p w14:paraId="00D0EDD5">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光饰机清灰</w:t>
            </w:r>
          </w:p>
        </w:tc>
        <w:tc>
          <w:tcPr>
            <w:tcW w:w="1118" w:type="dxa"/>
            <w:shd w:val="clear" w:color="auto" w:fill="auto"/>
            <w:vAlign w:val="center"/>
          </w:tcPr>
          <w:p w14:paraId="5698771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光饰</w:t>
            </w:r>
          </w:p>
        </w:tc>
        <w:tc>
          <w:tcPr>
            <w:tcW w:w="725" w:type="dxa"/>
            <w:shd w:val="clear" w:color="auto" w:fill="auto"/>
            <w:vAlign w:val="center"/>
          </w:tcPr>
          <w:p w14:paraId="0E18BAD7">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固</w:t>
            </w:r>
          </w:p>
        </w:tc>
        <w:tc>
          <w:tcPr>
            <w:tcW w:w="1512" w:type="dxa"/>
            <w:shd w:val="clear" w:color="auto" w:fill="auto"/>
            <w:vAlign w:val="center"/>
          </w:tcPr>
          <w:p w14:paraId="677286D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金属</w:t>
            </w:r>
          </w:p>
        </w:tc>
        <w:tc>
          <w:tcPr>
            <w:tcW w:w="1275" w:type="dxa"/>
            <w:shd w:val="clear" w:color="auto" w:fill="auto"/>
            <w:vAlign w:val="center"/>
          </w:tcPr>
          <w:p w14:paraId="7B5A4AA9">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4.25</w:t>
            </w:r>
          </w:p>
        </w:tc>
        <w:tc>
          <w:tcPr>
            <w:tcW w:w="1320" w:type="dxa"/>
            <w:vMerge w:val="continue"/>
            <w:shd w:val="clear" w:color="auto" w:fill="auto"/>
            <w:vAlign w:val="center"/>
          </w:tcPr>
          <w:p w14:paraId="120E6EDE">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p>
        </w:tc>
      </w:tr>
      <w:tr w14:paraId="7512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6EB0C99A">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eastAsia" w:ascii="Arial" w:hAnsi="Arial" w:eastAsia="宋体" w:cs="Arial"/>
                <w:kern w:val="0"/>
                <w:sz w:val="21"/>
                <w:szCs w:val="21"/>
                <w:lang w:val="en-US" w:eastAsia="zh-CN"/>
              </w:rPr>
              <w:t>7</w:t>
            </w:r>
          </w:p>
        </w:tc>
        <w:tc>
          <w:tcPr>
            <w:tcW w:w="1357" w:type="dxa"/>
            <w:shd w:val="clear" w:color="auto" w:fill="auto"/>
            <w:vAlign w:val="center"/>
          </w:tcPr>
          <w:p w14:paraId="3DC8C5D9">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sz w:val="21"/>
                <w:szCs w:val="21"/>
                <w:lang w:val="en-US" w:eastAsia="zh-CN"/>
              </w:rPr>
              <w:t>废磨料</w:t>
            </w:r>
          </w:p>
        </w:tc>
        <w:tc>
          <w:tcPr>
            <w:tcW w:w="1118" w:type="dxa"/>
            <w:shd w:val="clear" w:color="auto" w:fill="auto"/>
            <w:vAlign w:val="center"/>
          </w:tcPr>
          <w:p w14:paraId="639768C4">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光饰</w:t>
            </w:r>
          </w:p>
        </w:tc>
        <w:tc>
          <w:tcPr>
            <w:tcW w:w="725" w:type="dxa"/>
            <w:shd w:val="clear" w:color="auto" w:fill="auto"/>
            <w:vAlign w:val="center"/>
          </w:tcPr>
          <w:p w14:paraId="38E8F859">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固</w:t>
            </w:r>
          </w:p>
        </w:tc>
        <w:tc>
          <w:tcPr>
            <w:tcW w:w="1512" w:type="dxa"/>
            <w:shd w:val="clear" w:color="auto" w:fill="auto"/>
            <w:vAlign w:val="center"/>
          </w:tcPr>
          <w:p w14:paraId="5597A6A0">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sz w:val="21"/>
                <w:szCs w:val="21"/>
                <w:lang w:val="en-US" w:eastAsia="zh-CN"/>
              </w:rPr>
              <w:t>陶瓷</w:t>
            </w:r>
          </w:p>
        </w:tc>
        <w:tc>
          <w:tcPr>
            <w:tcW w:w="1275" w:type="dxa"/>
            <w:shd w:val="clear" w:color="auto" w:fill="auto"/>
            <w:vAlign w:val="center"/>
          </w:tcPr>
          <w:p w14:paraId="3BE52EB1">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1</w:t>
            </w:r>
          </w:p>
        </w:tc>
        <w:tc>
          <w:tcPr>
            <w:tcW w:w="1320" w:type="dxa"/>
            <w:vMerge w:val="continue"/>
            <w:shd w:val="clear" w:color="auto" w:fill="auto"/>
            <w:vAlign w:val="center"/>
          </w:tcPr>
          <w:p w14:paraId="60350A70">
            <w:pPr>
              <w:keepNext w:val="0"/>
              <w:keepLines w:val="0"/>
              <w:suppressLineNumbers w:val="0"/>
              <w:spacing w:before="0" w:beforeAutospacing="0" w:after="0" w:afterAutospacing="0"/>
              <w:ind w:left="0" w:right="0"/>
              <w:jc w:val="center"/>
              <w:rPr>
                <w:rFonts w:hint="default" w:ascii="Arial" w:hAnsi="Arial" w:eastAsia="宋体" w:cs="Arial"/>
                <w:sz w:val="21"/>
                <w:szCs w:val="21"/>
              </w:rPr>
            </w:pPr>
          </w:p>
        </w:tc>
      </w:tr>
      <w:tr w14:paraId="57DA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Align w:val="center"/>
          </w:tcPr>
          <w:p w14:paraId="0E59C6A5">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rPr>
            </w:pPr>
            <w:r>
              <w:rPr>
                <w:rFonts w:hint="eastAsia" w:ascii="Arial" w:hAnsi="Arial" w:eastAsia="宋体" w:cs="Arial"/>
                <w:kern w:val="0"/>
                <w:sz w:val="21"/>
                <w:szCs w:val="21"/>
                <w:lang w:val="en-US" w:eastAsia="zh-CN"/>
              </w:rPr>
              <w:t>8</w:t>
            </w:r>
          </w:p>
        </w:tc>
        <w:tc>
          <w:tcPr>
            <w:tcW w:w="1357" w:type="dxa"/>
            <w:shd w:val="clear" w:color="auto" w:fill="auto"/>
            <w:vAlign w:val="center"/>
          </w:tcPr>
          <w:p w14:paraId="058AEDCD">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rPr>
              <w:t>生活垃圾</w:t>
            </w:r>
          </w:p>
        </w:tc>
        <w:tc>
          <w:tcPr>
            <w:tcW w:w="1118" w:type="dxa"/>
            <w:shd w:val="clear" w:color="auto" w:fill="auto"/>
            <w:vAlign w:val="center"/>
          </w:tcPr>
          <w:p w14:paraId="4206E9C6">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生活</w:t>
            </w:r>
          </w:p>
        </w:tc>
        <w:tc>
          <w:tcPr>
            <w:tcW w:w="725" w:type="dxa"/>
            <w:shd w:val="clear" w:color="auto" w:fill="auto"/>
            <w:vAlign w:val="center"/>
          </w:tcPr>
          <w:p w14:paraId="4F00F2E3">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固</w:t>
            </w:r>
          </w:p>
        </w:tc>
        <w:tc>
          <w:tcPr>
            <w:tcW w:w="1512" w:type="dxa"/>
            <w:shd w:val="clear" w:color="auto" w:fill="auto"/>
            <w:vAlign w:val="center"/>
          </w:tcPr>
          <w:p w14:paraId="20110DF4">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塑料、果壳等</w:t>
            </w:r>
          </w:p>
        </w:tc>
        <w:tc>
          <w:tcPr>
            <w:tcW w:w="1275" w:type="dxa"/>
            <w:shd w:val="clear" w:color="auto" w:fill="auto"/>
            <w:vAlign w:val="center"/>
          </w:tcPr>
          <w:p w14:paraId="1EB4FBC1">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9</w:t>
            </w:r>
          </w:p>
        </w:tc>
        <w:tc>
          <w:tcPr>
            <w:tcW w:w="1320" w:type="dxa"/>
            <w:shd w:val="clear" w:color="auto" w:fill="auto"/>
            <w:vAlign w:val="center"/>
          </w:tcPr>
          <w:p w14:paraId="0D296ED4">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环卫部门清运处理</w:t>
            </w:r>
          </w:p>
        </w:tc>
      </w:tr>
    </w:tbl>
    <w:p w14:paraId="0EFA59CD">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5、危险废物情况汇总</w:t>
      </w:r>
    </w:p>
    <w:p w14:paraId="17A27634">
      <w:pPr>
        <w:pStyle w:val="76"/>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rPr>
        <w:t>建设项目危险废物产生及处置情况汇总见表4-</w:t>
      </w:r>
      <w:r>
        <w:rPr>
          <w:rFonts w:hint="eastAsia" w:ascii="Arial" w:hAnsi="Arial" w:eastAsia="宋体" w:cs="Arial"/>
          <w:bCs/>
          <w:sz w:val="24"/>
          <w:szCs w:val="24"/>
          <w:lang w:val="en-US" w:eastAsia="zh-CN"/>
        </w:rPr>
        <w:t>22</w:t>
      </w:r>
      <w:r>
        <w:rPr>
          <w:rFonts w:hint="default" w:ascii="Arial" w:hAnsi="Arial" w:eastAsia="宋体" w:cs="Arial"/>
          <w:bCs/>
          <w:sz w:val="24"/>
          <w:szCs w:val="24"/>
        </w:rPr>
        <w:t>。</w:t>
      </w:r>
    </w:p>
    <w:p w14:paraId="6F13363D">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危险废物产生情况汇总表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
        <w:gridCol w:w="810"/>
        <w:gridCol w:w="884"/>
        <w:gridCol w:w="874"/>
        <w:gridCol w:w="875"/>
        <w:gridCol w:w="664"/>
        <w:gridCol w:w="432"/>
        <w:gridCol w:w="1071"/>
        <w:gridCol w:w="486"/>
        <w:gridCol w:w="731"/>
        <w:gridCol w:w="778"/>
      </w:tblGrid>
      <w:tr w14:paraId="63A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7811063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序号</w:t>
            </w:r>
          </w:p>
        </w:tc>
        <w:tc>
          <w:tcPr>
            <w:tcW w:w="810" w:type="dxa"/>
            <w:vAlign w:val="center"/>
          </w:tcPr>
          <w:p w14:paraId="490087D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危险废物名称</w:t>
            </w:r>
          </w:p>
        </w:tc>
        <w:tc>
          <w:tcPr>
            <w:tcW w:w="884" w:type="dxa"/>
            <w:vAlign w:val="center"/>
          </w:tcPr>
          <w:p w14:paraId="243B8BE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危险废物类别</w:t>
            </w:r>
          </w:p>
        </w:tc>
        <w:tc>
          <w:tcPr>
            <w:tcW w:w="874" w:type="dxa"/>
            <w:vAlign w:val="center"/>
          </w:tcPr>
          <w:p w14:paraId="0FBC72F2">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危险废物代码</w:t>
            </w:r>
          </w:p>
        </w:tc>
        <w:tc>
          <w:tcPr>
            <w:tcW w:w="875" w:type="dxa"/>
            <w:vAlign w:val="center"/>
          </w:tcPr>
          <w:p w14:paraId="0B92091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产生量（t/a）</w:t>
            </w:r>
          </w:p>
        </w:tc>
        <w:tc>
          <w:tcPr>
            <w:tcW w:w="664" w:type="dxa"/>
            <w:vAlign w:val="center"/>
          </w:tcPr>
          <w:p w14:paraId="6CD4F10A">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产生工序</w:t>
            </w:r>
          </w:p>
        </w:tc>
        <w:tc>
          <w:tcPr>
            <w:tcW w:w="432" w:type="dxa"/>
            <w:vAlign w:val="center"/>
          </w:tcPr>
          <w:p w14:paraId="58D126CB">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形态</w:t>
            </w:r>
          </w:p>
        </w:tc>
        <w:tc>
          <w:tcPr>
            <w:tcW w:w="1071" w:type="dxa"/>
            <w:vAlign w:val="center"/>
          </w:tcPr>
          <w:p w14:paraId="371E77C6">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主要成分</w:t>
            </w:r>
          </w:p>
        </w:tc>
        <w:tc>
          <w:tcPr>
            <w:tcW w:w="486" w:type="dxa"/>
            <w:vAlign w:val="center"/>
          </w:tcPr>
          <w:p w14:paraId="0A456923">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产生周期</w:t>
            </w:r>
          </w:p>
        </w:tc>
        <w:tc>
          <w:tcPr>
            <w:tcW w:w="731" w:type="dxa"/>
            <w:vAlign w:val="center"/>
          </w:tcPr>
          <w:p w14:paraId="30A1C74F">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危险特性</w:t>
            </w:r>
          </w:p>
        </w:tc>
        <w:tc>
          <w:tcPr>
            <w:tcW w:w="778" w:type="dxa"/>
            <w:vAlign w:val="center"/>
          </w:tcPr>
          <w:p w14:paraId="42E087E3">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污染防治措施</w:t>
            </w:r>
          </w:p>
        </w:tc>
      </w:tr>
      <w:tr w14:paraId="3F72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4300600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1</w:t>
            </w:r>
          </w:p>
        </w:tc>
        <w:tc>
          <w:tcPr>
            <w:tcW w:w="810" w:type="dxa"/>
            <w:vAlign w:val="center"/>
          </w:tcPr>
          <w:p w14:paraId="334A162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lang w:val="en-US" w:eastAsia="zh-CN"/>
              </w:rPr>
              <w:t>废含油金属屑</w:t>
            </w:r>
          </w:p>
        </w:tc>
        <w:tc>
          <w:tcPr>
            <w:tcW w:w="884" w:type="dxa"/>
            <w:vAlign w:val="center"/>
          </w:tcPr>
          <w:p w14:paraId="0A69CB02">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HW09</w:t>
            </w:r>
          </w:p>
        </w:tc>
        <w:tc>
          <w:tcPr>
            <w:tcW w:w="874" w:type="dxa"/>
            <w:vAlign w:val="center"/>
          </w:tcPr>
          <w:p w14:paraId="36984D0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900-006-09</w:t>
            </w:r>
          </w:p>
        </w:tc>
        <w:tc>
          <w:tcPr>
            <w:tcW w:w="875" w:type="dxa"/>
            <w:vAlign w:val="center"/>
          </w:tcPr>
          <w:p w14:paraId="55F2EF2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8</w:t>
            </w:r>
          </w:p>
        </w:tc>
        <w:tc>
          <w:tcPr>
            <w:tcW w:w="664" w:type="dxa"/>
            <w:vAlign w:val="center"/>
          </w:tcPr>
          <w:p w14:paraId="7EC5B52F">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lang w:val="en-US" w:eastAsia="zh-CN"/>
              </w:rPr>
              <w:t>机加工</w:t>
            </w:r>
          </w:p>
        </w:tc>
        <w:tc>
          <w:tcPr>
            <w:tcW w:w="432" w:type="dxa"/>
            <w:vAlign w:val="center"/>
          </w:tcPr>
          <w:p w14:paraId="7E49B5A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lang w:val="en-US" w:eastAsia="zh-CN"/>
              </w:rPr>
              <w:t>固</w:t>
            </w:r>
          </w:p>
        </w:tc>
        <w:tc>
          <w:tcPr>
            <w:tcW w:w="1071" w:type="dxa"/>
            <w:shd w:val="clear" w:color="auto" w:fill="auto"/>
            <w:vAlign w:val="center"/>
          </w:tcPr>
          <w:p w14:paraId="7B7A359D">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切削液、废金属</w:t>
            </w:r>
          </w:p>
        </w:tc>
        <w:tc>
          <w:tcPr>
            <w:tcW w:w="486" w:type="dxa"/>
            <w:vAlign w:val="center"/>
          </w:tcPr>
          <w:p w14:paraId="2D4010B8">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每天</w:t>
            </w:r>
          </w:p>
        </w:tc>
        <w:tc>
          <w:tcPr>
            <w:tcW w:w="731" w:type="dxa"/>
            <w:vAlign w:val="center"/>
          </w:tcPr>
          <w:p w14:paraId="31E6D9E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T</w:t>
            </w:r>
          </w:p>
        </w:tc>
        <w:tc>
          <w:tcPr>
            <w:tcW w:w="778" w:type="dxa"/>
            <w:vMerge w:val="restart"/>
            <w:vAlign w:val="center"/>
          </w:tcPr>
          <w:p w14:paraId="55A6F4ED">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危废暂存库分区存放，委托有资质单位处置</w:t>
            </w:r>
          </w:p>
        </w:tc>
      </w:tr>
      <w:tr w14:paraId="5F21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6A844DE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2</w:t>
            </w:r>
          </w:p>
        </w:tc>
        <w:tc>
          <w:tcPr>
            <w:tcW w:w="810" w:type="dxa"/>
            <w:shd w:val="clear" w:color="auto" w:fill="auto"/>
            <w:vAlign w:val="center"/>
          </w:tcPr>
          <w:p w14:paraId="3C4E916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废切削液</w:t>
            </w:r>
          </w:p>
        </w:tc>
        <w:tc>
          <w:tcPr>
            <w:tcW w:w="884" w:type="dxa"/>
            <w:shd w:val="clear" w:color="auto" w:fill="auto"/>
            <w:vAlign w:val="center"/>
          </w:tcPr>
          <w:p w14:paraId="2B22A31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HW09</w:t>
            </w:r>
          </w:p>
        </w:tc>
        <w:tc>
          <w:tcPr>
            <w:tcW w:w="874" w:type="dxa"/>
            <w:shd w:val="clear" w:color="auto" w:fill="auto"/>
            <w:vAlign w:val="center"/>
          </w:tcPr>
          <w:p w14:paraId="0FC252EB">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900-006-09</w:t>
            </w:r>
          </w:p>
        </w:tc>
        <w:tc>
          <w:tcPr>
            <w:tcW w:w="875" w:type="dxa"/>
            <w:shd w:val="clear" w:color="auto" w:fill="auto"/>
            <w:vAlign w:val="center"/>
          </w:tcPr>
          <w:p w14:paraId="0E09DE4B">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3</w:t>
            </w:r>
          </w:p>
        </w:tc>
        <w:tc>
          <w:tcPr>
            <w:tcW w:w="664" w:type="dxa"/>
            <w:shd w:val="clear" w:color="auto" w:fill="auto"/>
            <w:vAlign w:val="center"/>
          </w:tcPr>
          <w:p w14:paraId="5D7FDAC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机加工</w:t>
            </w:r>
          </w:p>
        </w:tc>
        <w:tc>
          <w:tcPr>
            <w:tcW w:w="432" w:type="dxa"/>
            <w:shd w:val="clear" w:color="auto" w:fill="auto"/>
            <w:vAlign w:val="center"/>
          </w:tcPr>
          <w:p w14:paraId="57BE721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液</w:t>
            </w:r>
          </w:p>
        </w:tc>
        <w:tc>
          <w:tcPr>
            <w:tcW w:w="1071" w:type="dxa"/>
            <w:shd w:val="clear" w:color="auto" w:fill="auto"/>
            <w:vAlign w:val="center"/>
          </w:tcPr>
          <w:p w14:paraId="3A0D71C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切削液</w:t>
            </w:r>
          </w:p>
        </w:tc>
        <w:tc>
          <w:tcPr>
            <w:tcW w:w="486" w:type="dxa"/>
            <w:shd w:val="clear" w:color="auto" w:fill="auto"/>
            <w:vAlign w:val="center"/>
          </w:tcPr>
          <w:p w14:paraId="5ABDB85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每天</w:t>
            </w:r>
          </w:p>
        </w:tc>
        <w:tc>
          <w:tcPr>
            <w:tcW w:w="731" w:type="dxa"/>
            <w:shd w:val="clear" w:color="auto" w:fill="auto"/>
            <w:vAlign w:val="center"/>
          </w:tcPr>
          <w:p w14:paraId="25F159F6">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T</w:t>
            </w:r>
          </w:p>
        </w:tc>
        <w:tc>
          <w:tcPr>
            <w:tcW w:w="778" w:type="dxa"/>
            <w:vMerge w:val="continue"/>
            <w:vAlign w:val="center"/>
          </w:tcPr>
          <w:p w14:paraId="143540D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p>
        </w:tc>
      </w:tr>
      <w:tr w14:paraId="7C98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658D622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3</w:t>
            </w:r>
          </w:p>
        </w:tc>
        <w:tc>
          <w:tcPr>
            <w:tcW w:w="810" w:type="dxa"/>
            <w:shd w:val="clear" w:color="auto" w:fill="auto"/>
            <w:vAlign w:val="center"/>
          </w:tcPr>
          <w:p w14:paraId="20DF731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废化学品包装</w:t>
            </w:r>
          </w:p>
        </w:tc>
        <w:tc>
          <w:tcPr>
            <w:tcW w:w="884" w:type="dxa"/>
            <w:shd w:val="clear" w:color="auto" w:fill="auto"/>
            <w:vAlign w:val="center"/>
          </w:tcPr>
          <w:p w14:paraId="5272770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HW49</w:t>
            </w:r>
          </w:p>
        </w:tc>
        <w:tc>
          <w:tcPr>
            <w:tcW w:w="874" w:type="dxa"/>
            <w:shd w:val="clear" w:color="auto" w:fill="auto"/>
            <w:vAlign w:val="center"/>
          </w:tcPr>
          <w:p w14:paraId="29C9A29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900-041-49</w:t>
            </w:r>
          </w:p>
        </w:tc>
        <w:tc>
          <w:tcPr>
            <w:tcW w:w="875" w:type="dxa"/>
            <w:shd w:val="clear" w:color="auto" w:fill="auto"/>
            <w:vAlign w:val="center"/>
          </w:tcPr>
          <w:p w14:paraId="1445CD16">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0.2</w:t>
            </w:r>
          </w:p>
        </w:tc>
        <w:tc>
          <w:tcPr>
            <w:tcW w:w="664" w:type="dxa"/>
            <w:shd w:val="clear" w:color="auto" w:fill="auto"/>
            <w:vAlign w:val="center"/>
          </w:tcPr>
          <w:p w14:paraId="4AAC114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原材料使用</w:t>
            </w:r>
          </w:p>
        </w:tc>
        <w:tc>
          <w:tcPr>
            <w:tcW w:w="432" w:type="dxa"/>
            <w:shd w:val="clear" w:color="auto" w:fill="auto"/>
            <w:vAlign w:val="center"/>
          </w:tcPr>
          <w:p w14:paraId="74B9170F">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固</w:t>
            </w:r>
          </w:p>
        </w:tc>
        <w:tc>
          <w:tcPr>
            <w:tcW w:w="1071" w:type="dxa"/>
            <w:shd w:val="clear" w:color="auto" w:fill="auto"/>
            <w:vAlign w:val="center"/>
          </w:tcPr>
          <w:p w14:paraId="16D9B89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塑料、有机物</w:t>
            </w:r>
          </w:p>
        </w:tc>
        <w:tc>
          <w:tcPr>
            <w:tcW w:w="486" w:type="dxa"/>
            <w:shd w:val="clear" w:color="auto" w:fill="auto"/>
            <w:vAlign w:val="center"/>
          </w:tcPr>
          <w:p w14:paraId="121208B6">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每天</w:t>
            </w:r>
          </w:p>
        </w:tc>
        <w:tc>
          <w:tcPr>
            <w:tcW w:w="731" w:type="dxa"/>
            <w:shd w:val="clear" w:color="auto" w:fill="auto"/>
            <w:vAlign w:val="center"/>
          </w:tcPr>
          <w:p w14:paraId="3A6C76A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T/In</w:t>
            </w:r>
          </w:p>
        </w:tc>
        <w:tc>
          <w:tcPr>
            <w:tcW w:w="778" w:type="dxa"/>
            <w:vMerge w:val="continue"/>
            <w:vAlign w:val="center"/>
          </w:tcPr>
          <w:p w14:paraId="07B34948">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p>
        </w:tc>
      </w:tr>
      <w:tr w14:paraId="43FF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2" w:type="dxa"/>
            <w:vAlign w:val="center"/>
          </w:tcPr>
          <w:p w14:paraId="50EC398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4</w:t>
            </w:r>
          </w:p>
        </w:tc>
        <w:tc>
          <w:tcPr>
            <w:tcW w:w="810" w:type="dxa"/>
            <w:shd w:val="clear" w:color="auto" w:fill="auto"/>
            <w:vAlign w:val="center"/>
          </w:tcPr>
          <w:p w14:paraId="10A52C9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eastAsia" w:ascii="Arial" w:hAnsi="Arial" w:eastAsia="宋体" w:cs="Arial"/>
                <w:bCs/>
                <w:sz w:val="21"/>
                <w:szCs w:val="21"/>
                <w:lang w:val="en-US" w:eastAsia="zh-CN"/>
              </w:rPr>
              <w:t>清洗废液</w:t>
            </w:r>
          </w:p>
        </w:tc>
        <w:tc>
          <w:tcPr>
            <w:tcW w:w="884" w:type="dxa"/>
            <w:shd w:val="clear" w:color="auto" w:fill="auto"/>
            <w:vAlign w:val="center"/>
          </w:tcPr>
          <w:p w14:paraId="3CE875F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HW17</w:t>
            </w:r>
          </w:p>
        </w:tc>
        <w:tc>
          <w:tcPr>
            <w:tcW w:w="874" w:type="dxa"/>
            <w:shd w:val="clear" w:color="auto" w:fill="auto"/>
            <w:vAlign w:val="center"/>
          </w:tcPr>
          <w:p w14:paraId="4FA24F9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900-007-09</w:t>
            </w:r>
          </w:p>
        </w:tc>
        <w:tc>
          <w:tcPr>
            <w:tcW w:w="875" w:type="dxa"/>
            <w:shd w:val="clear" w:color="auto" w:fill="auto"/>
            <w:vAlign w:val="center"/>
          </w:tcPr>
          <w:p w14:paraId="1D26E82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9</w:t>
            </w:r>
          </w:p>
        </w:tc>
        <w:tc>
          <w:tcPr>
            <w:tcW w:w="664" w:type="dxa"/>
            <w:shd w:val="clear" w:color="auto" w:fill="auto"/>
            <w:vAlign w:val="center"/>
          </w:tcPr>
          <w:p w14:paraId="32694DC3">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清洗</w:t>
            </w:r>
          </w:p>
        </w:tc>
        <w:tc>
          <w:tcPr>
            <w:tcW w:w="432" w:type="dxa"/>
            <w:shd w:val="clear" w:color="auto" w:fill="auto"/>
            <w:vAlign w:val="center"/>
          </w:tcPr>
          <w:p w14:paraId="781DCA7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液</w:t>
            </w:r>
          </w:p>
        </w:tc>
        <w:tc>
          <w:tcPr>
            <w:tcW w:w="1071" w:type="dxa"/>
            <w:shd w:val="clear" w:color="auto" w:fill="auto"/>
            <w:vAlign w:val="center"/>
          </w:tcPr>
          <w:p w14:paraId="45735FA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有机物、矿物油</w:t>
            </w:r>
          </w:p>
        </w:tc>
        <w:tc>
          <w:tcPr>
            <w:tcW w:w="486" w:type="dxa"/>
            <w:shd w:val="clear" w:color="auto" w:fill="auto"/>
            <w:vAlign w:val="center"/>
          </w:tcPr>
          <w:p w14:paraId="675FE996">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每天</w:t>
            </w:r>
          </w:p>
        </w:tc>
        <w:tc>
          <w:tcPr>
            <w:tcW w:w="731" w:type="dxa"/>
            <w:shd w:val="clear" w:color="auto" w:fill="auto"/>
            <w:vAlign w:val="center"/>
          </w:tcPr>
          <w:p w14:paraId="5FB606B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T/C</w:t>
            </w:r>
          </w:p>
        </w:tc>
        <w:tc>
          <w:tcPr>
            <w:tcW w:w="778" w:type="dxa"/>
            <w:vMerge w:val="continue"/>
            <w:vAlign w:val="center"/>
          </w:tcPr>
          <w:p w14:paraId="70A41F7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p>
        </w:tc>
      </w:tr>
    </w:tbl>
    <w:p w14:paraId="7901906E">
      <w:pPr>
        <w:keepNext w:val="0"/>
        <w:keepLines w:val="0"/>
        <w:pageBreakBefore w:val="0"/>
        <w:widowControl w:val="0"/>
        <w:kinsoku/>
        <w:wordWrap/>
        <w:overflowPunct/>
        <w:topLinePunct w:val="0"/>
        <w:autoSpaceDE/>
        <w:autoSpaceDN/>
        <w:bidi w:val="0"/>
        <w:adjustRightInd/>
        <w:snapToGrid/>
        <w:spacing w:before="171" w:beforeLines="50"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4.2.4.3危险废物贮存场所环境影响分析</w:t>
      </w:r>
    </w:p>
    <w:p w14:paraId="3C55F3FD">
      <w:pPr>
        <w:keepNext w:val="0"/>
        <w:keepLines w:val="0"/>
        <w:pageBreakBefore w:val="0"/>
        <w:widowControl w:val="0"/>
        <w:kinsoku/>
        <w:wordWrap/>
        <w:overflowPunct/>
        <w:topLinePunct w:val="0"/>
        <w:autoSpaceDE/>
        <w:autoSpaceDN/>
        <w:bidi w:val="0"/>
        <w:adjustRightInd/>
        <w:snapToGrid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（1）建设项目</w:t>
      </w:r>
      <w:r>
        <w:rPr>
          <w:rFonts w:hint="default" w:ascii="Arial" w:hAnsi="Arial" w:eastAsia="宋体" w:cs="Arial"/>
          <w:sz w:val="24"/>
          <w:szCs w:val="24"/>
          <w:lang w:val="en-US" w:eastAsia="zh-CN"/>
        </w:rPr>
        <w:t>拟建设</w:t>
      </w:r>
      <w:r>
        <w:rPr>
          <w:rFonts w:hint="default" w:ascii="Arial" w:hAnsi="Arial" w:eastAsia="宋体" w:cs="Arial"/>
          <w:sz w:val="24"/>
          <w:szCs w:val="24"/>
        </w:rPr>
        <w:t>危废仓库</w:t>
      </w:r>
      <w:r>
        <w:rPr>
          <w:rFonts w:hint="default" w:ascii="Arial" w:hAnsi="Arial" w:eastAsia="宋体" w:cs="Arial"/>
          <w:sz w:val="24"/>
          <w:szCs w:val="24"/>
          <w:lang w:val="en-US" w:eastAsia="zh-CN"/>
        </w:rPr>
        <w:t>10</w:t>
      </w:r>
      <w:r>
        <w:rPr>
          <w:rFonts w:hint="default" w:ascii="Arial" w:hAnsi="Arial" w:eastAsia="宋体" w:cs="Arial"/>
          <w:sz w:val="24"/>
          <w:szCs w:val="24"/>
        </w:rPr>
        <w:t>m</w:t>
      </w:r>
      <w:r>
        <w:rPr>
          <w:rFonts w:hint="default" w:ascii="Arial" w:hAnsi="Arial" w:eastAsia="宋体" w:cs="Arial"/>
          <w:sz w:val="24"/>
          <w:szCs w:val="24"/>
          <w:vertAlign w:val="superscript"/>
        </w:rPr>
        <w:t>2</w:t>
      </w:r>
      <w:r>
        <w:rPr>
          <w:rFonts w:hint="default" w:ascii="Arial" w:hAnsi="Arial" w:eastAsia="宋体" w:cs="Arial"/>
          <w:sz w:val="24"/>
          <w:szCs w:val="24"/>
        </w:rPr>
        <w:t>，危废库独立隔间，暂存库及生产车间均采用水泥硬化、环氧树脂地坪铺设，距离周边敏感目标较远</w:t>
      </w:r>
      <w:r>
        <w:rPr>
          <w:rFonts w:hint="default" w:ascii="Arial" w:hAnsi="Arial" w:eastAsia="宋体" w:cs="Arial"/>
          <w:sz w:val="24"/>
          <w:szCs w:val="24"/>
          <w:lang w:eastAsia="zh-CN"/>
        </w:rPr>
        <w:t>。</w:t>
      </w:r>
      <w:r>
        <w:rPr>
          <w:rFonts w:hint="default" w:ascii="Arial" w:hAnsi="Arial" w:eastAsia="宋体" w:cs="Arial"/>
          <w:sz w:val="24"/>
          <w:szCs w:val="24"/>
        </w:rPr>
        <w:t>项目危险废物暂存不会对周围环境产生不良影响。</w:t>
      </w:r>
    </w:p>
    <w:p w14:paraId="2019CFD0">
      <w:pPr>
        <w:keepNext w:val="0"/>
        <w:keepLines w:val="0"/>
        <w:pageBreakBefore w:val="0"/>
        <w:widowControl w:val="0"/>
        <w:kinsoku/>
        <w:wordWrap/>
        <w:overflowPunct/>
        <w:topLinePunct w:val="0"/>
        <w:autoSpaceDE/>
        <w:autoSpaceDN/>
        <w:bidi w:val="0"/>
        <w:adjustRightIn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（2）本项目</w:t>
      </w:r>
      <w:r>
        <w:rPr>
          <w:rFonts w:hint="default" w:ascii="Arial" w:hAnsi="Arial" w:eastAsia="宋体" w:cs="Arial"/>
          <w:sz w:val="24"/>
          <w:szCs w:val="24"/>
          <w:lang w:val="en-US" w:eastAsia="zh-CN"/>
        </w:rPr>
        <w:t>废含油金属屑、废切削液、</w:t>
      </w:r>
      <w:r>
        <w:rPr>
          <w:rFonts w:hint="default" w:ascii="Arial" w:hAnsi="Arial" w:eastAsia="宋体" w:cs="Arial"/>
          <w:sz w:val="24"/>
          <w:szCs w:val="24"/>
        </w:rPr>
        <w:t>废化学品包装等的占用建设面积情况及分类储存情况见表4-</w:t>
      </w:r>
      <w:r>
        <w:rPr>
          <w:rFonts w:hint="eastAsia" w:ascii="Arial" w:hAnsi="Arial" w:eastAsia="宋体" w:cs="Arial"/>
          <w:sz w:val="24"/>
          <w:szCs w:val="24"/>
          <w:lang w:val="en-US" w:eastAsia="zh-CN"/>
        </w:rPr>
        <w:t>23</w:t>
      </w:r>
      <w:r>
        <w:rPr>
          <w:rFonts w:hint="default" w:ascii="Arial" w:hAnsi="Arial" w:eastAsia="宋体" w:cs="Arial"/>
          <w:sz w:val="24"/>
          <w:szCs w:val="24"/>
        </w:rPr>
        <w:t>。</w:t>
      </w:r>
    </w:p>
    <w:p w14:paraId="55B989AC">
      <w:pPr>
        <w:pStyle w:val="2"/>
        <w:rPr>
          <w:rFonts w:hint="default" w:ascii="Arial" w:hAnsi="Arial" w:eastAsia="宋体" w:cs="Arial"/>
          <w:sz w:val="24"/>
          <w:szCs w:val="24"/>
        </w:rPr>
      </w:pPr>
    </w:p>
    <w:p w14:paraId="50EC8D69">
      <w:pPr>
        <w:pStyle w:val="2"/>
        <w:rPr>
          <w:rFonts w:hint="default" w:ascii="Arial" w:hAnsi="Arial" w:eastAsia="宋体" w:cs="Arial"/>
          <w:sz w:val="24"/>
          <w:szCs w:val="24"/>
        </w:rPr>
      </w:pPr>
    </w:p>
    <w:p w14:paraId="7C239624">
      <w:pPr>
        <w:pStyle w:val="2"/>
        <w:rPr>
          <w:rFonts w:hint="default" w:ascii="Arial" w:hAnsi="Arial" w:eastAsia="宋体" w:cs="Arial"/>
          <w:sz w:val="24"/>
          <w:szCs w:val="24"/>
        </w:rPr>
      </w:pPr>
    </w:p>
    <w:p w14:paraId="2855E7A3">
      <w:pPr>
        <w:pStyle w:val="2"/>
        <w:rPr>
          <w:rFonts w:hint="default" w:ascii="Arial" w:hAnsi="Arial" w:eastAsia="宋体" w:cs="Arial"/>
          <w:sz w:val="24"/>
          <w:szCs w:val="24"/>
        </w:rPr>
      </w:pPr>
    </w:p>
    <w:p w14:paraId="2200947B">
      <w:pPr>
        <w:pStyle w:val="2"/>
        <w:rPr>
          <w:rFonts w:hint="default" w:ascii="Arial" w:hAnsi="Arial" w:eastAsia="宋体" w:cs="Arial"/>
          <w:sz w:val="24"/>
          <w:szCs w:val="24"/>
        </w:rPr>
      </w:pPr>
    </w:p>
    <w:p w14:paraId="7CF48517">
      <w:pPr>
        <w:pStyle w:val="2"/>
        <w:rPr>
          <w:rFonts w:hint="default" w:ascii="Arial" w:hAnsi="Arial" w:eastAsia="宋体" w:cs="Arial"/>
          <w:sz w:val="24"/>
          <w:szCs w:val="24"/>
        </w:rPr>
      </w:pPr>
    </w:p>
    <w:p w14:paraId="31DAA42D">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本项目危险废物贮存情况</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913"/>
        <w:gridCol w:w="1236"/>
        <w:gridCol w:w="970"/>
        <w:gridCol w:w="1139"/>
        <w:gridCol w:w="962"/>
        <w:gridCol w:w="701"/>
        <w:gridCol w:w="703"/>
        <w:gridCol w:w="750"/>
      </w:tblGrid>
      <w:tr w14:paraId="2CC4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63" w:type="dxa"/>
            <w:vAlign w:val="center"/>
          </w:tcPr>
          <w:p w14:paraId="2B24100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序号</w:t>
            </w:r>
          </w:p>
        </w:tc>
        <w:tc>
          <w:tcPr>
            <w:tcW w:w="913" w:type="dxa"/>
            <w:vAlign w:val="center"/>
          </w:tcPr>
          <w:p w14:paraId="1FD8C7FD">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贮存场所名称</w:t>
            </w:r>
          </w:p>
        </w:tc>
        <w:tc>
          <w:tcPr>
            <w:tcW w:w="1236" w:type="dxa"/>
            <w:vAlign w:val="center"/>
          </w:tcPr>
          <w:p w14:paraId="6F8D954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危险废物名称</w:t>
            </w:r>
          </w:p>
        </w:tc>
        <w:tc>
          <w:tcPr>
            <w:tcW w:w="970" w:type="dxa"/>
            <w:vAlign w:val="center"/>
          </w:tcPr>
          <w:p w14:paraId="1F4280D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危险废物类别</w:t>
            </w:r>
          </w:p>
        </w:tc>
        <w:tc>
          <w:tcPr>
            <w:tcW w:w="1139" w:type="dxa"/>
            <w:vAlign w:val="center"/>
          </w:tcPr>
          <w:p w14:paraId="62B6D55F">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危险废物代码</w:t>
            </w:r>
          </w:p>
        </w:tc>
        <w:tc>
          <w:tcPr>
            <w:tcW w:w="962" w:type="dxa"/>
            <w:vAlign w:val="center"/>
          </w:tcPr>
          <w:p w14:paraId="24B61DDA">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占用面积（m2）</w:t>
            </w:r>
          </w:p>
        </w:tc>
        <w:tc>
          <w:tcPr>
            <w:tcW w:w="701" w:type="dxa"/>
            <w:vAlign w:val="center"/>
          </w:tcPr>
          <w:p w14:paraId="0A39B37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贮存方式</w:t>
            </w:r>
          </w:p>
        </w:tc>
        <w:tc>
          <w:tcPr>
            <w:tcW w:w="703" w:type="dxa"/>
            <w:vAlign w:val="center"/>
          </w:tcPr>
          <w:p w14:paraId="43884CC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贮存能力（t）</w:t>
            </w:r>
          </w:p>
        </w:tc>
        <w:tc>
          <w:tcPr>
            <w:tcW w:w="750" w:type="dxa"/>
            <w:vAlign w:val="center"/>
          </w:tcPr>
          <w:p w14:paraId="60C2EF83">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贮存周期</w:t>
            </w:r>
          </w:p>
        </w:tc>
      </w:tr>
      <w:tr w14:paraId="3B8B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3" w:type="dxa"/>
            <w:vAlign w:val="center"/>
          </w:tcPr>
          <w:p w14:paraId="15D2D42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1</w:t>
            </w:r>
          </w:p>
        </w:tc>
        <w:tc>
          <w:tcPr>
            <w:tcW w:w="913" w:type="dxa"/>
            <w:vMerge w:val="restart"/>
            <w:shd w:val="clear" w:color="auto" w:fill="auto"/>
            <w:vAlign w:val="center"/>
          </w:tcPr>
          <w:p w14:paraId="1AAF73F2">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危废仓库暂存</w:t>
            </w:r>
          </w:p>
        </w:tc>
        <w:tc>
          <w:tcPr>
            <w:tcW w:w="1236" w:type="dxa"/>
            <w:shd w:val="clear" w:color="auto" w:fill="auto"/>
            <w:vAlign w:val="center"/>
          </w:tcPr>
          <w:p w14:paraId="792328E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废含油金属屑</w:t>
            </w:r>
          </w:p>
        </w:tc>
        <w:tc>
          <w:tcPr>
            <w:tcW w:w="970" w:type="dxa"/>
            <w:shd w:val="clear" w:color="auto" w:fill="auto"/>
            <w:vAlign w:val="center"/>
          </w:tcPr>
          <w:p w14:paraId="7296160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HW09</w:t>
            </w:r>
          </w:p>
        </w:tc>
        <w:tc>
          <w:tcPr>
            <w:tcW w:w="1139" w:type="dxa"/>
            <w:shd w:val="clear" w:color="auto" w:fill="auto"/>
            <w:vAlign w:val="center"/>
          </w:tcPr>
          <w:p w14:paraId="73F97E7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900-006-09</w:t>
            </w:r>
          </w:p>
        </w:tc>
        <w:tc>
          <w:tcPr>
            <w:tcW w:w="962" w:type="dxa"/>
            <w:vAlign w:val="center"/>
          </w:tcPr>
          <w:p w14:paraId="0742907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2.5</w:t>
            </w:r>
          </w:p>
        </w:tc>
        <w:tc>
          <w:tcPr>
            <w:tcW w:w="701" w:type="dxa"/>
            <w:vAlign w:val="center"/>
          </w:tcPr>
          <w:p w14:paraId="61215F27">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密封袋</w:t>
            </w:r>
          </w:p>
        </w:tc>
        <w:tc>
          <w:tcPr>
            <w:tcW w:w="703" w:type="dxa"/>
            <w:vAlign w:val="center"/>
          </w:tcPr>
          <w:p w14:paraId="6AB091BB">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4</w:t>
            </w:r>
          </w:p>
        </w:tc>
        <w:tc>
          <w:tcPr>
            <w:tcW w:w="750" w:type="dxa"/>
            <w:vAlign w:val="center"/>
          </w:tcPr>
          <w:p w14:paraId="51A9ED1B">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半年</w:t>
            </w:r>
          </w:p>
        </w:tc>
      </w:tr>
      <w:tr w14:paraId="245D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3" w:type="dxa"/>
            <w:vAlign w:val="center"/>
          </w:tcPr>
          <w:p w14:paraId="05AFEF1C">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r>
              <w:rPr>
                <w:rFonts w:hint="default" w:ascii="Arial" w:hAnsi="Arial" w:eastAsia="宋体" w:cs="Arial"/>
                <w:bCs/>
                <w:sz w:val="21"/>
                <w:szCs w:val="21"/>
              </w:rPr>
              <w:t>2</w:t>
            </w:r>
          </w:p>
        </w:tc>
        <w:tc>
          <w:tcPr>
            <w:tcW w:w="913" w:type="dxa"/>
            <w:vMerge w:val="continue"/>
            <w:shd w:val="clear" w:color="auto" w:fill="auto"/>
            <w:vAlign w:val="center"/>
          </w:tcPr>
          <w:p w14:paraId="32A2A9B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p>
        </w:tc>
        <w:tc>
          <w:tcPr>
            <w:tcW w:w="1236" w:type="dxa"/>
            <w:shd w:val="clear" w:color="auto" w:fill="auto"/>
            <w:vAlign w:val="center"/>
          </w:tcPr>
          <w:p w14:paraId="55A52B88">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废切削液</w:t>
            </w:r>
          </w:p>
        </w:tc>
        <w:tc>
          <w:tcPr>
            <w:tcW w:w="970" w:type="dxa"/>
            <w:shd w:val="clear" w:color="auto" w:fill="auto"/>
            <w:vAlign w:val="center"/>
          </w:tcPr>
          <w:p w14:paraId="42D6C182">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HW09</w:t>
            </w:r>
          </w:p>
        </w:tc>
        <w:tc>
          <w:tcPr>
            <w:tcW w:w="1139" w:type="dxa"/>
            <w:shd w:val="clear" w:color="auto" w:fill="auto"/>
            <w:vAlign w:val="center"/>
          </w:tcPr>
          <w:p w14:paraId="559C2D9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900-006-09</w:t>
            </w:r>
          </w:p>
        </w:tc>
        <w:tc>
          <w:tcPr>
            <w:tcW w:w="962" w:type="dxa"/>
            <w:shd w:val="clear" w:color="auto" w:fill="auto"/>
            <w:vAlign w:val="center"/>
          </w:tcPr>
          <w:p w14:paraId="6DA9C06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2</w:t>
            </w:r>
          </w:p>
        </w:tc>
        <w:tc>
          <w:tcPr>
            <w:tcW w:w="701" w:type="dxa"/>
            <w:shd w:val="clear" w:color="auto" w:fill="auto"/>
            <w:vAlign w:val="center"/>
          </w:tcPr>
          <w:p w14:paraId="7CB2414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密封桶</w:t>
            </w:r>
          </w:p>
        </w:tc>
        <w:tc>
          <w:tcPr>
            <w:tcW w:w="703" w:type="dxa"/>
            <w:shd w:val="clear" w:color="auto" w:fill="auto"/>
            <w:vAlign w:val="center"/>
          </w:tcPr>
          <w:p w14:paraId="3B46BC14">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1.5</w:t>
            </w:r>
          </w:p>
        </w:tc>
        <w:tc>
          <w:tcPr>
            <w:tcW w:w="750" w:type="dxa"/>
            <w:shd w:val="clear" w:color="auto" w:fill="auto"/>
            <w:vAlign w:val="center"/>
          </w:tcPr>
          <w:p w14:paraId="40EBEF1E">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半年</w:t>
            </w:r>
          </w:p>
        </w:tc>
      </w:tr>
      <w:tr w14:paraId="3F68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3" w:type="dxa"/>
            <w:vAlign w:val="center"/>
          </w:tcPr>
          <w:p w14:paraId="2E4C2C3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3</w:t>
            </w:r>
          </w:p>
        </w:tc>
        <w:tc>
          <w:tcPr>
            <w:tcW w:w="913" w:type="dxa"/>
            <w:vMerge w:val="continue"/>
            <w:vAlign w:val="center"/>
          </w:tcPr>
          <w:p w14:paraId="13DC5DC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p>
        </w:tc>
        <w:tc>
          <w:tcPr>
            <w:tcW w:w="1236" w:type="dxa"/>
            <w:shd w:val="clear" w:color="auto" w:fill="auto"/>
            <w:vAlign w:val="center"/>
          </w:tcPr>
          <w:p w14:paraId="35F8CDFC">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废化学品包装</w:t>
            </w:r>
          </w:p>
        </w:tc>
        <w:tc>
          <w:tcPr>
            <w:tcW w:w="970" w:type="dxa"/>
            <w:shd w:val="clear" w:color="auto" w:fill="auto"/>
            <w:vAlign w:val="center"/>
          </w:tcPr>
          <w:p w14:paraId="4961208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HW49</w:t>
            </w:r>
          </w:p>
        </w:tc>
        <w:tc>
          <w:tcPr>
            <w:tcW w:w="1139" w:type="dxa"/>
            <w:shd w:val="clear" w:color="auto" w:fill="auto"/>
            <w:vAlign w:val="center"/>
          </w:tcPr>
          <w:p w14:paraId="720214E3">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900-041-49</w:t>
            </w:r>
          </w:p>
        </w:tc>
        <w:tc>
          <w:tcPr>
            <w:tcW w:w="962" w:type="dxa"/>
            <w:vAlign w:val="center"/>
          </w:tcPr>
          <w:p w14:paraId="40762F5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0.2</w:t>
            </w:r>
          </w:p>
        </w:tc>
        <w:tc>
          <w:tcPr>
            <w:tcW w:w="701" w:type="dxa"/>
            <w:vAlign w:val="center"/>
          </w:tcPr>
          <w:p w14:paraId="36F6788D">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密封桶</w:t>
            </w:r>
          </w:p>
        </w:tc>
        <w:tc>
          <w:tcPr>
            <w:tcW w:w="703" w:type="dxa"/>
            <w:vAlign w:val="center"/>
          </w:tcPr>
          <w:p w14:paraId="30D271ED">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0.2</w:t>
            </w:r>
          </w:p>
        </w:tc>
        <w:tc>
          <w:tcPr>
            <w:tcW w:w="750" w:type="dxa"/>
            <w:vAlign w:val="center"/>
          </w:tcPr>
          <w:p w14:paraId="4037E94F">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年</w:t>
            </w:r>
          </w:p>
        </w:tc>
      </w:tr>
      <w:tr w14:paraId="1DFD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3" w:type="dxa"/>
            <w:vAlign w:val="center"/>
          </w:tcPr>
          <w:p w14:paraId="2837B449">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4</w:t>
            </w:r>
          </w:p>
        </w:tc>
        <w:tc>
          <w:tcPr>
            <w:tcW w:w="913" w:type="dxa"/>
            <w:vMerge w:val="continue"/>
            <w:vAlign w:val="center"/>
          </w:tcPr>
          <w:p w14:paraId="7F1CE433">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rPr>
            </w:pPr>
          </w:p>
        </w:tc>
        <w:tc>
          <w:tcPr>
            <w:tcW w:w="1236" w:type="dxa"/>
            <w:shd w:val="clear" w:color="auto" w:fill="auto"/>
            <w:vAlign w:val="center"/>
          </w:tcPr>
          <w:p w14:paraId="4117901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eastAsia" w:ascii="Arial" w:hAnsi="Arial" w:eastAsia="宋体" w:cs="Arial"/>
                <w:bCs/>
                <w:sz w:val="21"/>
                <w:szCs w:val="21"/>
                <w:lang w:val="en-US" w:eastAsia="zh-CN"/>
              </w:rPr>
              <w:t>清洗废液</w:t>
            </w:r>
          </w:p>
        </w:tc>
        <w:tc>
          <w:tcPr>
            <w:tcW w:w="970" w:type="dxa"/>
            <w:shd w:val="clear" w:color="auto" w:fill="auto"/>
            <w:vAlign w:val="center"/>
          </w:tcPr>
          <w:p w14:paraId="600FAAB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HW17</w:t>
            </w:r>
          </w:p>
        </w:tc>
        <w:tc>
          <w:tcPr>
            <w:tcW w:w="1139" w:type="dxa"/>
            <w:shd w:val="clear" w:color="auto" w:fill="auto"/>
            <w:vAlign w:val="center"/>
          </w:tcPr>
          <w:p w14:paraId="77BF5A4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900-007-09</w:t>
            </w:r>
          </w:p>
        </w:tc>
        <w:tc>
          <w:tcPr>
            <w:tcW w:w="962" w:type="dxa"/>
            <w:vAlign w:val="center"/>
          </w:tcPr>
          <w:p w14:paraId="3DB1D0F6">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3</w:t>
            </w:r>
          </w:p>
        </w:tc>
        <w:tc>
          <w:tcPr>
            <w:tcW w:w="701" w:type="dxa"/>
            <w:vAlign w:val="center"/>
          </w:tcPr>
          <w:p w14:paraId="0653750B">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rPr>
              <w:t>密封桶</w:t>
            </w:r>
          </w:p>
        </w:tc>
        <w:tc>
          <w:tcPr>
            <w:tcW w:w="703" w:type="dxa"/>
            <w:vAlign w:val="center"/>
          </w:tcPr>
          <w:p w14:paraId="0BCC8E81">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3</w:t>
            </w:r>
          </w:p>
        </w:tc>
        <w:tc>
          <w:tcPr>
            <w:tcW w:w="750" w:type="dxa"/>
            <w:vAlign w:val="center"/>
          </w:tcPr>
          <w:p w14:paraId="11485890">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三个月</w:t>
            </w:r>
          </w:p>
        </w:tc>
      </w:tr>
      <w:tr w14:paraId="374B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821" w:type="dxa"/>
            <w:gridSpan w:val="5"/>
            <w:vAlign w:val="center"/>
          </w:tcPr>
          <w:p w14:paraId="0CDF595A">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合计</w:t>
            </w:r>
          </w:p>
        </w:tc>
        <w:tc>
          <w:tcPr>
            <w:tcW w:w="962" w:type="dxa"/>
            <w:shd w:val="clear" w:color="auto" w:fill="auto"/>
            <w:vAlign w:val="center"/>
          </w:tcPr>
          <w:p w14:paraId="203455BD">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7.7</w:t>
            </w:r>
          </w:p>
        </w:tc>
        <w:tc>
          <w:tcPr>
            <w:tcW w:w="701" w:type="dxa"/>
            <w:shd w:val="clear" w:color="auto" w:fill="auto"/>
            <w:vAlign w:val="center"/>
          </w:tcPr>
          <w:p w14:paraId="2490F59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w:t>
            </w:r>
          </w:p>
        </w:tc>
        <w:tc>
          <w:tcPr>
            <w:tcW w:w="703" w:type="dxa"/>
            <w:shd w:val="clear" w:color="auto" w:fill="auto"/>
            <w:vAlign w:val="center"/>
          </w:tcPr>
          <w:p w14:paraId="4467E6C5">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8.7</w:t>
            </w:r>
          </w:p>
        </w:tc>
        <w:tc>
          <w:tcPr>
            <w:tcW w:w="750" w:type="dxa"/>
            <w:shd w:val="clear" w:color="auto" w:fill="auto"/>
            <w:vAlign w:val="center"/>
          </w:tcPr>
          <w:p w14:paraId="2B2D5802">
            <w:pPr>
              <w:keepNext w:val="0"/>
              <w:keepLines w:val="0"/>
              <w:suppressLineNumbers w:val="0"/>
              <w:spacing w:before="0" w:beforeAutospacing="0" w:after="0" w:afterAutospacing="0"/>
              <w:ind w:left="0" w:leftChars="0" w:right="0" w:rightChars="0"/>
              <w:jc w:val="center"/>
              <w:rPr>
                <w:rFonts w:hint="default" w:ascii="Arial" w:hAnsi="Arial" w:eastAsia="宋体" w:cs="Arial"/>
                <w:bCs/>
                <w:sz w:val="21"/>
                <w:szCs w:val="21"/>
                <w:lang w:val="en-US" w:eastAsia="zh-CN"/>
              </w:rPr>
            </w:pPr>
            <w:r>
              <w:rPr>
                <w:rFonts w:hint="default" w:ascii="Arial" w:hAnsi="Arial" w:eastAsia="宋体" w:cs="Arial"/>
                <w:bCs/>
                <w:sz w:val="21"/>
                <w:szCs w:val="21"/>
                <w:lang w:val="en-US" w:eastAsia="zh-CN"/>
              </w:rPr>
              <w:t>/</w:t>
            </w:r>
          </w:p>
        </w:tc>
      </w:tr>
    </w:tbl>
    <w:p w14:paraId="64EE8E8B">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lang w:val="en-US" w:eastAsia="zh-CN"/>
        </w:rPr>
      </w:pPr>
      <w:r>
        <w:rPr>
          <w:rFonts w:hint="default" w:ascii="Arial" w:hAnsi="Arial" w:eastAsia="宋体" w:cs="Arial"/>
          <w:sz w:val="24"/>
          <w:szCs w:val="24"/>
        </w:rPr>
        <w:t>根据估算本项目</w:t>
      </w:r>
      <w:r>
        <w:rPr>
          <w:rFonts w:hint="default" w:ascii="Arial" w:hAnsi="Arial" w:eastAsia="宋体" w:cs="Arial"/>
          <w:sz w:val="24"/>
          <w:szCs w:val="24"/>
          <w:lang w:val="en-US" w:eastAsia="zh-CN"/>
        </w:rPr>
        <w:t>在危废暂存库暂存的</w:t>
      </w:r>
      <w:r>
        <w:rPr>
          <w:rFonts w:hint="default" w:ascii="Arial" w:hAnsi="Arial" w:eastAsia="宋体" w:cs="Arial"/>
          <w:sz w:val="24"/>
          <w:szCs w:val="24"/>
        </w:rPr>
        <w:t>危险废物所需占用建筑面积约</w:t>
      </w:r>
      <w:r>
        <w:rPr>
          <w:rFonts w:hint="default" w:ascii="Arial" w:hAnsi="Arial" w:eastAsia="宋体" w:cs="Arial"/>
          <w:sz w:val="24"/>
          <w:szCs w:val="24"/>
          <w:lang w:val="en-US" w:eastAsia="zh-CN"/>
        </w:rPr>
        <w:t>7.7</w:t>
      </w:r>
      <w:r>
        <w:rPr>
          <w:rFonts w:hint="default" w:ascii="Arial" w:hAnsi="Arial" w:eastAsia="宋体" w:cs="Arial"/>
          <w:sz w:val="24"/>
          <w:szCs w:val="24"/>
        </w:rPr>
        <w:t>m</w:t>
      </w:r>
      <w:r>
        <w:rPr>
          <w:rFonts w:hint="default" w:ascii="Arial" w:hAnsi="Arial" w:eastAsia="宋体" w:cs="Arial"/>
          <w:sz w:val="24"/>
          <w:szCs w:val="24"/>
          <w:vertAlign w:val="superscript"/>
        </w:rPr>
        <w:t>2</w:t>
      </w:r>
      <w:r>
        <w:rPr>
          <w:rFonts w:hint="default" w:ascii="Arial" w:hAnsi="Arial" w:eastAsia="宋体" w:cs="Arial"/>
          <w:sz w:val="24"/>
          <w:szCs w:val="24"/>
        </w:rPr>
        <w:t>，企业</w:t>
      </w:r>
      <w:r>
        <w:rPr>
          <w:rFonts w:hint="default" w:ascii="Arial" w:hAnsi="Arial" w:eastAsia="宋体" w:cs="Arial"/>
          <w:sz w:val="24"/>
          <w:szCs w:val="24"/>
          <w:lang w:val="en-US" w:eastAsia="zh-CN"/>
        </w:rPr>
        <w:t>拟建</w:t>
      </w:r>
      <w:r>
        <w:rPr>
          <w:rFonts w:hint="default" w:ascii="Arial" w:hAnsi="Arial" w:eastAsia="宋体" w:cs="Arial"/>
          <w:sz w:val="24"/>
          <w:szCs w:val="24"/>
        </w:rPr>
        <w:t>危废仓库</w:t>
      </w:r>
      <w:r>
        <w:rPr>
          <w:rFonts w:hint="default" w:ascii="Arial" w:hAnsi="Arial" w:eastAsia="宋体" w:cs="Arial"/>
          <w:sz w:val="24"/>
          <w:szCs w:val="24"/>
          <w:lang w:val="en-US" w:eastAsia="zh-CN"/>
        </w:rPr>
        <w:t>面积</w:t>
      </w:r>
      <w:r>
        <w:rPr>
          <w:rFonts w:hint="default" w:ascii="Arial" w:hAnsi="Arial" w:eastAsia="宋体" w:cs="Arial"/>
          <w:sz w:val="24"/>
          <w:szCs w:val="24"/>
        </w:rPr>
        <w:t>约1</w:t>
      </w:r>
      <w:r>
        <w:rPr>
          <w:rFonts w:hint="default" w:ascii="Arial" w:hAnsi="Arial" w:eastAsia="宋体" w:cs="Arial"/>
          <w:sz w:val="24"/>
          <w:szCs w:val="24"/>
          <w:lang w:val="en-US" w:eastAsia="zh-CN"/>
        </w:rPr>
        <w:t>0</w:t>
      </w:r>
      <w:r>
        <w:rPr>
          <w:rFonts w:hint="default" w:ascii="Arial" w:hAnsi="Arial" w:eastAsia="宋体" w:cs="Arial"/>
          <w:sz w:val="24"/>
          <w:szCs w:val="24"/>
        </w:rPr>
        <w:t>m</w:t>
      </w:r>
      <w:r>
        <w:rPr>
          <w:rFonts w:hint="default" w:ascii="Arial" w:hAnsi="Arial" w:eastAsia="宋体" w:cs="Arial"/>
          <w:sz w:val="24"/>
          <w:szCs w:val="24"/>
          <w:vertAlign w:val="superscript"/>
        </w:rPr>
        <w:t>2</w:t>
      </w:r>
      <w:r>
        <w:rPr>
          <w:rFonts w:hint="default" w:ascii="Arial" w:hAnsi="Arial" w:eastAsia="宋体" w:cs="Arial"/>
          <w:sz w:val="24"/>
          <w:szCs w:val="24"/>
        </w:rPr>
        <w:t>，能满足危险废物暂存的要求。</w:t>
      </w:r>
    </w:p>
    <w:p w14:paraId="3A70627F">
      <w:pPr>
        <w:keepNext w:val="0"/>
        <w:keepLines w:val="0"/>
        <w:pageBreakBefore w:val="0"/>
        <w:widowControl w:val="0"/>
        <w:numPr>
          <w:ilvl w:val="0"/>
          <w:numId w:val="11"/>
        </w:numPr>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本项目暂存的</w:t>
      </w:r>
      <w:r>
        <w:rPr>
          <w:rFonts w:hint="default" w:ascii="Arial" w:hAnsi="Arial" w:eastAsia="宋体" w:cs="Arial"/>
          <w:sz w:val="24"/>
          <w:szCs w:val="24"/>
          <w:lang w:val="en-US" w:eastAsia="zh-CN"/>
        </w:rPr>
        <w:t>废含油金属屑</w:t>
      </w:r>
      <w:r>
        <w:rPr>
          <w:rFonts w:hint="default" w:ascii="Arial" w:hAnsi="Arial" w:eastAsia="宋体" w:cs="Arial"/>
          <w:sz w:val="24"/>
          <w:szCs w:val="24"/>
        </w:rPr>
        <w:t>、废</w:t>
      </w:r>
      <w:r>
        <w:rPr>
          <w:rFonts w:hint="default" w:ascii="Arial" w:hAnsi="Arial" w:eastAsia="宋体" w:cs="Arial"/>
          <w:sz w:val="24"/>
          <w:szCs w:val="24"/>
          <w:lang w:val="en-US" w:eastAsia="zh-CN"/>
        </w:rPr>
        <w:t>化学品</w:t>
      </w:r>
      <w:r>
        <w:rPr>
          <w:rFonts w:hint="default" w:ascii="Arial" w:hAnsi="Arial" w:eastAsia="宋体" w:cs="Arial"/>
          <w:sz w:val="24"/>
          <w:szCs w:val="24"/>
        </w:rPr>
        <w:t>包装</w:t>
      </w:r>
      <w:r>
        <w:rPr>
          <w:rFonts w:hint="default" w:ascii="Arial" w:hAnsi="Arial" w:eastAsia="宋体" w:cs="Arial"/>
          <w:sz w:val="24"/>
          <w:szCs w:val="24"/>
          <w:lang w:val="en-US" w:eastAsia="zh-CN"/>
        </w:rPr>
        <w:t>、废切削液、</w:t>
      </w:r>
      <w:r>
        <w:rPr>
          <w:rFonts w:hint="eastAsia" w:ascii="Arial" w:hAnsi="Arial" w:eastAsia="宋体" w:cs="Arial"/>
          <w:sz w:val="24"/>
          <w:szCs w:val="24"/>
          <w:lang w:val="en-US" w:eastAsia="zh-CN"/>
        </w:rPr>
        <w:t>清洗废液</w:t>
      </w:r>
      <w:r>
        <w:rPr>
          <w:rFonts w:hint="default" w:ascii="Arial" w:hAnsi="Arial" w:eastAsia="宋体" w:cs="Arial"/>
          <w:sz w:val="24"/>
          <w:szCs w:val="24"/>
          <w:lang w:val="en-US" w:eastAsia="zh-CN"/>
        </w:rPr>
        <w:t>中的油性物质挥发量极少，</w:t>
      </w:r>
      <w:r>
        <w:rPr>
          <w:rFonts w:hint="default" w:ascii="Arial" w:hAnsi="Arial" w:eastAsia="宋体" w:cs="Arial"/>
          <w:sz w:val="24"/>
          <w:szCs w:val="24"/>
        </w:rPr>
        <w:t>在采用密闭桶</w:t>
      </w:r>
      <w:r>
        <w:rPr>
          <w:rFonts w:hint="default" w:ascii="Arial" w:hAnsi="Arial" w:eastAsia="宋体" w:cs="Arial"/>
          <w:sz w:val="24"/>
          <w:szCs w:val="24"/>
          <w:lang w:eastAsia="zh-CN"/>
        </w:rPr>
        <w:t>、</w:t>
      </w:r>
      <w:r>
        <w:rPr>
          <w:rFonts w:hint="default" w:ascii="Arial" w:hAnsi="Arial" w:eastAsia="宋体" w:cs="Arial"/>
          <w:sz w:val="24"/>
          <w:szCs w:val="24"/>
          <w:lang w:val="en-US" w:eastAsia="zh-CN"/>
        </w:rPr>
        <w:t>密封袋</w:t>
      </w:r>
      <w:r>
        <w:rPr>
          <w:rFonts w:hint="default" w:ascii="Arial" w:hAnsi="Arial" w:eastAsia="宋体" w:cs="Arial"/>
          <w:sz w:val="24"/>
          <w:szCs w:val="24"/>
        </w:rPr>
        <w:t>存放后，不会</w:t>
      </w:r>
      <w:r>
        <w:rPr>
          <w:rFonts w:hint="default" w:ascii="Arial" w:hAnsi="Arial" w:eastAsia="宋体" w:cs="Arial"/>
          <w:sz w:val="24"/>
          <w:szCs w:val="24"/>
          <w:lang w:val="en-US" w:eastAsia="zh-CN"/>
        </w:rPr>
        <w:t>对</w:t>
      </w:r>
      <w:r>
        <w:rPr>
          <w:rFonts w:hint="default" w:ascii="Arial" w:hAnsi="Arial" w:eastAsia="宋体" w:cs="Arial"/>
          <w:sz w:val="24"/>
          <w:szCs w:val="24"/>
        </w:rPr>
        <w:t>周边大气环境产生影响。因此，本项目危废暂存库不需要设置气体收集装置和气体净化设施。</w:t>
      </w:r>
    </w:p>
    <w:p w14:paraId="5D3D7392">
      <w:pPr>
        <w:keepNext w:val="0"/>
        <w:keepLines w:val="0"/>
        <w:pageBreakBefore w:val="0"/>
        <w:widowControl w:val="0"/>
        <w:numPr>
          <w:ilvl w:val="0"/>
          <w:numId w:val="11"/>
        </w:numPr>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建设项目危废暂存库按《危险废物贮存污染控制标准》、《危险废物污染治理技术政策》、《中华人民共和国固体废物污染环境防治法》等的相关要求进行设置，地面按要求进行防腐、防渗处理；日常运行过程中，危险废物采用密闭容器进行包装贮存。建设项目危险废物按要求贮存后，贮存过程不会对环境空气、地表水、地下水、土壤以及环境敏感保护目标产生不良影响。</w:t>
      </w:r>
    </w:p>
    <w:p w14:paraId="22CB5382">
      <w:pPr>
        <w:keepNext w:val="0"/>
        <w:keepLines w:val="0"/>
        <w:pageBreakBefore w:val="0"/>
        <w:widowControl w:val="0"/>
        <w:kinsoku/>
        <w:wordWrap/>
        <w:overflowPunct/>
        <w:topLinePunct w:val="0"/>
        <w:autoSpaceDE/>
        <w:autoSpaceDN/>
        <w:bidi w:val="0"/>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4.2.4.4运输过程的环境影响分析</w:t>
      </w:r>
    </w:p>
    <w:p w14:paraId="65C0EEE5">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sz w:val="24"/>
          <w:szCs w:val="24"/>
        </w:rPr>
        <w:t>建设项目危废暂存</w:t>
      </w:r>
      <w:r>
        <w:rPr>
          <w:rFonts w:hint="default" w:ascii="Arial" w:hAnsi="Arial" w:eastAsia="宋体" w:cs="Arial"/>
          <w:sz w:val="24"/>
          <w:szCs w:val="24"/>
          <w:lang w:val="en-US" w:eastAsia="zh-CN"/>
        </w:rPr>
        <w:t>场所</w:t>
      </w:r>
      <w:r>
        <w:rPr>
          <w:rFonts w:hint="default" w:ascii="Arial" w:hAnsi="Arial" w:eastAsia="宋体" w:cs="Arial"/>
          <w:sz w:val="24"/>
          <w:szCs w:val="24"/>
        </w:rPr>
        <w:t>与产污点距离较近，污染物转移时将利用密闭容器进行封存，只要加</w:t>
      </w:r>
      <w:r>
        <w:rPr>
          <w:rFonts w:hint="default" w:ascii="Arial" w:hAnsi="Arial" w:eastAsia="宋体" w:cs="Arial"/>
          <w:color w:val="000000" w:themeColor="text1"/>
          <w:sz w:val="24"/>
          <w:szCs w:val="24"/>
          <w14:textFill>
            <w14:solidFill>
              <w14:schemeClr w14:val="tx1"/>
            </w14:solidFill>
          </w14:textFill>
        </w:rPr>
        <w:t>强员工规范化作业培训，制定危废管理制度，落实相关责任。正常危废车间内转移过程不会对运输沿线产生不利的环境影响，不会对项目周围环境产生不利影响。</w:t>
      </w:r>
    </w:p>
    <w:p w14:paraId="7300FEE0">
      <w:pPr>
        <w:pStyle w:val="2"/>
        <w:rPr>
          <w:rFonts w:hint="default"/>
        </w:rPr>
      </w:pPr>
    </w:p>
    <w:p w14:paraId="78A4C856">
      <w:pPr>
        <w:keepNext w:val="0"/>
        <w:keepLines w:val="0"/>
        <w:pageBreakBefore w:val="0"/>
        <w:widowControl w:val="0"/>
        <w:kinsoku/>
        <w:wordWrap/>
        <w:overflowPunct/>
        <w:topLinePunct w:val="0"/>
        <w:autoSpaceDE/>
        <w:autoSpaceDN/>
        <w:bidi w:val="0"/>
        <w:spacing w:line="360" w:lineRule="auto"/>
        <w:ind w:left="105" w:leftChars="50"/>
        <w:textAlignment w:val="auto"/>
        <w:outlineLvl w:val="3"/>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4.2.4.5委托利用或者处置的环境影响分析</w:t>
      </w:r>
    </w:p>
    <w:p w14:paraId="0CAFEE04">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项目</w:t>
      </w:r>
      <w:r>
        <w:rPr>
          <w:rFonts w:hint="default" w:ascii="Arial" w:hAnsi="Arial" w:eastAsia="宋体" w:cs="Arial"/>
          <w:color w:val="000000" w:themeColor="text1"/>
          <w:sz w:val="24"/>
          <w:szCs w:val="24"/>
          <w:lang w:val="en-US" w:eastAsia="zh-CN"/>
          <w14:textFill>
            <w14:solidFill>
              <w14:schemeClr w14:val="tx1"/>
            </w14:solidFill>
          </w14:textFill>
        </w:rPr>
        <w:t>产生的</w:t>
      </w:r>
      <w:r>
        <w:rPr>
          <w:rFonts w:hint="default" w:ascii="Arial" w:hAnsi="Arial" w:eastAsia="宋体" w:cs="Arial"/>
          <w:color w:val="000000" w:themeColor="text1"/>
          <w:sz w:val="24"/>
          <w:szCs w:val="24"/>
          <w14:textFill>
            <w14:solidFill>
              <w14:schemeClr w14:val="tx1"/>
            </w14:solidFill>
          </w14:textFill>
        </w:rPr>
        <w:t>危险废物委托有资质单位进行处置。</w:t>
      </w:r>
      <w:r>
        <w:rPr>
          <w:rFonts w:hint="default" w:ascii="Arial" w:hAnsi="Arial" w:eastAsia="宋体" w:cs="Arial"/>
          <w:color w:val="000000" w:themeColor="text1"/>
          <w:sz w:val="24"/>
          <w:szCs w:val="24"/>
          <w:lang w:val="en-US" w:eastAsia="zh-CN"/>
          <w14:textFill>
            <w14:solidFill>
              <w14:schemeClr w14:val="tx1"/>
            </w14:solidFill>
          </w14:textFill>
        </w:rPr>
        <w:t>企业应与有相应类别的危废处理资质的单位签订危险废物的委托处理协议，定期委托处理。</w:t>
      </w:r>
    </w:p>
    <w:p w14:paraId="12E9BB28">
      <w:pPr>
        <w:keepNext w:val="0"/>
        <w:keepLines w:val="0"/>
        <w:pageBreakBefore w:val="0"/>
        <w:widowControl w:val="0"/>
        <w:kinsoku/>
        <w:wordWrap/>
        <w:overflowPunct/>
        <w:topLinePunct w:val="0"/>
        <w:autoSpaceDE/>
        <w:autoSpaceDN/>
        <w:bidi w:val="0"/>
        <w:spacing w:line="360" w:lineRule="auto"/>
        <w:ind w:left="105" w:leftChars="50"/>
        <w:textAlignment w:val="auto"/>
        <w:outlineLvl w:val="3"/>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4.2.4.6一般固废日常管理要求</w:t>
      </w:r>
    </w:p>
    <w:p w14:paraId="18376279">
      <w:pPr>
        <w:keepNext w:val="0"/>
        <w:keepLines w:val="0"/>
        <w:pageBreakBefore w:val="0"/>
        <w:widowControl w:val="0"/>
        <w:kinsoku/>
        <w:wordWrap/>
        <w:overflowPunct/>
        <w:topLinePunct w:val="0"/>
        <w:autoSpaceDE/>
        <w:autoSpaceDN/>
        <w:bidi w:val="0"/>
        <w:adjustRightInd w:val="0"/>
        <w:snapToGrid w:val="0"/>
        <w:spacing w:line="440" w:lineRule="exact"/>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lang w:eastAsia="zh-CN"/>
          <w14:textFill>
            <w14:solidFill>
              <w14:schemeClr w14:val="tx1"/>
            </w14:solidFill>
          </w14:textFill>
        </w:rPr>
        <w:t>项目</w:t>
      </w:r>
      <w:r>
        <w:rPr>
          <w:rFonts w:hint="default" w:ascii="Arial" w:hAnsi="Arial" w:eastAsia="宋体" w:cs="Arial"/>
          <w:color w:val="000000" w:themeColor="text1"/>
          <w:sz w:val="24"/>
          <w:szCs w:val="24"/>
          <w14:textFill>
            <w14:solidFill>
              <w14:schemeClr w14:val="tx1"/>
            </w14:solidFill>
          </w14:textFill>
        </w:rPr>
        <w:t>应严格按照《一般工业固体废物贮存和填埋污染控制标准》（GB18599-2020）、《中华人民共和国固体废物污染环境防治法》</w:t>
      </w:r>
      <w:r>
        <w:rPr>
          <w:rFonts w:hint="default" w:ascii="Arial" w:hAnsi="Arial" w:eastAsia="宋体" w:cs="Arial"/>
          <w:color w:val="000000" w:themeColor="text1"/>
          <w:sz w:val="24"/>
          <w:szCs w:val="24"/>
          <w:lang w:val="en-US" w:eastAsia="zh-CN"/>
          <w14:textFill>
            <w14:solidFill>
              <w14:schemeClr w14:val="tx1"/>
            </w14:solidFill>
          </w14:textFill>
        </w:rPr>
        <w:t>等</w:t>
      </w:r>
      <w:r>
        <w:rPr>
          <w:rFonts w:hint="default" w:ascii="Arial" w:hAnsi="Arial" w:eastAsia="宋体" w:cs="Arial"/>
          <w:color w:val="000000" w:themeColor="text1"/>
          <w:sz w:val="24"/>
          <w:szCs w:val="24"/>
          <w14:textFill>
            <w14:solidFill>
              <w14:schemeClr w14:val="tx1"/>
            </w14:solidFill>
          </w14:textFill>
        </w:rPr>
        <w:t>有关规定，建设必要的固体废物分类收集和临时贮存设施，具体要求如下：</w:t>
      </w:r>
    </w:p>
    <w:p w14:paraId="042D23EF">
      <w:pPr>
        <w:keepNext w:val="0"/>
        <w:keepLines w:val="0"/>
        <w:pageBreakBefore w:val="0"/>
        <w:widowControl w:val="0"/>
        <w:kinsoku/>
        <w:wordWrap/>
        <w:overflowPunct/>
        <w:topLinePunct w:val="0"/>
        <w:autoSpaceDE/>
        <w:autoSpaceDN/>
        <w:bidi w:val="0"/>
        <w:adjustRightInd w:val="0"/>
        <w:snapToGrid w:val="0"/>
        <w:spacing w:line="440" w:lineRule="exact"/>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①</w:t>
      </w:r>
      <w:r>
        <w:rPr>
          <w:rFonts w:hint="default" w:ascii="Arial" w:hAnsi="Arial" w:eastAsia="宋体" w:cs="Arial"/>
          <w:color w:val="000000" w:themeColor="text1"/>
          <w:sz w:val="24"/>
          <w:szCs w:val="24"/>
          <w14:textFill>
            <w14:solidFill>
              <w14:schemeClr w14:val="tx1"/>
            </w14:solidFill>
          </w14:textFill>
        </w:rPr>
        <w:t>一般工业固体废物应分类收集、储存，不能混存。</w:t>
      </w:r>
    </w:p>
    <w:p w14:paraId="68009979">
      <w:pPr>
        <w:keepNext w:val="0"/>
        <w:keepLines w:val="0"/>
        <w:pageBreakBefore w:val="0"/>
        <w:widowControl w:val="0"/>
        <w:kinsoku/>
        <w:wordWrap/>
        <w:overflowPunct/>
        <w:topLinePunct w:val="0"/>
        <w:autoSpaceDE/>
        <w:autoSpaceDN/>
        <w:bidi w:val="0"/>
        <w:adjustRightInd w:val="0"/>
        <w:snapToGrid w:val="0"/>
        <w:spacing w:line="440" w:lineRule="exact"/>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②</w:t>
      </w:r>
      <w:r>
        <w:rPr>
          <w:rFonts w:hint="default" w:ascii="Arial" w:hAnsi="Arial" w:eastAsia="宋体" w:cs="Arial"/>
          <w:color w:val="000000" w:themeColor="text1"/>
          <w:sz w:val="24"/>
          <w:szCs w:val="24"/>
          <w14:textFill>
            <w14:solidFill>
              <w14:schemeClr w14:val="tx1"/>
            </w14:solidFill>
          </w14:textFill>
        </w:rPr>
        <w:t>一般工业固体废物临时储存地点必须建有天棚，不允许露天堆放，以防雨水冲刷，雨水通过场地四周导流渠流向雨水排放管；临时堆放场地为水泥铺设地面，以防渗漏。</w:t>
      </w:r>
    </w:p>
    <w:p w14:paraId="44BDD5EB">
      <w:pPr>
        <w:keepNext w:val="0"/>
        <w:keepLines w:val="0"/>
        <w:pageBreakBefore w:val="0"/>
        <w:widowControl w:val="0"/>
        <w:kinsoku/>
        <w:wordWrap/>
        <w:overflowPunct/>
        <w:topLinePunct w:val="0"/>
        <w:autoSpaceDE/>
        <w:autoSpaceDN/>
        <w:bidi w:val="0"/>
        <w:adjustRightInd w:val="0"/>
        <w:snapToGrid w:val="0"/>
        <w:spacing w:line="440" w:lineRule="exact"/>
        <w:ind w:left="105" w:leftChars="50" w:firstLine="480" w:firstLineChars="200"/>
        <w:textAlignment w:val="auto"/>
        <w:rPr>
          <w:rFonts w:hint="default" w:ascii="Arial" w:hAnsi="Arial" w:eastAsia="宋体" w:cs="Arial"/>
          <w:sz w:val="24"/>
          <w:szCs w:val="24"/>
        </w:rPr>
      </w:pPr>
      <w:r>
        <w:rPr>
          <w:rFonts w:hint="default" w:ascii="Arial" w:hAnsi="Arial" w:eastAsia="宋体" w:cs="Arial"/>
          <w:color w:val="000000" w:themeColor="text1"/>
          <w:sz w:val="24"/>
          <w:szCs w:val="24"/>
          <w:lang w:val="en-US" w:eastAsia="zh-CN"/>
          <w14:textFill>
            <w14:solidFill>
              <w14:schemeClr w14:val="tx1"/>
            </w14:solidFill>
          </w14:textFill>
        </w:rPr>
        <w:t>③</w:t>
      </w:r>
      <w:r>
        <w:rPr>
          <w:rFonts w:hint="default" w:ascii="Arial" w:hAnsi="Arial" w:eastAsia="宋体" w:cs="Arial"/>
          <w:color w:val="000000" w:themeColor="text1"/>
          <w:sz w:val="24"/>
          <w:szCs w:val="24"/>
          <w14:textFill>
            <w14:solidFill>
              <w14:schemeClr w14:val="tx1"/>
            </w14:solidFill>
          </w14:textFill>
        </w:rPr>
        <w:t>储存场应加强监督管理，按G</w:t>
      </w:r>
      <w:r>
        <w:rPr>
          <w:rFonts w:hint="default" w:ascii="Arial" w:hAnsi="Arial" w:eastAsia="宋体" w:cs="Arial"/>
          <w:sz w:val="24"/>
          <w:szCs w:val="24"/>
        </w:rPr>
        <w:t>B15562.2设置环境保护图形标志。</w:t>
      </w:r>
    </w:p>
    <w:p w14:paraId="2087A05A">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lang w:val="en-US" w:eastAsia="zh-CN"/>
        </w:rPr>
        <w:t>④</w:t>
      </w:r>
      <w:r>
        <w:rPr>
          <w:rFonts w:hint="default" w:ascii="Arial" w:hAnsi="Arial" w:eastAsia="宋体" w:cs="Arial"/>
          <w:sz w:val="24"/>
          <w:szCs w:val="24"/>
        </w:rPr>
        <w:t>建立档案制度，将临时储存的一般工业固体废物的种类、数量和外运的一般工业固体废物的种类、数量详细记录在案，长期保存，供随时查阅。</w:t>
      </w:r>
    </w:p>
    <w:p w14:paraId="0B27965F">
      <w:pPr>
        <w:keepNext w:val="0"/>
        <w:keepLines w:val="0"/>
        <w:pageBreakBefore w:val="0"/>
        <w:widowControl w:val="0"/>
        <w:kinsoku/>
        <w:wordWrap/>
        <w:overflowPunct/>
        <w:topLinePunct w:val="0"/>
        <w:autoSpaceDE/>
        <w:autoSpaceDN/>
        <w:bidi w:val="0"/>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4.2.4.7危险废物日常管理要求</w:t>
      </w:r>
    </w:p>
    <w:p w14:paraId="10D1B381">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要求企业履行申报的登记制度，建立工业危险废物台账管理制度。项目危险废物的产生、贮存、利用及处置去向需在“全国固体废物和化学品管理系统（固体废物管理信息系统）”中进行填报。</w:t>
      </w:r>
    </w:p>
    <w:p w14:paraId="4C58DAD1">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根据《危险废物贮存污染控制标准》（GB18597—2023），危险废物具有长期性、隐蔽性和潜在性，必须从以下几方面加强对危险固废的管理力度。</w:t>
      </w:r>
    </w:p>
    <w:p w14:paraId="7AC11E45">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①先对危险废物的产生源及固废产生量进行申报登记。</w:t>
      </w:r>
    </w:p>
    <w:p w14:paraId="781214E5">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②对危险废物的转移运输要实行《危险废物转移联单管理办法》，实行五联单制度。运输单位、接受单位及当地生态环境部门进行跟踪联单。</w:t>
      </w:r>
    </w:p>
    <w:p w14:paraId="3F7CA81E">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③考虑危险废物难以保证及时外运处置，必须考虑固废临时堆场，危险废物的暂存场必须有按规定设防渗漏等措施，并按《危险废物贮存污染控制标准》（GB 18597—2023）的相关要求落实危险废物的贮存容器。</w:t>
      </w:r>
    </w:p>
    <w:p w14:paraId="559B3558">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rPr>
      </w:pPr>
      <w:r>
        <w:rPr>
          <w:rFonts w:hint="default" w:ascii="Arial" w:hAnsi="Arial" w:eastAsia="宋体" w:cs="Arial"/>
          <w:sz w:val="24"/>
        </w:rPr>
        <w:t>④项目固废处置时，尽可能采用减量化、资源化利用措施。委托处置的应与处置单位签订委托处置合同，报生态环境部门备案。危险废物转移需执行报批和转移联单等制度。各固废在外运处置前，须在厂内安全暂存，确保固废不产生二次污染。</w:t>
      </w:r>
    </w:p>
    <w:p w14:paraId="27769028">
      <w:pPr>
        <w:keepNext w:val="0"/>
        <w:keepLines w:val="0"/>
        <w:pageBreakBefore w:val="0"/>
        <w:widowControl w:val="0"/>
        <w:kinsoku/>
        <w:wordWrap/>
        <w:overflowPunct/>
        <w:topLinePunct w:val="0"/>
        <w:autoSpaceDE/>
        <w:autoSpaceDN/>
        <w:bidi w:val="0"/>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4.2.4.8危险废物运输管理要求</w:t>
      </w:r>
    </w:p>
    <w:p w14:paraId="37D42F50">
      <w:pPr>
        <w:pStyle w:val="917"/>
        <w:keepNext w:val="0"/>
        <w:keepLines w:val="0"/>
        <w:pageBreakBefore w:val="0"/>
        <w:widowControl w:val="0"/>
        <w:kinsoku/>
        <w:wordWrap/>
        <w:overflowPunct/>
        <w:topLinePunct w:val="0"/>
        <w:autoSpaceDE/>
        <w:autoSpaceDN/>
        <w:bidi w:val="0"/>
        <w:adjustRightInd/>
        <w:snapToGrid/>
        <w:spacing w:line="360" w:lineRule="auto"/>
        <w:ind w:left="105" w:leftChars="50" w:right="0" w:firstLine="480" w:firstLineChars="200"/>
        <w:textAlignment w:val="auto"/>
        <w:rPr>
          <w:rFonts w:hint="default" w:ascii="Arial" w:hAnsi="Arial" w:eastAsia="宋体" w:cs="Arial"/>
          <w:kern w:val="0"/>
          <w:sz w:val="24"/>
          <w:szCs w:val="24"/>
          <w:lang w:val="en-US" w:eastAsia="zh-CN" w:bidi="ar-SA"/>
        </w:rPr>
      </w:pPr>
      <w:r>
        <w:rPr>
          <w:rFonts w:hint="default" w:ascii="Arial" w:hAnsi="Arial" w:eastAsia="宋体" w:cs="Arial"/>
          <w:kern w:val="0"/>
          <w:sz w:val="24"/>
          <w:szCs w:val="24"/>
          <w:lang w:val="en-US" w:eastAsia="zh-CN" w:bidi="ar-SA"/>
        </w:rPr>
        <w:t>企业在厂内由生产车间将各类危废运送至危废仓库时应防止撒落，意外撒落应做好收集工作。企业必须对在生产运行过程中产生的危险废物进行申报登记，制定定期外运制度，并对危险废物的流向和最终处置进行跟踪，确保固体废物得到有效处置，禁止在转移过程中将危险废物排放至环境中，防止运输过程中危险废物的污染损害是防止危险废物污染损害的主要环节之一。</w:t>
      </w:r>
    </w:p>
    <w:p w14:paraId="35756FA8">
      <w:pPr>
        <w:keepNext w:val="0"/>
        <w:keepLines w:val="0"/>
        <w:pageBreakBefore w:val="0"/>
        <w:widowControl w:val="0"/>
        <w:kinsoku/>
        <w:wordWrap/>
        <w:overflowPunct/>
        <w:topLinePunct w:val="0"/>
        <w:autoSpaceDE/>
        <w:autoSpaceDN/>
        <w:bidi w:val="0"/>
        <w:spacing w:line="360" w:lineRule="auto"/>
        <w:ind w:left="105" w:leftChars="50" w:firstLine="456" w:firstLineChars="200"/>
        <w:textAlignment w:val="auto"/>
        <w:rPr>
          <w:rFonts w:hint="default" w:ascii="Arial" w:hAnsi="Arial" w:eastAsia="宋体" w:cs="Arial"/>
          <w:sz w:val="24"/>
        </w:rPr>
      </w:pPr>
      <w:r>
        <w:rPr>
          <w:rFonts w:hint="default" w:ascii="Arial" w:hAnsi="Arial" w:eastAsia="宋体" w:cs="Arial"/>
          <w:spacing w:val="-6"/>
          <w:kern w:val="0"/>
          <w:sz w:val="24"/>
          <w:szCs w:val="24"/>
          <w:lang w:val="en-US" w:eastAsia="zh-CN" w:bidi="ar-SA"/>
        </w:rPr>
        <w:t>运输危险废物，必须同时符合两个要求，一是必须采取防止污染环境的措施，符合环境保护的要求，做到无害化的运输；二是必须将所运输的危险废物作为危险货物对待，遵守国家有关危险货物运输管理的规定，符合危险货物运输的安全防护要求，做到安全运输；则危废运输过程不会对周边环境产生影响。</w:t>
      </w:r>
    </w:p>
    <w:p w14:paraId="2F3C5A8C">
      <w:pPr>
        <w:pStyle w:val="76"/>
        <w:keepNext w:val="0"/>
        <w:keepLines w:val="0"/>
        <w:pageBreakBefore w:val="0"/>
        <w:widowControl w:val="0"/>
        <w:numPr>
          <w:ilvl w:val="2"/>
          <w:numId w:val="5"/>
        </w:numPr>
        <w:kinsoku/>
        <w:wordWrap/>
        <w:overflowPunct/>
        <w:topLinePunct w:val="0"/>
        <w:autoSpaceDE/>
        <w:autoSpaceDN/>
        <w:bidi w:val="0"/>
        <w:spacing w:line="360" w:lineRule="auto"/>
        <w:ind w:left="105" w:leftChars="5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地下水及土壤环境影响和保护措施</w:t>
      </w:r>
    </w:p>
    <w:p w14:paraId="0A9BDEAD">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（1）地下水及土壤污染源</w:t>
      </w:r>
    </w:p>
    <w:p w14:paraId="7901D336">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根据本项目污染物产排情况及车间设备布局情况，可确定地下水及土壤污染源主要为</w:t>
      </w:r>
      <w:r>
        <w:rPr>
          <w:rFonts w:hint="default" w:ascii="Arial" w:hAnsi="Arial" w:eastAsia="宋体" w:cs="Arial"/>
          <w:sz w:val="24"/>
          <w:szCs w:val="24"/>
          <w:lang w:val="en-US" w:eastAsia="zh-CN"/>
        </w:rPr>
        <w:t>生产车间（清洗机）、</w:t>
      </w:r>
      <w:r>
        <w:rPr>
          <w:rFonts w:hint="default" w:ascii="Arial" w:hAnsi="Arial" w:eastAsia="宋体" w:cs="Arial"/>
          <w:sz w:val="24"/>
          <w:szCs w:val="24"/>
        </w:rPr>
        <w:t>危废仓库。主要污染物为</w:t>
      </w:r>
      <w:r>
        <w:rPr>
          <w:rFonts w:hint="eastAsia" w:ascii="Arial" w:hAnsi="Arial" w:eastAsia="宋体" w:cs="Arial"/>
          <w:sz w:val="24"/>
          <w:szCs w:val="24"/>
          <w:lang w:val="en-US" w:eastAsia="zh-CN"/>
        </w:rPr>
        <w:t>清洗废液</w:t>
      </w:r>
      <w:r>
        <w:rPr>
          <w:rFonts w:hint="default" w:ascii="Arial" w:hAnsi="Arial" w:eastAsia="宋体" w:cs="Arial"/>
          <w:sz w:val="24"/>
          <w:szCs w:val="24"/>
          <w:lang w:val="en-US" w:eastAsia="zh-CN"/>
        </w:rPr>
        <w:t>废水、化学品（清洗剂）</w:t>
      </w:r>
      <w:r>
        <w:rPr>
          <w:rFonts w:hint="default" w:ascii="Arial" w:hAnsi="Arial" w:eastAsia="宋体" w:cs="Arial"/>
          <w:sz w:val="24"/>
          <w:szCs w:val="24"/>
        </w:rPr>
        <w:t>、危险废物。</w:t>
      </w:r>
    </w:p>
    <w:p w14:paraId="4BEA59FE">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（2）污染途径分析</w:t>
      </w:r>
    </w:p>
    <w:p w14:paraId="18DDD628">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地下水和土壤污染防治措施以预防为主，按照“源头控制、末端防治、污染监控、应急响应”相结合的原则，从污染物的产生、入渗、扩散全阶段进行控制。从项目特点来看，可能造成地下水环及土壤境影响的污染来源主要为化学品仓库、危废仓库等。只要企业按照相关规范要求做好化学品仓库和危废仓库的防漏、防渗措施，定期修检管道，落实责任制度，定期组织隐患排查工作，地下水及土壤污染途径均能被有效的分区防控措施阻隔。因此，正常工况下，在企业设置有效的分区防控措施的前提下，本项目不存在地下水及土壤的污染途径。</w:t>
      </w:r>
    </w:p>
    <w:p w14:paraId="18B30E8F">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p>
    <w:p w14:paraId="53729BEE">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（3）污染防治措施</w:t>
      </w:r>
    </w:p>
    <w:p w14:paraId="3EAC6DC2">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结合“源头控制、末端防治、污染监控、应急响应”原则，本项目地下水和土壤具体污染防治措施可参照如下要求执行：</w:t>
      </w:r>
    </w:p>
    <w:p w14:paraId="3D03BA51">
      <w:pPr>
        <w:pStyle w:val="76"/>
        <w:keepNext w:val="0"/>
        <w:keepLines w:val="0"/>
        <w:pageBreakBefore w:val="0"/>
        <w:widowControl w:val="0"/>
        <w:numPr>
          <w:ilvl w:val="0"/>
          <w:numId w:val="12"/>
        </w:numPr>
        <w:kinsoku/>
        <w:wordWrap/>
        <w:overflowPunct/>
        <w:topLinePunct w:val="0"/>
        <w:autoSpaceDE/>
        <w:autoSpaceDN/>
        <w:bidi w:val="0"/>
        <w:spacing w:line="360" w:lineRule="auto"/>
        <w:ind w:left="105" w:leftChars="50"/>
        <w:textAlignment w:val="auto"/>
        <w:rPr>
          <w:rFonts w:hint="default" w:ascii="Arial" w:hAnsi="Arial" w:eastAsia="宋体" w:cs="Arial"/>
          <w:sz w:val="24"/>
          <w:szCs w:val="24"/>
        </w:rPr>
      </w:pPr>
      <w:r>
        <w:rPr>
          <w:rFonts w:hint="default" w:ascii="Arial" w:hAnsi="Arial" w:eastAsia="宋体" w:cs="Arial"/>
          <w:sz w:val="24"/>
          <w:szCs w:val="24"/>
        </w:rPr>
        <w:t>源头控制措施</w:t>
      </w:r>
    </w:p>
    <w:p w14:paraId="79F49003">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主要包括制定各类废物循环利用的具体方案，减少污染物的排放量；择优选取并落实工艺、管道、设备、污水储存及处理构筑物的污染控制措施，防止和降低污染物跑、冒、滴、漏。</w:t>
      </w:r>
    </w:p>
    <w:p w14:paraId="10D54B85">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②分区控制措施</w:t>
      </w:r>
    </w:p>
    <w:p w14:paraId="43532C2C">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主要包括厂内污染区地面的防渗措施和泄漏、渗漏污染物收集措施，即在污染区地面进行防渗处理，防止洒落地面的污染物渗入地下，并把滞留在地面的污染物收集起来；一般情况下应以水平防渗为主，对难以采取水平防渗的场地，可采用垂向防渗为主，局部水平防渗为辅的防控措施。分区防控原则，即：对重点防渗区、一般防渗区和简单防渗区采取有区别的防渗原则。</w:t>
      </w:r>
    </w:p>
    <w:p w14:paraId="1823640E">
      <w:pPr>
        <w:pStyle w:val="76"/>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根据项目可能泄漏至地面区域污染物的性质和生产单元的构筑方式，将厂区划分为简单防渗区、一般防渗区和重点防渗区。防渗区域划分及防渗要求见表4-</w:t>
      </w:r>
      <w:r>
        <w:rPr>
          <w:rFonts w:hint="default" w:ascii="Arial" w:hAnsi="Arial" w:eastAsia="宋体" w:cs="Arial"/>
          <w:sz w:val="24"/>
          <w:szCs w:val="24"/>
          <w:lang w:val="en-US" w:eastAsia="zh-CN"/>
        </w:rPr>
        <w:t>2</w:t>
      </w:r>
      <w:r>
        <w:rPr>
          <w:rFonts w:hint="eastAsia" w:ascii="Arial" w:hAnsi="Arial" w:eastAsia="宋体" w:cs="Arial"/>
          <w:sz w:val="24"/>
          <w:szCs w:val="24"/>
          <w:lang w:val="en-US" w:eastAsia="zh-CN"/>
        </w:rPr>
        <w:t>4</w:t>
      </w:r>
      <w:r>
        <w:rPr>
          <w:rFonts w:hint="default" w:ascii="Arial" w:hAnsi="Arial" w:eastAsia="宋体" w:cs="Arial"/>
          <w:sz w:val="24"/>
          <w:szCs w:val="24"/>
        </w:rPr>
        <w:t>。</w:t>
      </w:r>
    </w:p>
    <w:p w14:paraId="0967977D">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分区划分及防渗要求</w:t>
      </w:r>
    </w:p>
    <w:tbl>
      <w:tblPr>
        <w:tblStyle w:val="52"/>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57"/>
        <w:gridCol w:w="2915"/>
        <w:gridCol w:w="3646"/>
      </w:tblGrid>
      <w:tr w14:paraId="1B05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tblHeader/>
          <w:jc w:val="center"/>
        </w:trPr>
        <w:tc>
          <w:tcPr>
            <w:tcW w:w="1532" w:type="dxa"/>
            <w:tcMar>
              <w:top w:w="0" w:type="dxa"/>
              <w:left w:w="57" w:type="dxa"/>
              <w:bottom w:w="0" w:type="dxa"/>
              <w:right w:w="57" w:type="dxa"/>
            </w:tcMar>
            <w:vAlign w:val="center"/>
          </w:tcPr>
          <w:p w14:paraId="1FD2A526">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分区类比</w:t>
            </w:r>
          </w:p>
        </w:tc>
        <w:tc>
          <w:tcPr>
            <w:tcW w:w="3072" w:type="dxa"/>
            <w:tcMar>
              <w:top w:w="0" w:type="dxa"/>
              <w:left w:w="57" w:type="dxa"/>
              <w:bottom w:w="0" w:type="dxa"/>
              <w:right w:w="57" w:type="dxa"/>
            </w:tcMar>
            <w:vAlign w:val="center"/>
          </w:tcPr>
          <w:p w14:paraId="11C1612B">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分区举例</w:t>
            </w:r>
          </w:p>
        </w:tc>
        <w:tc>
          <w:tcPr>
            <w:tcW w:w="3844" w:type="dxa"/>
            <w:tcMar>
              <w:top w:w="0" w:type="dxa"/>
              <w:left w:w="57" w:type="dxa"/>
              <w:bottom w:w="0" w:type="dxa"/>
              <w:right w:w="57" w:type="dxa"/>
            </w:tcMar>
            <w:vAlign w:val="center"/>
          </w:tcPr>
          <w:p w14:paraId="2AED40FF">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防渗要求</w:t>
            </w:r>
          </w:p>
        </w:tc>
      </w:tr>
      <w:tr w14:paraId="087E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tblHeader/>
          <w:jc w:val="center"/>
        </w:trPr>
        <w:tc>
          <w:tcPr>
            <w:tcW w:w="1532" w:type="dxa"/>
            <w:tcMar>
              <w:top w:w="0" w:type="dxa"/>
              <w:left w:w="57" w:type="dxa"/>
              <w:bottom w:w="0" w:type="dxa"/>
              <w:right w:w="57" w:type="dxa"/>
            </w:tcMar>
            <w:vAlign w:val="center"/>
          </w:tcPr>
          <w:p w14:paraId="61FE52F8">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简单防渗区</w:t>
            </w:r>
          </w:p>
        </w:tc>
        <w:tc>
          <w:tcPr>
            <w:tcW w:w="3072" w:type="dxa"/>
            <w:tcMar>
              <w:top w:w="0" w:type="dxa"/>
              <w:left w:w="57" w:type="dxa"/>
              <w:bottom w:w="0" w:type="dxa"/>
              <w:right w:w="57" w:type="dxa"/>
            </w:tcMar>
            <w:vAlign w:val="center"/>
          </w:tcPr>
          <w:p w14:paraId="4E1535FB">
            <w:pPr>
              <w:keepNext w:val="0"/>
              <w:keepLines w:val="0"/>
              <w:suppressLineNumbers w:val="0"/>
              <w:spacing w:before="0" w:beforeAutospacing="0" w:after="0" w:afterAutospacing="0"/>
              <w:ind w:left="0" w:right="0"/>
              <w:contextualSpacing/>
              <w:jc w:val="center"/>
              <w:rPr>
                <w:rFonts w:hint="default" w:ascii="Arial" w:hAnsi="Arial" w:eastAsia="宋体" w:cs="Arial"/>
                <w:szCs w:val="21"/>
                <w:lang w:eastAsia="zh-CN"/>
              </w:rPr>
            </w:pPr>
            <w:r>
              <w:rPr>
                <w:rFonts w:hint="default" w:ascii="Arial" w:hAnsi="Arial" w:eastAsia="宋体" w:cs="Arial"/>
                <w:szCs w:val="21"/>
                <w:lang w:val="en-US" w:eastAsia="zh-CN"/>
              </w:rPr>
              <w:t>/</w:t>
            </w:r>
          </w:p>
        </w:tc>
        <w:tc>
          <w:tcPr>
            <w:tcW w:w="3844" w:type="dxa"/>
            <w:tcMar>
              <w:top w:w="0" w:type="dxa"/>
              <w:left w:w="57" w:type="dxa"/>
              <w:bottom w:w="0" w:type="dxa"/>
              <w:right w:w="57" w:type="dxa"/>
            </w:tcMar>
            <w:vAlign w:val="center"/>
          </w:tcPr>
          <w:p w14:paraId="35B250C9">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一般地面硬化</w:t>
            </w:r>
          </w:p>
        </w:tc>
      </w:tr>
      <w:tr w14:paraId="0B16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tblHeader/>
          <w:jc w:val="center"/>
        </w:trPr>
        <w:tc>
          <w:tcPr>
            <w:tcW w:w="1532" w:type="dxa"/>
            <w:tcMar>
              <w:top w:w="0" w:type="dxa"/>
              <w:left w:w="57" w:type="dxa"/>
              <w:bottom w:w="0" w:type="dxa"/>
              <w:right w:w="57" w:type="dxa"/>
            </w:tcMar>
            <w:vAlign w:val="center"/>
          </w:tcPr>
          <w:p w14:paraId="11CAC6AD">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一般防渗区</w:t>
            </w:r>
          </w:p>
        </w:tc>
        <w:tc>
          <w:tcPr>
            <w:tcW w:w="3072" w:type="dxa"/>
            <w:tcMar>
              <w:top w:w="0" w:type="dxa"/>
              <w:left w:w="57" w:type="dxa"/>
              <w:bottom w:w="0" w:type="dxa"/>
              <w:right w:w="57" w:type="dxa"/>
            </w:tcMar>
            <w:vAlign w:val="center"/>
          </w:tcPr>
          <w:p w14:paraId="09FA4FB5">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生产区域</w:t>
            </w:r>
          </w:p>
        </w:tc>
        <w:tc>
          <w:tcPr>
            <w:tcW w:w="3844" w:type="dxa"/>
            <w:tcMar>
              <w:top w:w="0" w:type="dxa"/>
              <w:left w:w="57" w:type="dxa"/>
              <w:bottom w:w="0" w:type="dxa"/>
              <w:right w:w="57" w:type="dxa"/>
            </w:tcMar>
            <w:vAlign w:val="center"/>
          </w:tcPr>
          <w:p w14:paraId="10202074">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等效黏土防渗层Mb≥1.5m，K≤1×10</w:t>
            </w:r>
            <w:r>
              <w:rPr>
                <w:rFonts w:hint="default" w:ascii="Arial" w:hAnsi="Arial" w:eastAsia="宋体" w:cs="Arial"/>
                <w:szCs w:val="21"/>
                <w:vertAlign w:val="superscript"/>
              </w:rPr>
              <w:t>-7</w:t>
            </w:r>
            <w:r>
              <w:rPr>
                <w:rFonts w:hint="default" w:ascii="Arial" w:hAnsi="Arial" w:eastAsia="宋体" w:cs="Arial"/>
                <w:szCs w:val="21"/>
              </w:rPr>
              <w:t>cm/s；或参照GB16889执行</w:t>
            </w:r>
          </w:p>
        </w:tc>
      </w:tr>
      <w:tr w14:paraId="25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tblHeader/>
          <w:jc w:val="center"/>
        </w:trPr>
        <w:tc>
          <w:tcPr>
            <w:tcW w:w="1532" w:type="dxa"/>
            <w:tcMar>
              <w:top w:w="0" w:type="dxa"/>
              <w:left w:w="57" w:type="dxa"/>
              <w:bottom w:w="0" w:type="dxa"/>
              <w:right w:w="57" w:type="dxa"/>
            </w:tcMar>
            <w:vAlign w:val="center"/>
          </w:tcPr>
          <w:p w14:paraId="7945F05C">
            <w:pPr>
              <w:keepNext w:val="0"/>
              <w:keepLines w:val="0"/>
              <w:suppressLineNumbers w:val="0"/>
              <w:spacing w:before="0" w:beforeAutospacing="0" w:after="0" w:afterAutospacing="0"/>
              <w:ind w:left="0" w:right="0"/>
              <w:contextualSpacing/>
              <w:jc w:val="center"/>
              <w:rPr>
                <w:rFonts w:hint="default" w:ascii="Arial" w:hAnsi="Arial" w:eastAsia="宋体" w:cs="Arial"/>
                <w:szCs w:val="21"/>
              </w:rPr>
            </w:pPr>
            <w:r>
              <w:rPr>
                <w:rFonts w:hint="default" w:ascii="Arial" w:hAnsi="Arial" w:eastAsia="宋体" w:cs="Arial"/>
                <w:szCs w:val="21"/>
              </w:rPr>
              <w:t>重点防渗</w:t>
            </w:r>
          </w:p>
        </w:tc>
        <w:tc>
          <w:tcPr>
            <w:tcW w:w="3072" w:type="dxa"/>
            <w:tcMar>
              <w:top w:w="0" w:type="dxa"/>
              <w:left w:w="57" w:type="dxa"/>
              <w:bottom w:w="0" w:type="dxa"/>
              <w:right w:w="57" w:type="dxa"/>
            </w:tcMar>
            <w:vAlign w:val="center"/>
          </w:tcPr>
          <w:p w14:paraId="5D1C72C0">
            <w:pPr>
              <w:keepNext w:val="0"/>
              <w:keepLines w:val="0"/>
              <w:suppressLineNumbers w:val="0"/>
              <w:spacing w:before="0" w:beforeAutospacing="0" w:after="0" w:afterAutospacing="0"/>
              <w:ind w:left="0" w:right="0"/>
              <w:contextualSpacing/>
              <w:jc w:val="center"/>
              <w:rPr>
                <w:rFonts w:hint="default" w:ascii="Arial" w:hAnsi="Arial" w:eastAsia="宋体" w:cs="Arial"/>
                <w:color w:val="auto"/>
                <w:szCs w:val="21"/>
                <w:lang w:val="en-US" w:eastAsia="zh-CN"/>
              </w:rPr>
            </w:pPr>
            <w:r>
              <w:rPr>
                <w:rFonts w:hint="default" w:ascii="Arial" w:hAnsi="Arial" w:eastAsia="宋体" w:cs="Arial"/>
                <w:color w:val="auto"/>
                <w:szCs w:val="21"/>
              </w:rPr>
              <w:t>危废暂存库</w:t>
            </w:r>
          </w:p>
        </w:tc>
        <w:tc>
          <w:tcPr>
            <w:tcW w:w="3844" w:type="dxa"/>
            <w:tcMar>
              <w:top w:w="0" w:type="dxa"/>
              <w:left w:w="57" w:type="dxa"/>
              <w:bottom w:w="0" w:type="dxa"/>
              <w:right w:w="57" w:type="dxa"/>
            </w:tcMar>
            <w:vAlign w:val="center"/>
          </w:tcPr>
          <w:p w14:paraId="69277798">
            <w:pPr>
              <w:keepNext w:val="0"/>
              <w:keepLines w:val="0"/>
              <w:suppressLineNumbers w:val="0"/>
              <w:spacing w:before="0" w:beforeAutospacing="0" w:after="0" w:afterAutospacing="0"/>
              <w:ind w:left="0" w:right="0"/>
              <w:contextualSpacing/>
              <w:jc w:val="center"/>
              <w:rPr>
                <w:rFonts w:hint="default" w:ascii="Arial" w:hAnsi="Arial" w:eastAsia="宋体" w:cs="Arial"/>
                <w:color w:val="auto"/>
                <w:szCs w:val="21"/>
              </w:rPr>
            </w:pPr>
            <w:r>
              <w:rPr>
                <w:rFonts w:hint="default" w:ascii="Arial" w:hAnsi="Arial" w:eastAsia="宋体" w:cs="Arial"/>
                <w:color w:val="auto"/>
                <w:szCs w:val="21"/>
              </w:rPr>
              <w:t>等效黏土防渗层Mb≥6.0m，K≤1×10</w:t>
            </w:r>
            <w:r>
              <w:rPr>
                <w:rFonts w:hint="default" w:ascii="Arial" w:hAnsi="Arial" w:eastAsia="宋体" w:cs="Arial"/>
                <w:color w:val="auto"/>
                <w:szCs w:val="21"/>
                <w:vertAlign w:val="superscript"/>
              </w:rPr>
              <w:t>-7</w:t>
            </w:r>
            <w:r>
              <w:rPr>
                <w:rFonts w:hint="default" w:ascii="Arial" w:hAnsi="Arial" w:eastAsia="宋体" w:cs="Arial"/>
                <w:color w:val="auto"/>
                <w:szCs w:val="21"/>
              </w:rPr>
              <w:t>cm/s；或参照GB18598执行</w:t>
            </w:r>
          </w:p>
        </w:tc>
      </w:tr>
    </w:tbl>
    <w:p w14:paraId="0CDAE76D">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③建立地下水及土壤隐患排查制度</w:t>
      </w:r>
    </w:p>
    <w:p w14:paraId="5BCA4FFB">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通过建立地下水及土壤隐患排查制度，可及时发现地下水及土壤污染隐患并采取措施消除或降低隐患。隐患排查制度实施方案一般包括：确定排查范围、开展现场排查、落实隐患整改、档案建立与应用等。排查过程应重点关注：</w:t>
      </w:r>
    </w:p>
    <w:p w14:paraId="411E5A92">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a.重点场所和重点设施设备是否具有基本的防渗漏、流失、扬散的地下水及土壤污染预防功能（如：危废仓库规范化建设），以及有关预防地下水及土壤污染管理制度建立和执行情况。</w:t>
      </w:r>
    </w:p>
    <w:p w14:paraId="09A238CA">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b.在发生渗漏、流失、扬散的情况下，是否具有防止污染物进入地下水和土壤的设施，包括普通阻隔设施、防滴漏设施（如原料桶采用托盘盛放），以及防渗阻隔系统等。</w:t>
      </w:r>
    </w:p>
    <w:p w14:paraId="6BE43C68">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c.是否有能有效、及时发现并处理泄漏、渗漏或者地下水及土壤污染的设施或者措施。如泄漏检测设施、土壤和地下水环境定期监测、应急措施和应急物资储备等。普通阻隔设施需要更严格的管理措施，防渗阻隔系统需要定期检测防渗性能。</w:t>
      </w:r>
    </w:p>
    <w:p w14:paraId="17E5CBA5">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（4）跟踪监测计划</w:t>
      </w:r>
    </w:p>
    <w:p w14:paraId="77A66B73">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总之，企业要加强污染物源头控制，严格落实分区防渗控制措施，切实做好建设项目的事故风险防范措施，在落实上述要求后，本项目不存在地下水及土壤的污染途径，对地下水和土壤环境影响不大，无需开展地下水和土壤跟踪监测。</w:t>
      </w:r>
    </w:p>
    <w:p w14:paraId="19EE0903">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right="0" w:righ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生态</w:t>
      </w:r>
    </w:p>
    <w:p w14:paraId="73F5756D">
      <w:pPr>
        <w:pStyle w:val="76"/>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textAlignment w:val="auto"/>
        <w:rPr>
          <w:rFonts w:hint="default" w:ascii="Arial" w:hAnsi="Arial" w:eastAsia="宋体" w:cs="Arial"/>
          <w:sz w:val="24"/>
          <w:szCs w:val="24"/>
        </w:rPr>
      </w:pPr>
      <w:r>
        <w:rPr>
          <w:rFonts w:hint="default" w:ascii="Arial" w:hAnsi="Arial" w:eastAsia="宋体" w:cs="Arial"/>
          <w:sz w:val="24"/>
          <w:szCs w:val="24"/>
        </w:rPr>
        <w:t>本项目选址位于浙江省嘉兴市</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w:t>
      </w:r>
      <w:r>
        <w:rPr>
          <w:rFonts w:hint="default" w:ascii="Arial" w:hAnsi="Arial" w:eastAsia="宋体" w:cs="Arial"/>
          <w:sz w:val="24"/>
          <w:szCs w:val="24"/>
          <w:lang w:val="en-US" w:eastAsia="zh-CN"/>
        </w:rPr>
        <w:t>利用</w:t>
      </w:r>
      <w:r>
        <w:rPr>
          <w:rFonts w:hint="default" w:ascii="Arial" w:hAnsi="Arial" w:eastAsia="宋体" w:cs="Arial"/>
          <w:sz w:val="24"/>
          <w:szCs w:val="24"/>
        </w:rPr>
        <w:t>已建生产厂房实施，周边无生态环境保护目标。经分析，施工期主要为少量设备安装过程，不会对周围生态环境产生影响。营运期废水、噪声可达标排放，固体废物可妥善处置，对周边生态环境影响较小。</w:t>
      </w:r>
    </w:p>
    <w:p w14:paraId="3C552FEB">
      <w:pPr>
        <w:pStyle w:val="76"/>
        <w:keepNext w:val="0"/>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right="0" w:rightChars="0" w:firstLine="0" w:firstLineChars="0"/>
        <w:textAlignment w:val="auto"/>
        <w:outlineLvl w:val="2"/>
        <w:rPr>
          <w:rFonts w:hint="default" w:ascii="Arial" w:hAnsi="Arial" w:eastAsia="宋体" w:cs="Arial"/>
          <w:b/>
          <w:bCs/>
          <w:sz w:val="24"/>
          <w:szCs w:val="24"/>
        </w:rPr>
      </w:pPr>
      <w:r>
        <w:rPr>
          <w:rFonts w:hint="default" w:ascii="Arial" w:hAnsi="Arial" w:eastAsia="宋体" w:cs="Arial"/>
          <w:b/>
          <w:bCs/>
          <w:sz w:val="24"/>
          <w:szCs w:val="24"/>
        </w:rPr>
        <w:t>环境风险分析及风险防范措施</w:t>
      </w:r>
    </w:p>
    <w:p w14:paraId="3DD658C0">
      <w:pPr>
        <w:keepNext w:val="0"/>
        <w:keepLines w:val="0"/>
        <w:pageBreakBefore w:val="0"/>
        <w:widowControl w:val="0"/>
        <w:kinsoku/>
        <w:wordWrap/>
        <w:overflowPunct/>
        <w:topLinePunct w:val="0"/>
        <w:autoSpaceDE/>
        <w:autoSpaceDN/>
        <w:bidi w:val="0"/>
        <w:adjustRightInd/>
        <w:snapToGrid/>
        <w:spacing w:line="360" w:lineRule="auto"/>
        <w:ind w:left="105" w:leftChars="50" w:right="0" w:rightChars="0"/>
        <w:textAlignment w:val="auto"/>
        <w:rPr>
          <w:rFonts w:hint="default" w:ascii="Arial" w:hAnsi="Arial" w:eastAsia="宋体" w:cs="Arial"/>
          <w:b/>
          <w:bCs/>
          <w:sz w:val="24"/>
          <w:szCs w:val="24"/>
        </w:rPr>
      </w:pPr>
      <w:r>
        <w:rPr>
          <w:rFonts w:hint="default" w:ascii="Arial" w:hAnsi="Arial" w:eastAsia="宋体" w:cs="Arial"/>
          <w:b/>
          <w:bCs/>
          <w:sz w:val="24"/>
          <w:szCs w:val="24"/>
        </w:rPr>
        <w:t>4.2.7.1危险物质数量和分布情况</w:t>
      </w:r>
    </w:p>
    <w:p w14:paraId="15CE96CC">
      <w:pPr>
        <w:keepNext w:val="0"/>
        <w:keepLines w:val="0"/>
        <w:pageBreakBefore w:val="0"/>
        <w:widowControl w:val="0"/>
        <w:kinsoku/>
        <w:wordWrap/>
        <w:overflowPunct/>
        <w:topLinePunct w:val="0"/>
        <w:autoSpaceDE/>
        <w:autoSpaceDN/>
        <w:bidi w:val="0"/>
        <w:adjustRightInd/>
        <w:snapToGrid/>
        <w:spacing w:line="360" w:lineRule="auto"/>
        <w:ind w:left="105" w:leftChars="50" w:right="0" w:rightChars="0" w:firstLine="480" w:firstLineChars="200"/>
        <w:textAlignment w:val="auto"/>
        <w:rPr>
          <w:rFonts w:hint="default" w:ascii="Arial" w:hAnsi="Arial" w:eastAsia="宋体" w:cs="Arial"/>
          <w:sz w:val="24"/>
          <w:szCs w:val="24"/>
        </w:rPr>
      </w:pPr>
      <w:r>
        <w:rPr>
          <w:rFonts w:hint="default" w:ascii="Arial" w:hAnsi="Arial" w:eastAsia="宋体" w:cs="Arial"/>
          <w:sz w:val="24"/>
          <w:szCs w:val="24"/>
        </w:rPr>
        <w:t>环境风险评价的目的是分析和预测建设项目存在的潜在危险、有害因素，建设项目建设和运行期间可能发生的突发性事件或事故（一般不包括人为破坏及自然灾害），引起有毒有害和易燃易爆等物质泄漏，所造成的人身安全与环境影响和损害程度，提出合理可行的防范、应急与减缓措施，以使建设项目事故率、损失和环境影响达到可接受水平。根据《建设项目环境风险评价技术导则》（HJ 169—2018）附录B（重点关注的危险物质及临界量），本项目涉及的危险物质主要有</w:t>
      </w:r>
      <w:r>
        <w:rPr>
          <w:rFonts w:hint="default" w:ascii="Arial" w:hAnsi="Arial" w:eastAsia="宋体" w:cs="Arial"/>
          <w:sz w:val="24"/>
          <w:szCs w:val="24"/>
          <w:lang w:val="en-US" w:eastAsia="zh-CN"/>
        </w:rPr>
        <w:t>切削液、</w:t>
      </w:r>
      <w:r>
        <w:rPr>
          <w:rFonts w:hint="default" w:ascii="Arial" w:hAnsi="Arial" w:eastAsia="宋体" w:cs="Arial"/>
          <w:sz w:val="24"/>
          <w:szCs w:val="24"/>
        </w:rPr>
        <w:t>危险废物，建设项目危险物质的数量及分布情况见表4-</w:t>
      </w:r>
      <w:r>
        <w:rPr>
          <w:rFonts w:hint="default" w:ascii="Arial" w:hAnsi="Arial" w:eastAsia="宋体" w:cs="Arial"/>
          <w:sz w:val="24"/>
          <w:szCs w:val="24"/>
          <w:lang w:val="en-US" w:eastAsia="zh-CN"/>
        </w:rPr>
        <w:t>2</w:t>
      </w:r>
      <w:r>
        <w:rPr>
          <w:rFonts w:hint="eastAsia" w:ascii="Arial" w:hAnsi="Arial" w:eastAsia="宋体" w:cs="Arial"/>
          <w:sz w:val="24"/>
          <w:szCs w:val="24"/>
          <w:lang w:val="en-US" w:eastAsia="zh-CN"/>
        </w:rPr>
        <w:t>5</w:t>
      </w:r>
      <w:r>
        <w:rPr>
          <w:rFonts w:hint="default" w:ascii="Arial" w:hAnsi="Arial" w:eastAsia="宋体" w:cs="Arial"/>
          <w:sz w:val="24"/>
          <w:szCs w:val="24"/>
        </w:rPr>
        <w:t>。</w:t>
      </w:r>
    </w:p>
    <w:p w14:paraId="2DA0D489">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建设项目涉及危险物质数量及分布情况</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58"/>
        <w:gridCol w:w="1619"/>
        <w:gridCol w:w="1870"/>
        <w:gridCol w:w="1870"/>
      </w:tblGrid>
      <w:tr w14:paraId="7472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0" w:type="dxa"/>
            <w:vAlign w:val="center"/>
          </w:tcPr>
          <w:p w14:paraId="028FE3D6">
            <w:pPr>
              <w:keepNext w:val="0"/>
              <w:keepLines w:val="0"/>
              <w:suppressLineNumbers w:val="0"/>
              <w:spacing w:before="0" w:beforeAutospacing="0" w:after="0" w:afterAutospacing="0" w:line="0" w:lineRule="atLeast"/>
              <w:ind w:left="0" w:right="0"/>
              <w:jc w:val="center"/>
              <w:rPr>
                <w:rFonts w:hint="default" w:ascii="Arial" w:hAnsi="Arial" w:eastAsia="宋体" w:cs="Arial"/>
                <w:szCs w:val="21"/>
              </w:rPr>
            </w:pPr>
            <w:r>
              <w:rPr>
                <w:rFonts w:hint="default" w:ascii="Arial" w:hAnsi="Arial" w:eastAsia="宋体" w:cs="Arial"/>
                <w:szCs w:val="21"/>
              </w:rPr>
              <w:t>序号</w:t>
            </w:r>
          </w:p>
        </w:tc>
        <w:tc>
          <w:tcPr>
            <w:tcW w:w="1858" w:type="dxa"/>
            <w:vAlign w:val="center"/>
          </w:tcPr>
          <w:p w14:paraId="32139CDE">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危险物质名称</w:t>
            </w:r>
          </w:p>
        </w:tc>
        <w:tc>
          <w:tcPr>
            <w:tcW w:w="1619" w:type="dxa"/>
            <w:vAlign w:val="center"/>
          </w:tcPr>
          <w:p w14:paraId="250EE99F">
            <w:pPr>
              <w:keepNext w:val="0"/>
              <w:keepLines w:val="0"/>
              <w:suppressLineNumbers w:val="0"/>
              <w:spacing w:before="0" w:beforeAutospacing="0" w:after="0" w:afterAutospacing="0" w:line="0" w:lineRule="atLeast"/>
              <w:ind w:left="0" w:right="0"/>
              <w:jc w:val="center"/>
              <w:rPr>
                <w:rFonts w:hint="default" w:ascii="Arial" w:hAnsi="Arial" w:eastAsia="宋体" w:cs="Arial"/>
                <w:szCs w:val="21"/>
              </w:rPr>
            </w:pPr>
            <w:r>
              <w:rPr>
                <w:rFonts w:hint="default" w:ascii="Arial" w:hAnsi="Arial" w:eastAsia="宋体" w:cs="Arial"/>
                <w:szCs w:val="21"/>
              </w:rPr>
              <w:t>厂区内最大存在总量/t</w:t>
            </w:r>
          </w:p>
        </w:tc>
        <w:tc>
          <w:tcPr>
            <w:tcW w:w="1870" w:type="dxa"/>
            <w:vAlign w:val="center"/>
          </w:tcPr>
          <w:p w14:paraId="0973FEC2">
            <w:pPr>
              <w:keepNext w:val="0"/>
              <w:keepLines w:val="0"/>
              <w:suppressLineNumbers w:val="0"/>
              <w:spacing w:before="0" w:beforeAutospacing="0" w:after="0" w:afterAutospacing="0" w:line="0" w:lineRule="atLeast"/>
              <w:ind w:left="0" w:right="0"/>
              <w:jc w:val="center"/>
              <w:rPr>
                <w:rFonts w:hint="default" w:ascii="Arial" w:hAnsi="Arial" w:eastAsia="宋体" w:cs="Arial"/>
                <w:szCs w:val="21"/>
              </w:rPr>
            </w:pPr>
            <w:r>
              <w:rPr>
                <w:rFonts w:hint="default" w:ascii="Arial" w:hAnsi="Arial" w:eastAsia="宋体" w:cs="Arial"/>
                <w:szCs w:val="21"/>
              </w:rPr>
              <w:t>判定依据</w:t>
            </w:r>
          </w:p>
        </w:tc>
        <w:tc>
          <w:tcPr>
            <w:tcW w:w="1870" w:type="dxa"/>
            <w:vAlign w:val="center"/>
          </w:tcPr>
          <w:p w14:paraId="08831913">
            <w:pPr>
              <w:keepNext w:val="0"/>
              <w:keepLines w:val="0"/>
              <w:suppressLineNumbers w:val="0"/>
              <w:spacing w:before="0" w:beforeAutospacing="0" w:after="0" w:afterAutospacing="0" w:line="0" w:lineRule="atLeast"/>
              <w:ind w:left="0" w:right="0"/>
              <w:jc w:val="center"/>
              <w:rPr>
                <w:rFonts w:hint="default" w:ascii="Arial" w:hAnsi="Arial" w:eastAsia="宋体" w:cs="Arial"/>
                <w:szCs w:val="21"/>
              </w:rPr>
            </w:pPr>
            <w:r>
              <w:rPr>
                <w:rFonts w:hint="default" w:ascii="Arial" w:hAnsi="Arial" w:eastAsia="宋体" w:cs="Arial"/>
                <w:szCs w:val="21"/>
              </w:rPr>
              <w:t>所在位置</w:t>
            </w:r>
          </w:p>
        </w:tc>
      </w:tr>
      <w:tr w14:paraId="5333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720" w:type="dxa"/>
            <w:vAlign w:val="center"/>
          </w:tcPr>
          <w:p w14:paraId="6E3F5CCD">
            <w:pPr>
              <w:keepNext w:val="0"/>
              <w:keepLines w:val="0"/>
              <w:suppressLineNumbers w:val="0"/>
              <w:spacing w:before="0" w:beforeAutospacing="0" w:after="0" w:afterAutospacing="0" w:line="0" w:lineRule="atLeast"/>
              <w:ind w:left="0" w:right="0"/>
              <w:jc w:val="center"/>
              <w:rPr>
                <w:rFonts w:hint="default" w:ascii="Arial" w:hAnsi="Arial" w:eastAsia="宋体" w:cs="Arial"/>
                <w:szCs w:val="21"/>
                <w:lang w:val="en-US" w:eastAsia="zh-CN"/>
              </w:rPr>
            </w:pPr>
            <w:r>
              <w:rPr>
                <w:rFonts w:hint="default" w:ascii="Arial" w:hAnsi="Arial" w:eastAsia="宋体" w:cs="Arial"/>
                <w:szCs w:val="21"/>
              </w:rPr>
              <w:t>1</w:t>
            </w:r>
          </w:p>
        </w:tc>
        <w:tc>
          <w:tcPr>
            <w:tcW w:w="1858" w:type="dxa"/>
            <w:shd w:val="clear" w:color="auto" w:fill="auto"/>
            <w:vAlign w:val="center"/>
          </w:tcPr>
          <w:p w14:paraId="6541B742">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切削液（油类）</w:t>
            </w:r>
          </w:p>
        </w:tc>
        <w:tc>
          <w:tcPr>
            <w:tcW w:w="1619" w:type="dxa"/>
            <w:shd w:val="clear" w:color="auto" w:fill="auto"/>
            <w:vAlign w:val="center"/>
          </w:tcPr>
          <w:p w14:paraId="447F8B44">
            <w:pPr>
              <w:keepNext w:val="0"/>
              <w:keepLines w:val="0"/>
              <w:suppressLineNumbers w:val="0"/>
              <w:spacing w:before="0" w:beforeAutospacing="0" w:after="0" w:afterAutospacing="0" w:line="0" w:lineRule="atLeast"/>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0.5</w:t>
            </w:r>
          </w:p>
        </w:tc>
        <w:tc>
          <w:tcPr>
            <w:tcW w:w="1870" w:type="dxa"/>
            <w:vAlign w:val="center"/>
          </w:tcPr>
          <w:p w14:paraId="224FE740">
            <w:pPr>
              <w:keepNext w:val="0"/>
              <w:keepLines w:val="0"/>
              <w:suppressLineNumbers w:val="0"/>
              <w:spacing w:before="0" w:beforeAutospacing="0" w:after="0" w:afterAutospacing="0" w:line="0" w:lineRule="atLeast"/>
              <w:ind w:left="0" w:right="0"/>
              <w:jc w:val="center"/>
              <w:rPr>
                <w:rFonts w:hint="default" w:ascii="Arial" w:hAnsi="Arial" w:eastAsia="宋体" w:cs="Arial"/>
                <w:color w:val="auto"/>
                <w:szCs w:val="21"/>
              </w:rPr>
            </w:pPr>
            <w:r>
              <w:rPr>
                <w:rFonts w:hint="default" w:ascii="Arial" w:hAnsi="Arial" w:eastAsia="宋体" w:cs="Arial"/>
                <w:color w:val="auto"/>
                <w:szCs w:val="21"/>
              </w:rPr>
              <w:t>HJ 169-2018附录B和</w:t>
            </w:r>
            <w:r>
              <w:rPr>
                <w:rFonts w:hint="default" w:ascii="Arial" w:hAnsi="Arial" w:eastAsia="宋体" w:cs="Arial"/>
                <w:color w:val="auto"/>
                <w:szCs w:val="21"/>
                <w:lang w:val="zh-CN"/>
              </w:rPr>
              <w:t>GB 30000.18-2013</w:t>
            </w:r>
          </w:p>
        </w:tc>
        <w:tc>
          <w:tcPr>
            <w:tcW w:w="1870" w:type="dxa"/>
            <w:vAlign w:val="center"/>
          </w:tcPr>
          <w:p w14:paraId="17861535">
            <w:pPr>
              <w:keepNext w:val="0"/>
              <w:keepLines w:val="0"/>
              <w:suppressLineNumbers w:val="0"/>
              <w:spacing w:before="0" w:beforeAutospacing="0" w:after="0" w:afterAutospacing="0" w:line="0" w:lineRule="atLeast"/>
              <w:ind w:left="0" w:right="0"/>
              <w:jc w:val="center"/>
              <w:rPr>
                <w:rFonts w:hint="default" w:ascii="Arial" w:hAnsi="Arial" w:eastAsia="宋体" w:cs="Arial"/>
                <w:color w:val="auto"/>
                <w:szCs w:val="21"/>
              </w:rPr>
            </w:pPr>
            <w:r>
              <w:rPr>
                <w:rFonts w:hint="default" w:ascii="Arial" w:hAnsi="Arial" w:eastAsia="宋体" w:cs="Arial"/>
                <w:color w:val="auto"/>
                <w:szCs w:val="21"/>
              </w:rPr>
              <w:t>原材料仓库、生产车间</w:t>
            </w:r>
          </w:p>
        </w:tc>
      </w:tr>
      <w:tr w14:paraId="2994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0" w:type="dxa"/>
            <w:vAlign w:val="center"/>
          </w:tcPr>
          <w:p w14:paraId="24B7D8BF">
            <w:pPr>
              <w:keepNext w:val="0"/>
              <w:keepLines w:val="0"/>
              <w:suppressLineNumbers w:val="0"/>
              <w:spacing w:before="0" w:beforeAutospacing="0" w:after="0" w:afterAutospacing="0" w:line="0" w:lineRule="atLeast"/>
              <w:ind w:left="0" w:right="0"/>
              <w:jc w:val="center"/>
              <w:rPr>
                <w:rFonts w:hint="default" w:ascii="Arial" w:hAnsi="Arial" w:eastAsia="宋体" w:cs="Arial"/>
                <w:szCs w:val="21"/>
                <w:lang w:val="en-US" w:eastAsia="zh-CN"/>
              </w:rPr>
            </w:pPr>
            <w:r>
              <w:rPr>
                <w:rFonts w:hint="default" w:ascii="Arial" w:hAnsi="Arial" w:eastAsia="宋体" w:cs="Arial"/>
                <w:szCs w:val="21"/>
                <w:lang w:val="en-US" w:eastAsia="zh-CN"/>
              </w:rPr>
              <w:t>2</w:t>
            </w:r>
          </w:p>
        </w:tc>
        <w:tc>
          <w:tcPr>
            <w:tcW w:w="1858" w:type="dxa"/>
            <w:shd w:val="clear" w:color="auto" w:fill="auto"/>
            <w:vAlign w:val="center"/>
          </w:tcPr>
          <w:p w14:paraId="2BD1347B">
            <w:pPr>
              <w:keepNext w:val="0"/>
              <w:keepLines w:val="0"/>
              <w:suppressLineNumbers w:val="0"/>
              <w:spacing w:before="0" w:beforeAutospacing="0" w:after="0" w:afterAutospacing="0"/>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危险废物</w:t>
            </w:r>
          </w:p>
        </w:tc>
        <w:tc>
          <w:tcPr>
            <w:tcW w:w="1619" w:type="dxa"/>
            <w:shd w:val="clear" w:color="auto" w:fill="auto"/>
            <w:vAlign w:val="center"/>
          </w:tcPr>
          <w:p w14:paraId="1332EDFF">
            <w:pPr>
              <w:keepNext w:val="0"/>
              <w:keepLines w:val="0"/>
              <w:suppressLineNumbers w:val="0"/>
              <w:spacing w:before="0" w:beforeAutospacing="0" w:after="0" w:afterAutospacing="0" w:line="0" w:lineRule="atLeast"/>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8.7</w:t>
            </w:r>
          </w:p>
        </w:tc>
        <w:tc>
          <w:tcPr>
            <w:tcW w:w="1870" w:type="dxa"/>
            <w:shd w:val="clear" w:color="auto" w:fill="auto"/>
            <w:vAlign w:val="center"/>
          </w:tcPr>
          <w:p w14:paraId="53B69D80">
            <w:pPr>
              <w:keepNext w:val="0"/>
              <w:keepLines w:val="0"/>
              <w:suppressLineNumbers w:val="0"/>
              <w:spacing w:before="0" w:beforeAutospacing="0" w:after="0" w:afterAutospacing="0" w:line="0" w:lineRule="atLeast"/>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HJ 169-2018附录B.2</w:t>
            </w:r>
          </w:p>
        </w:tc>
        <w:tc>
          <w:tcPr>
            <w:tcW w:w="1870" w:type="dxa"/>
            <w:shd w:val="clear" w:color="auto" w:fill="auto"/>
            <w:vAlign w:val="center"/>
          </w:tcPr>
          <w:p w14:paraId="436AAB45">
            <w:pPr>
              <w:keepNext w:val="0"/>
              <w:keepLines w:val="0"/>
              <w:suppressLineNumbers w:val="0"/>
              <w:spacing w:before="0" w:beforeAutospacing="0" w:after="0" w:afterAutospacing="0" w:line="0" w:lineRule="atLeast"/>
              <w:ind w:left="0" w:right="0"/>
              <w:jc w:val="center"/>
              <w:rPr>
                <w:rFonts w:hint="default" w:ascii="Arial" w:hAnsi="Arial" w:eastAsia="宋体" w:cs="Arial"/>
                <w:kern w:val="2"/>
                <w:sz w:val="21"/>
                <w:szCs w:val="21"/>
                <w:lang w:val="en-US" w:eastAsia="zh-CN" w:bidi="ar-SA"/>
              </w:rPr>
            </w:pPr>
            <w:r>
              <w:rPr>
                <w:rFonts w:hint="default" w:ascii="Arial" w:hAnsi="Arial" w:eastAsia="宋体" w:cs="Arial"/>
                <w:szCs w:val="21"/>
              </w:rPr>
              <w:t>危废仓库</w:t>
            </w:r>
            <w:r>
              <w:rPr>
                <w:rFonts w:hint="default" w:ascii="Arial" w:hAnsi="Arial" w:eastAsia="宋体" w:cs="Arial"/>
                <w:szCs w:val="21"/>
                <w:lang w:eastAsia="zh-CN"/>
              </w:rPr>
              <w:t>、</w:t>
            </w:r>
            <w:r>
              <w:rPr>
                <w:rFonts w:hint="default" w:ascii="Arial" w:hAnsi="Arial" w:eastAsia="宋体" w:cs="Arial"/>
                <w:szCs w:val="21"/>
                <w:lang w:val="en-US" w:eastAsia="zh-CN"/>
              </w:rPr>
              <w:t>废水处理浓缩液贮存库</w:t>
            </w:r>
          </w:p>
        </w:tc>
      </w:tr>
    </w:tbl>
    <w:p w14:paraId="27276C5D">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4.2.7.2环境风险潜势初判</w:t>
      </w:r>
    </w:p>
    <w:p w14:paraId="6B5B5CF7">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（1）危险物质数量与临界量比值（Q）</w:t>
      </w:r>
    </w:p>
    <w:p w14:paraId="59E694C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对照《建设项目环境风险评价技术导则》（HJ 169—2018）附录C，分别对危险物质数量与临界量比值（Q）、行业及生产工艺（M）进行判定，根据Q、M，确定危险物质及工艺系统危险性（P）。</w:t>
      </w:r>
    </w:p>
    <w:p w14:paraId="26E41D89">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当同一厂区内只涉及一种危险物质时，计算该物质的总量与其临界量比值，即为Q。当存在多种危险物质为时，则按式（1）计算物质总量与其临界量比值（Q）：</w:t>
      </w:r>
    </w:p>
    <w:p w14:paraId="25F950A9">
      <w:pPr>
        <w:keepNext w:val="0"/>
        <w:keepLines w:val="0"/>
        <w:pageBreakBefore w:val="0"/>
        <w:widowControl w:val="0"/>
        <w:kinsoku/>
        <w:wordWrap/>
        <w:overflowPunct/>
        <w:topLinePunct w:val="0"/>
        <w:autoSpaceDE/>
        <w:autoSpaceDN/>
        <w:bidi w:val="0"/>
        <w:adjustRightInd/>
        <w:snapToGrid/>
        <w:spacing w:line="360" w:lineRule="auto"/>
        <w:ind w:left="105" w:leftChars="50" w:firstLine="420" w:firstLineChars="200"/>
        <w:jc w:val="center"/>
        <w:textAlignment w:val="auto"/>
        <w:rPr>
          <w:rFonts w:hint="default" w:ascii="Arial" w:hAnsi="Arial" w:eastAsia="宋体" w:cs="Arial"/>
          <w:sz w:val="24"/>
          <w:szCs w:val="24"/>
        </w:rPr>
      </w:pPr>
      <w:r>
        <w:rPr>
          <w:rFonts w:hint="default" w:ascii="Arial" w:hAnsi="Arial" w:eastAsia="宋体" w:cs="Arial"/>
          <w:szCs w:val="21"/>
        </w:rPr>
        <w:drawing>
          <wp:inline distT="0" distB="0" distL="0" distR="0">
            <wp:extent cx="1447165" cy="445135"/>
            <wp:effectExtent l="0" t="0" r="635" b="0"/>
            <wp:docPr id="2" name="图片 4" descr="C:\Users\Admin\AppData\Local\Temp\ksohtml510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C:\Users\Admin\AppData\Local\Temp\ksohtml5108\wps1.png"/>
                    <pic:cNvPicPr>
                      <a:picLocks noChangeAspect="1" noChangeArrowheads="1"/>
                    </pic:cNvPicPr>
                  </pic:nvPicPr>
                  <pic:blipFill>
                    <a:blip r:embed="rId76"/>
                    <a:srcRect/>
                    <a:stretch>
                      <a:fillRect/>
                    </a:stretch>
                  </pic:blipFill>
                  <pic:spPr>
                    <a:xfrm>
                      <a:off x="0" y="0"/>
                      <a:ext cx="1447165" cy="445135"/>
                    </a:xfrm>
                    <a:prstGeom prst="rect">
                      <a:avLst/>
                    </a:prstGeom>
                    <a:noFill/>
                    <a:ln w="9525">
                      <a:noFill/>
                      <a:miter lim="800000"/>
                      <a:headEnd/>
                      <a:tailEnd/>
                    </a:ln>
                  </pic:spPr>
                </pic:pic>
              </a:graphicData>
            </a:graphic>
          </wp:inline>
        </w:drawing>
      </w:r>
    </w:p>
    <w:p w14:paraId="1E7822D5">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式中：q1，q2……qn——每种危险物质的最大存在总量，t。</w:t>
      </w:r>
    </w:p>
    <w:p w14:paraId="2DDE522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 xml:space="preserve">      Q1，Q2……Qn——每种危险物质的临界量，t。</w:t>
      </w:r>
    </w:p>
    <w:p w14:paraId="6EB569F5">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当Q＜1时，该项目环境风险潜势为Ⅰ。</w:t>
      </w:r>
    </w:p>
    <w:p w14:paraId="4B7E647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当Q≥1时，将Q值划分为：（1）1≤Q＜10；（2）10≤Q＜100；（3）Q≥100。</w:t>
      </w:r>
    </w:p>
    <w:p w14:paraId="0ED7507C">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本项目危险物质数量与临界量比值（Q）判定结果见表4-</w:t>
      </w:r>
      <w:r>
        <w:rPr>
          <w:rFonts w:hint="default" w:ascii="Arial" w:hAnsi="Arial" w:eastAsia="宋体" w:cs="Arial"/>
          <w:sz w:val="24"/>
          <w:szCs w:val="24"/>
          <w:lang w:val="en-US" w:eastAsia="zh-CN"/>
        </w:rPr>
        <w:t>2</w:t>
      </w:r>
      <w:r>
        <w:rPr>
          <w:rFonts w:hint="eastAsia" w:ascii="Arial" w:hAnsi="Arial" w:eastAsia="宋体" w:cs="Arial"/>
          <w:sz w:val="24"/>
          <w:szCs w:val="24"/>
          <w:lang w:val="en-US" w:eastAsia="zh-CN"/>
        </w:rPr>
        <w:t>6</w:t>
      </w:r>
      <w:r>
        <w:rPr>
          <w:rFonts w:hint="default" w:ascii="Arial" w:hAnsi="Arial" w:eastAsia="宋体" w:cs="Arial"/>
          <w:sz w:val="24"/>
          <w:szCs w:val="24"/>
        </w:rPr>
        <w:t>。</w:t>
      </w:r>
    </w:p>
    <w:p w14:paraId="4D98B40C">
      <w:pPr>
        <w:pStyle w:val="2"/>
        <w:rPr>
          <w:rFonts w:hint="default" w:ascii="Arial" w:hAnsi="Arial" w:eastAsia="宋体" w:cs="Arial"/>
          <w:sz w:val="24"/>
          <w:szCs w:val="24"/>
        </w:rPr>
      </w:pPr>
    </w:p>
    <w:p w14:paraId="1B1249F4">
      <w:pPr>
        <w:pStyle w:val="2"/>
        <w:rPr>
          <w:rFonts w:hint="default" w:ascii="Arial" w:hAnsi="Arial" w:eastAsia="宋体" w:cs="Arial"/>
          <w:sz w:val="24"/>
          <w:szCs w:val="24"/>
        </w:rPr>
      </w:pPr>
    </w:p>
    <w:p w14:paraId="7F97318B">
      <w:pPr>
        <w:pStyle w:val="2"/>
        <w:rPr>
          <w:rFonts w:hint="default" w:ascii="Arial" w:hAnsi="Arial" w:eastAsia="宋体" w:cs="Arial"/>
          <w:sz w:val="24"/>
          <w:szCs w:val="24"/>
        </w:rPr>
      </w:pPr>
    </w:p>
    <w:p w14:paraId="756E3C31">
      <w:pPr>
        <w:pStyle w:val="2"/>
        <w:rPr>
          <w:rFonts w:hint="default" w:ascii="Arial" w:hAnsi="Arial" w:eastAsia="宋体" w:cs="Arial"/>
          <w:sz w:val="24"/>
          <w:szCs w:val="24"/>
        </w:rPr>
      </w:pPr>
    </w:p>
    <w:p w14:paraId="2D38D5A3">
      <w:pPr>
        <w:pStyle w:val="2"/>
        <w:rPr>
          <w:rFonts w:hint="default" w:ascii="Arial" w:hAnsi="Arial" w:eastAsia="宋体" w:cs="Arial"/>
          <w:sz w:val="24"/>
          <w:szCs w:val="24"/>
        </w:rPr>
      </w:pPr>
    </w:p>
    <w:p w14:paraId="77971D54">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项目危险物质数量及临界量比值（Q）判定表</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979"/>
        <w:gridCol w:w="2186"/>
        <w:gridCol w:w="1384"/>
        <w:gridCol w:w="1563"/>
      </w:tblGrid>
      <w:tr w14:paraId="5E8B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14:paraId="7921854E">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序号</w:t>
            </w:r>
          </w:p>
        </w:tc>
        <w:tc>
          <w:tcPr>
            <w:tcW w:w="1979" w:type="dxa"/>
            <w:vAlign w:val="center"/>
          </w:tcPr>
          <w:p w14:paraId="193C0C90">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危险物质名称</w:t>
            </w:r>
          </w:p>
        </w:tc>
        <w:tc>
          <w:tcPr>
            <w:tcW w:w="2186" w:type="dxa"/>
            <w:vAlign w:val="center"/>
          </w:tcPr>
          <w:p w14:paraId="7967AF6E">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最大存在总量q</w:t>
            </w:r>
            <w:r>
              <w:rPr>
                <w:rFonts w:hint="default" w:ascii="Arial" w:hAnsi="Arial" w:eastAsia="宋体" w:cs="Arial"/>
                <w:kern w:val="0"/>
                <w:szCs w:val="21"/>
                <w:vertAlign w:val="subscript"/>
              </w:rPr>
              <w:t>n</w:t>
            </w:r>
            <w:r>
              <w:rPr>
                <w:rFonts w:hint="default" w:ascii="Arial" w:hAnsi="Arial" w:eastAsia="宋体" w:cs="Arial"/>
                <w:kern w:val="0"/>
                <w:szCs w:val="21"/>
              </w:rPr>
              <w:t>/t</w:t>
            </w:r>
          </w:p>
        </w:tc>
        <w:tc>
          <w:tcPr>
            <w:tcW w:w="1384" w:type="dxa"/>
            <w:vAlign w:val="center"/>
          </w:tcPr>
          <w:p w14:paraId="63759FAE">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临界量Q</w:t>
            </w:r>
            <w:r>
              <w:rPr>
                <w:rFonts w:hint="default" w:ascii="Arial" w:hAnsi="Arial" w:eastAsia="宋体" w:cs="Arial"/>
                <w:kern w:val="0"/>
                <w:szCs w:val="21"/>
                <w:vertAlign w:val="subscript"/>
              </w:rPr>
              <w:t>n</w:t>
            </w:r>
            <w:r>
              <w:rPr>
                <w:rFonts w:hint="default" w:ascii="Arial" w:hAnsi="Arial" w:eastAsia="宋体" w:cs="Arial"/>
                <w:kern w:val="0"/>
                <w:szCs w:val="21"/>
              </w:rPr>
              <w:t>/t</w:t>
            </w:r>
          </w:p>
        </w:tc>
        <w:tc>
          <w:tcPr>
            <w:tcW w:w="1563" w:type="dxa"/>
            <w:vAlign w:val="center"/>
          </w:tcPr>
          <w:p w14:paraId="6672F17B">
            <w:pPr>
              <w:keepNext w:val="0"/>
              <w:keepLines w:val="0"/>
              <w:widowControl/>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Q值</w:t>
            </w:r>
          </w:p>
        </w:tc>
      </w:tr>
      <w:tr w14:paraId="27D2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14:paraId="4B147A44">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1</w:t>
            </w:r>
          </w:p>
        </w:tc>
        <w:tc>
          <w:tcPr>
            <w:tcW w:w="1979" w:type="dxa"/>
            <w:shd w:val="clear" w:color="auto" w:fill="auto"/>
            <w:vAlign w:val="center"/>
          </w:tcPr>
          <w:p w14:paraId="653563BB">
            <w:pPr>
              <w:keepNext w:val="0"/>
              <w:keepLines w:val="0"/>
              <w:suppressLineNumbers w:val="0"/>
              <w:spacing w:before="0" w:beforeAutospacing="0" w:after="0" w:afterAutospacing="0"/>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lang w:val="en-US" w:eastAsia="zh-CN"/>
              </w:rPr>
              <w:t>切削液</w:t>
            </w:r>
          </w:p>
        </w:tc>
        <w:tc>
          <w:tcPr>
            <w:tcW w:w="2186" w:type="dxa"/>
            <w:shd w:val="clear" w:color="auto" w:fill="auto"/>
            <w:vAlign w:val="center"/>
          </w:tcPr>
          <w:p w14:paraId="4E687C07">
            <w:pPr>
              <w:keepNext w:val="0"/>
              <w:keepLines w:val="0"/>
              <w:suppressLineNumbers w:val="0"/>
              <w:spacing w:before="0" w:beforeAutospacing="0" w:after="0" w:afterAutospacing="0" w:line="0" w:lineRule="atLeast"/>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0.5</w:t>
            </w:r>
          </w:p>
        </w:tc>
        <w:tc>
          <w:tcPr>
            <w:tcW w:w="1384" w:type="dxa"/>
            <w:shd w:val="clear" w:color="auto" w:fill="auto"/>
            <w:vAlign w:val="center"/>
          </w:tcPr>
          <w:p w14:paraId="69D2DBC7">
            <w:pPr>
              <w:keepNext w:val="0"/>
              <w:keepLines w:val="0"/>
              <w:widowControl/>
              <w:suppressLineNumbers w:val="0"/>
              <w:spacing w:before="0" w:beforeAutospacing="0" w:after="0" w:afterAutospacing="0"/>
              <w:ind w:left="0" w:right="0"/>
              <w:jc w:val="center"/>
              <w:rPr>
                <w:rFonts w:hint="default" w:ascii="Arial" w:hAnsi="Arial" w:eastAsia="宋体" w:cs="Arial"/>
                <w:color w:val="auto"/>
                <w:kern w:val="0"/>
                <w:sz w:val="21"/>
                <w:szCs w:val="21"/>
                <w:lang w:val="en-US" w:eastAsia="zh-CN" w:bidi="ar-SA"/>
              </w:rPr>
            </w:pPr>
            <w:r>
              <w:rPr>
                <w:rFonts w:hint="default" w:ascii="Arial" w:hAnsi="Arial" w:eastAsia="宋体" w:cs="Arial"/>
                <w:color w:val="auto"/>
                <w:kern w:val="0"/>
                <w:szCs w:val="21"/>
                <w:lang w:val="en-US" w:eastAsia="zh-CN"/>
              </w:rPr>
              <w:t>2500</w:t>
            </w:r>
          </w:p>
        </w:tc>
        <w:tc>
          <w:tcPr>
            <w:tcW w:w="1563" w:type="dxa"/>
            <w:shd w:val="clear" w:color="auto" w:fill="auto"/>
            <w:vAlign w:val="center"/>
          </w:tcPr>
          <w:p w14:paraId="02E8721D">
            <w:pPr>
              <w:keepNext w:val="0"/>
              <w:keepLines w:val="0"/>
              <w:widowControl/>
              <w:suppressLineNumbers w:val="0"/>
              <w:spacing w:before="0" w:beforeAutospacing="0" w:after="0" w:afterAutospacing="0"/>
              <w:ind w:left="0" w:right="0"/>
              <w:jc w:val="center"/>
              <w:rPr>
                <w:rFonts w:hint="default" w:ascii="Arial" w:hAnsi="Arial" w:eastAsia="宋体" w:cs="Arial"/>
                <w:color w:val="auto"/>
                <w:kern w:val="0"/>
                <w:sz w:val="21"/>
                <w:szCs w:val="21"/>
                <w:lang w:val="en-US" w:eastAsia="zh-CN" w:bidi="ar-SA"/>
              </w:rPr>
            </w:pPr>
            <w:r>
              <w:rPr>
                <w:rFonts w:hint="default" w:ascii="Arial" w:hAnsi="Arial" w:eastAsia="宋体" w:cs="Arial"/>
                <w:color w:val="auto"/>
                <w:kern w:val="0"/>
                <w:szCs w:val="21"/>
                <w:lang w:val="en-US" w:eastAsia="zh-CN"/>
              </w:rPr>
              <w:t>0.0002</w:t>
            </w:r>
          </w:p>
        </w:tc>
      </w:tr>
      <w:tr w14:paraId="79ED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14:paraId="77CDD659">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2</w:t>
            </w:r>
          </w:p>
        </w:tc>
        <w:tc>
          <w:tcPr>
            <w:tcW w:w="1979" w:type="dxa"/>
            <w:shd w:val="clear" w:color="auto" w:fill="auto"/>
            <w:vAlign w:val="center"/>
          </w:tcPr>
          <w:p w14:paraId="670E108D">
            <w:pPr>
              <w:keepNext w:val="0"/>
              <w:keepLines w:val="0"/>
              <w:suppressLineNumbers w:val="0"/>
              <w:spacing w:before="0" w:beforeAutospacing="0" w:after="0" w:afterAutospacing="0"/>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rPr>
              <w:t>危险废物</w:t>
            </w:r>
          </w:p>
        </w:tc>
        <w:tc>
          <w:tcPr>
            <w:tcW w:w="2186" w:type="dxa"/>
            <w:shd w:val="clear" w:color="auto" w:fill="auto"/>
            <w:vAlign w:val="center"/>
          </w:tcPr>
          <w:p w14:paraId="6181D703">
            <w:pPr>
              <w:keepNext w:val="0"/>
              <w:keepLines w:val="0"/>
              <w:suppressLineNumbers w:val="0"/>
              <w:spacing w:before="0" w:beforeAutospacing="0" w:after="0" w:afterAutospacing="0" w:line="0" w:lineRule="atLeast"/>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8.7</w:t>
            </w:r>
          </w:p>
        </w:tc>
        <w:tc>
          <w:tcPr>
            <w:tcW w:w="1384" w:type="dxa"/>
            <w:shd w:val="clear" w:color="auto" w:fill="auto"/>
            <w:vAlign w:val="center"/>
          </w:tcPr>
          <w:p w14:paraId="5B4EE2D1">
            <w:pPr>
              <w:keepNext w:val="0"/>
              <w:keepLines w:val="0"/>
              <w:widowControl/>
              <w:suppressLineNumbers w:val="0"/>
              <w:spacing w:before="0" w:beforeAutospacing="0" w:after="0" w:afterAutospacing="0"/>
              <w:ind w:left="0" w:right="0"/>
              <w:jc w:val="center"/>
              <w:rPr>
                <w:rFonts w:hint="default" w:ascii="Arial" w:hAnsi="Arial" w:eastAsia="宋体" w:cs="Arial"/>
                <w:color w:val="auto"/>
                <w:kern w:val="0"/>
                <w:sz w:val="21"/>
                <w:szCs w:val="21"/>
                <w:lang w:val="en-US" w:eastAsia="zh-CN" w:bidi="ar-SA"/>
              </w:rPr>
            </w:pPr>
            <w:r>
              <w:rPr>
                <w:rFonts w:hint="default" w:ascii="Arial" w:hAnsi="Arial" w:eastAsia="宋体" w:cs="Arial"/>
                <w:color w:val="auto"/>
                <w:kern w:val="0"/>
                <w:szCs w:val="21"/>
              </w:rPr>
              <w:t>50</w:t>
            </w:r>
          </w:p>
        </w:tc>
        <w:tc>
          <w:tcPr>
            <w:tcW w:w="1563" w:type="dxa"/>
            <w:shd w:val="clear" w:color="auto" w:fill="auto"/>
            <w:vAlign w:val="center"/>
          </w:tcPr>
          <w:p w14:paraId="3EBE50F3">
            <w:pPr>
              <w:keepNext w:val="0"/>
              <w:keepLines w:val="0"/>
              <w:widowControl/>
              <w:suppressLineNumbers w:val="0"/>
              <w:spacing w:before="0" w:beforeAutospacing="0" w:after="0" w:afterAutospacing="0"/>
              <w:ind w:left="0" w:right="0"/>
              <w:jc w:val="center"/>
              <w:rPr>
                <w:rFonts w:hint="default" w:ascii="Arial" w:hAnsi="Arial" w:eastAsia="宋体" w:cs="Arial"/>
                <w:color w:val="auto"/>
                <w:kern w:val="0"/>
                <w:sz w:val="21"/>
                <w:szCs w:val="21"/>
                <w:lang w:val="en-US" w:eastAsia="zh-CN" w:bidi="ar-SA"/>
              </w:rPr>
            </w:pPr>
            <w:r>
              <w:rPr>
                <w:rFonts w:hint="default" w:ascii="Arial" w:hAnsi="Arial" w:eastAsia="宋体" w:cs="Arial"/>
                <w:color w:val="auto"/>
                <w:kern w:val="0"/>
                <w:szCs w:val="21"/>
              </w:rPr>
              <w:t>0.</w:t>
            </w:r>
            <w:r>
              <w:rPr>
                <w:rFonts w:hint="default" w:ascii="Arial" w:hAnsi="Arial" w:eastAsia="宋体" w:cs="Arial"/>
                <w:color w:val="auto"/>
                <w:kern w:val="0"/>
                <w:szCs w:val="21"/>
                <w:lang w:val="en-US" w:eastAsia="zh-CN"/>
              </w:rPr>
              <w:t>174</w:t>
            </w:r>
          </w:p>
        </w:tc>
      </w:tr>
      <w:tr w14:paraId="5F46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4" w:type="dxa"/>
            <w:gridSpan w:val="4"/>
            <w:vAlign w:val="center"/>
          </w:tcPr>
          <w:p w14:paraId="6125CAC5">
            <w:pPr>
              <w:keepNext w:val="0"/>
              <w:keepLines w:val="0"/>
              <w:suppressLineNumbers w:val="0"/>
              <w:spacing w:before="0" w:beforeAutospacing="0" w:after="0" w:afterAutospacing="0"/>
              <w:ind w:left="0" w:right="0"/>
              <w:jc w:val="center"/>
              <w:rPr>
                <w:rFonts w:hint="default" w:ascii="Arial" w:hAnsi="Arial" w:eastAsia="宋体" w:cs="Arial"/>
                <w:color w:val="auto"/>
                <w:szCs w:val="21"/>
              </w:rPr>
            </w:pPr>
            <w:r>
              <w:rPr>
                <w:rFonts w:hint="default" w:ascii="Arial" w:hAnsi="Arial" w:eastAsia="宋体" w:cs="Arial"/>
                <w:color w:val="auto"/>
                <w:kern w:val="0"/>
                <w:szCs w:val="21"/>
              </w:rPr>
              <w:t>项目Q值∑</w:t>
            </w:r>
          </w:p>
        </w:tc>
        <w:tc>
          <w:tcPr>
            <w:tcW w:w="1563" w:type="dxa"/>
            <w:vAlign w:val="center"/>
          </w:tcPr>
          <w:p w14:paraId="6BF0A8BE">
            <w:pPr>
              <w:keepNext w:val="0"/>
              <w:keepLines w:val="0"/>
              <w:suppressLineNumbers w:val="0"/>
              <w:spacing w:before="0" w:beforeAutospacing="0" w:after="0" w:afterAutospacing="0"/>
              <w:ind w:left="0" w:right="0"/>
              <w:jc w:val="center"/>
              <w:rPr>
                <w:rFonts w:hint="default" w:ascii="Arial" w:hAnsi="Arial" w:eastAsia="宋体" w:cs="Arial"/>
                <w:color w:val="auto"/>
                <w:szCs w:val="21"/>
                <w:lang w:val="en-US" w:eastAsia="zh-CN"/>
              </w:rPr>
            </w:pPr>
            <w:r>
              <w:rPr>
                <w:rFonts w:hint="default" w:ascii="Arial" w:hAnsi="Arial" w:eastAsia="宋体" w:cs="Arial"/>
                <w:color w:val="auto"/>
                <w:szCs w:val="21"/>
              </w:rPr>
              <w:t>0.</w:t>
            </w:r>
            <w:r>
              <w:rPr>
                <w:rFonts w:hint="default" w:ascii="Arial" w:hAnsi="Arial" w:eastAsia="宋体" w:cs="Arial"/>
                <w:color w:val="auto"/>
                <w:szCs w:val="21"/>
                <w:lang w:val="en-US" w:eastAsia="zh-CN"/>
              </w:rPr>
              <w:t>1742</w:t>
            </w:r>
          </w:p>
        </w:tc>
      </w:tr>
    </w:tbl>
    <w:p w14:paraId="6BBAE5EA">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color w:val="auto"/>
          <w:sz w:val="24"/>
          <w:szCs w:val="24"/>
        </w:rPr>
        <w:t>由表可知，项目危险物质最大存储量与临界量比值Q=0.</w:t>
      </w:r>
      <w:r>
        <w:rPr>
          <w:rFonts w:hint="default" w:ascii="Arial" w:hAnsi="Arial" w:eastAsia="宋体" w:cs="Arial"/>
          <w:color w:val="auto"/>
          <w:sz w:val="24"/>
          <w:szCs w:val="24"/>
          <w:lang w:val="en-US" w:eastAsia="zh-CN"/>
        </w:rPr>
        <w:t>1742</w:t>
      </w:r>
      <w:r>
        <w:rPr>
          <w:rFonts w:hint="default" w:ascii="Arial" w:hAnsi="Arial" w:eastAsia="宋体" w:cs="Arial"/>
          <w:color w:val="auto"/>
          <w:sz w:val="24"/>
          <w:szCs w:val="24"/>
        </w:rPr>
        <w:t>，Q＜</w:t>
      </w:r>
      <w:r>
        <w:rPr>
          <w:rFonts w:hint="default" w:ascii="Arial" w:hAnsi="Arial" w:eastAsia="宋体" w:cs="Arial"/>
          <w:sz w:val="24"/>
          <w:szCs w:val="24"/>
        </w:rPr>
        <w:t>1，不设置环境风险专项评价。</w:t>
      </w:r>
    </w:p>
    <w:p w14:paraId="1E1467C2">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4.2.7.3环境风险识别及影响途径</w:t>
      </w:r>
    </w:p>
    <w:p w14:paraId="7EBE93D7">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1、危险物质识别</w:t>
      </w:r>
    </w:p>
    <w:p w14:paraId="6B8CD3D5">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本项目所用原料中所涉及的危险物质主要</w:t>
      </w:r>
      <w:r>
        <w:rPr>
          <w:rFonts w:hint="default" w:ascii="Arial" w:hAnsi="Arial" w:eastAsia="宋体" w:cs="Arial"/>
          <w:sz w:val="24"/>
          <w:szCs w:val="24"/>
          <w:lang w:val="en-US" w:eastAsia="zh-CN"/>
        </w:rPr>
        <w:t>为</w:t>
      </w:r>
      <w:r>
        <w:rPr>
          <w:rFonts w:hint="default" w:ascii="Arial" w:hAnsi="Arial" w:eastAsia="宋体" w:cs="Arial"/>
          <w:sz w:val="24"/>
          <w:szCs w:val="24"/>
        </w:rPr>
        <w:t>危险废物</w:t>
      </w:r>
      <w:r>
        <w:rPr>
          <w:rFonts w:hint="default" w:ascii="Arial" w:hAnsi="Arial" w:eastAsia="宋体" w:cs="Arial"/>
          <w:sz w:val="24"/>
          <w:szCs w:val="24"/>
          <w:lang w:eastAsia="zh-CN"/>
        </w:rPr>
        <w:t>，</w:t>
      </w:r>
      <w:r>
        <w:rPr>
          <w:rFonts w:hint="default" w:ascii="Arial" w:hAnsi="Arial" w:eastAsia="宋体" w:cs="Arial"/>
          <w:sz w:val="24"/>
          <w:szCs w:val="24"/>
        </w:rPr>
        <w:t>见表4-</w:t>
      </w:r>
      <w:r>
        <w:rPr>
          <w:rFonts w:hint="default" w:ascii="Arial" w:hAnsi="Arial" w:eastAsia="宋体" w:cs="Arial"/>
          <w:sz w:val="24"/>
          <w:szCs w:val="24"/>
          <w:lang w:val="en-US" w:eastAsia="zh-CN"/>
        </w:rPr>
        <w:t>2</w:t>
      </w:r>
      <w:r>
        <w:rPr>
          <w:rFonts w:hint="eastAsia" w:ascii="Arial" w:hAnsi="Arial" w:eastAsia="宋体" w:cs="Arial"/>
          <w:sz w:val="24"/>
          <w:szCs w:val="24"/>
          <w:lang w:val="en-US" w:eastAsia="zh-CN"/>
        </w:rPr>
        <w:t>7</w:t>
      </w:r>
      <w:r>
        <w:rPr>
          <w:rFonts w:hint="default" w:ascii="Arial" w:hAnsi="Arial" w:eastAsia="宋体" w:cs="Arial"/>
          <w:sz w:val="24"/>
          <w:szCs w:val="24"/>
        </w:rPr>
        <w:t>。</w:t>
      </w:r>
    </w:p>
    <w:p w14:paraId="6ABB936F">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危险物质特性一览表</w:t>
      </w:r>
    </w:p>
    <w:tbl>
      <w:tblPr>
        <w:tblStyle w:val="52"/>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722"/>
        <w:gridCol w:w="642"/>
        <w:gridCol w:w="1620"/>
        <w:gridCol w:w="1309"/>
        <w:gridCol w:w="2026"/>
      </w:tblGrid>
      <w:tr w14:paraId="04D1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vAlign w:val="center"/>
          </w:tcPr>
          <w:p w14:paraId="0CFD6C3E">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序号</w:t>
            </w:r>
          </w:p>
        </w:tc>
        <w:tc>
          <w:tcPr>
            <w:tcW w:w="1084" w:type="pct"/>
            <w:vAlign w:val="center"/>
          </w:tcPr>
          <w:p w14:paraId="211E4D60">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危险物质名称</w:t>
            </w:r>
          </w:p>
        </w:tc>
        <w:tc>
          <w:tcPr>
            <w:tcW w:w="404" w:type="pct"/>
            <w:vAlign w:val="center"/>
          </w:tcPr>
          <w:p w14:paraId="10A155D7">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相态</w:t>
            </w:r>
          </w:p>
        </w:tc>
        <w:tc>
          <w:tcPr>
            <w:tcW w:w="1020" w:type="pct"/>
            <w:vAlign w:val="center"/>
          </w:tcPr>
          <w:p w14:paraId="1180CBC5">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爆炸极限（%）</w:t>
            </w:r>
          </w:p>
        </w:tc>
        <w:tc>
          <w:tcPr>
            <w:tcW w:w="824" w:type="pct"/>
            <w:vAlign w:val="center"/>
          </w:tcPr>
          <w:p w14:paraId="7760042D">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危险特性</w:t>
            </w:r>
          </w:p>
        </w:tc>
        <w:tc>
          <w:tcPr>
            <w:tcW w:w="1275" w:type="pct"/>
            <w:vAlign w:val="center"/>
          </w:tcPr>
          <w:p w14:paraId="610203D0">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所在位置</w:t>
            </w:r>
          </w:p>
        </w:tc>
      </w:tr>
      <w:tr w14:paraId="7083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vAlign w:val="center"/>
          </w:tcPr>
          <w:p w14:paraId="100792CB">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1</w:t>
            </w:r>
          </w:p>
        </w:tc>
        <w:tc>
          <w:tcPr>
            <w:tcW w:w="1084" w:type="pct"/>
            <w:vAlign w:val="center"/>
          </w:tcPr>
          <w:p w14:paraId="54AF6177">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szCs w:val="21"/>
              </w:rPr>
              <w:t>危险废物</w:t>
            </w:r>
          </w:p>
        </w:tc>
        <w:tc>
          <w:tcPr>
            <w:tcW w:w="404" w:type="pct"/>
            <w:vAlign w:val="center"/>
          </w:tcPr>
          <w:p w14:paraId="5FFF4ECA">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rPr>
              <w:t>固</w:t>
            </w:r>
            <w:r>
              <w:rPr>
                <w:rFonts w:hint="default" w:ascii="Arial" w:hAnsi="Arial" w:eastAsia="宋体" w:cs="Arial"/>
                <w:kern w:val="0"/>
                <w:szCs w:val="21"/>
                <w:lang w:val="en-US" w:eastAsia="zh-CN"/>
              </w:rPr>
              <w:t>/液</w:t>
            </w:r>
          </w:p>
        </w:tc>
        <w:tc>
          <w:tcPr>
            <w:tcW w:w="1020" w:type="pct"/>
            <w:vAlign w:val="center"/>
          </w:tcPr>
          <w:p w14:paraId="6C940B09">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w:t>
            </w:r>
          </w:p>
        </w:tc>
        <w:tc>
          <w:tcPr>
            <w:tcW w:w="824" w:type="pct"/>
            <w:vAlign w:val="center"/>
          </w:tcPr>
          <w:p w14:paraId="0C3B498C">
            <w:pPr>
              <w:keepNext w:val="0"/>
              <w:keepLines w:val="0"/>
              <w:suppressLineNumbers w:val="0"/>
              <w:spacing w:before="0" w:beforeAutospacing="0" w:after="0" w:afterAutospacing="0"/>
              <w:ind w:left="0" w:right="0"/>
              <w:jc w:val="center"/>
              <w:rPr>
                <w:rFonts w:hint="default" w:ascii="Arial" w:hAnsi="Arial" w:eastAsia="宋体" w:cs="Arial"/>
                <w:kern w:val="0"/>
                <w:szCs w:val="21"/>
              </w:rPr>
            </w:pPr>
            <w:r>
              <w:rPr>
                <w:rFonts w:hint="default" w:ascii="Arial" w:hAnsi="Arial" w:eastAsia="宋体" w:cs="Arial"/>
                <w:kern w:val="0"/>
                <w:szCs w:val="21"/>
              </w:rPr>
              <w:t>有毒、易燃</w:t>
            </w:r>
          </w:p>
        </w:tc>
        <w:tc>
          <w:tcPr>
            <w:tcW w:w="1275" w:type="pct"/>
            <w:vAlign w:val="center"/>
          </w:tcPr>
          <w:p w14:paraId="564E30A3">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rPr>
              <w:t>危废仓库</w:t>
            </w:r>
          </w:p>
        </w:tc>
      </w:tr>
      <w:tr w14:paraId="390F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vAlign w:val="center"/>
          </w:tcPr>
          <w:p w14:paraId="064027C6">
            <w:pPr>
              <w:keepNext w:val="0"/>
              <w:keepLines w:val="0"/>
              <w:suppressLineNumbers w:val="0"/>
              <w:spacing w:before="0" w:beforeAutospacing="0" w:after="0" w:afterAutospacing="0"/>
              <w:ind w:left="0" w:right="0"/>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2</w:t>
            </w:r>
          </w:p>
        </w:tc>
        <w:tc>
          <w:tcPr>
            <w:tcW w:w="1084" w:type="pct"/>
            <w:shd w:val="clear" w:color="auto" w:fill="auto"/>
            <w:vAlign w:val="center"/>
          </w:tcPr>
          <w:p w14:paraId="60991F97">
            <w:pPr>
              <w:keepNext w:val="0"/>
              <w:keepLines w:val="0"/>
              <w:suppressLineNumbers w:val="0"/>
              <w:spacing w:before="0" w:beforeAutospacing="0" w:after="0" w:afterAutospacing="0"/>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szCs w:val="21"/>
                <w:lang w:val="en-US" w:eastAsia="zh-CN"/>
              </w:rPr>
              <w:t>切削液</w:t>
            </w:r>
          </w:p>
        </w:tc>
        <w:tc>
          <w:tcPr>
            <w:tcW w:w="404" w:type="pct"/>
            <w:shd w:val="clear" w:color="auto" w:fill="auto"/>
            <w:vAlign w:val="center"/>
          </w:tcPr>
          <w:p w14:paraId="121B77A2">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lang w:val="en-US" w:eastAsia="zh-CN"/>
              </w:rPr>
              <w:t>液</w:t>
            </w:r>
          </w:p>
        </w:tc>
        <w:tc>
          <w:tcPr>
            <w:tcW w:w="1020" w:type="pct"/>
            <w:shd w:val="clear" w:color="auto" w:fill="auto"/>
            <w:vAlign w:val="center"/>
          </w:tcPr>
          <w:p w14:paraId="7E88638E">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lang w:val="en-US" w:eastAsia="zh-CN"/>
              </w:rPr>
              <w:t>/</w:t>
            </w:r>
          </w:p>
        </w:tc>
        <w:tc>
          <w:tcPr>
            <w:tcW w:w="824" w:type="pct"/>
            <w:shd w:val="clear" w:color="auto" w:fill="auto"/>
            <w:vAlign w:val="center"/>
          </w:tcPr>
          <w:p w14:paraId="23797B6B">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rPr>
              <w:t>易燃</w:t>
            </w:r>
          </w:p>
        </w:tc>
        <w:tc>
          <w:tcPr>
            <w:tcW w:w="1275" w:type="pct"/>
            <w:shd w:val="clear" w:color="auto" w:fill="auto"/>
            <w:vAlign w:val="center"/>
          </w:tcPr>
          <w:p w14:paraId="3FAA89F4">
            <w:pPr>
              <w:keepNext w:val="0"/>
              <w:keepLines w:val="0"/>
              <w:suppressLineNumbers w:val="0"/>
              <w:spacing w:before="0" w:beforeAutospacing="0" w:after="0" w:afterAutospacing="0"/>
              <w:ind w:left="0" w:right="0"/>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lang w:val="en-US" w:eastAsia="zh-CN"/>
              </w:rPr>
              <w:t>原料仓库、生产车间</w:t>
            </w:r>
          </w:p>
        </w:tc>
      </w:tr>
    </w:tbl>
    <w:p w14:paraId="4DA80C2A">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2、环境风险源分布及影响途径</w:t>
      </w:r>
    </w:p>
    <w:p w14:paraId="6A34068F">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根据对项目的生产特征分析，结合物质危险性识别，根据不同的功能系统划分功能单元，对项目生产过程潜在危险型进行识别，具体见表4-</w:t>
      </w:r>
      <w:r>
        <w:rPr>
          <w:rFonts w:hint="default" w:ascii="Arial" w:hAnsi="Arial" w:eastAsia="宋体" w:cs="Arial"/>
          <w:sz w:val="24"/>
          <w:szCs w:val="24"/>
          <w:lang w:val="en-US" w:eastAsia="zh-CN"/>
        </w:rPr>
        <w:t>2</w:t>
      </w:r>
      <w:r>
        <w:rPr>
          <w:rFonts w:hint="eastAsia" w:ascii="Arial" w:hAnsi="Arial" w:eastAsia="宋体" w:cs="Arial"/>
          <w:sz w:val="24"/>
          <w:szCs w:val="24"/>
          <w:lang w:val="en-US" w:eastAsia="zh-CN"/>
        </w:rPr>
        <w:t>8</w:t>
      </w:r>
      <w:r>
        <w:rPr>
          <w:rFonts w:hint="default" w:ascii="Arial" w:hAnsi="Arial" w:eastAsia="宋体" w:cs="Arial"/>
          <w:sz w:val="24"/>
          <w:szCs w:val="24"/>
        </w:rPr>
        <w:t>。</w:t>
      </w:r>
    </w:p>
    <w:p w14:paraId="6BFE52CF">
      <w:pPr>
        <w:pStyle w:val="76"/>
        <w:numPr>
          <w:ilvl w:val="3"/>
          <w:numId w:val="5"/>
        </w:numPr>
        <w:ind w:left="777" w:leftChars="0" w:firstLineChars="0"/>
        <w:jc w:val="center"/>
        <w:outlineLvl w:val="3"/>
        <w:rPr>
          <w:rFonts w:hint="default" w:ascii="Arial" w:hAnsi="Arial" w:eastAsia="宋体" w:cs="Arial"/>
          <w:b/>
          <w:bCs/>
          <w:sz w:val="24"/>
          <w:szCs w:val="24"/>
        </w:rPr>
      </w:pPr>
      <w:r>
        <w:rPr>
          <w:rFonts w:hint="default" w:ascii="Arial" w:hAnsi="Arial" w:eastAsia="宋体" w:cs="Arial"/>
          <w:b/>
          <w:bCs/>
          <w:sz w:val="24"/>
          <w:szCs w:val="24"/>
        </w:rPr>
        <w:t xml:space="preserve">  建设项目生产过程潜在危险性识别</w:t>
      </w:r>
    </w:p>
    <w:tbl>
      <w:tblPr>
        <w:tblStyle w:val="5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698"/>
        <w:gridCol w:w="1127"/>
        <w:gridCol w:w="3184"/>
        <w:gridCol w:w="1831"/>
      </w:tblGrid>
      <w:tr w14:paraId="0D92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0" w:type="dxa"/>
            <w:vAlign w:val="center"/>
          </w:tcPr>
          <w:p w14:paraId="4FACF925">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风险单元</w:t>
            </w:r>
          </w:p>
        </w:tc>
        <w:tc>
          <w:tcPr>
            <w:tcW w:w="710" w:type="dxa"/>
            <w:vAlign w:val="center"/>
          </w:tcPr>
          <w:p w14:paraId="49B991F2">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风险类型</w:t>
            </w:r>
          </w:p>
        </w:tc>
        <w:tc>
          <w:tcPr>
            <w:tcW w:w="1151" w:type="dxa"/>
            <w:vAlign w:val="center"/>
          </w:tcPr>
          <w:p w14:paraId="040C58C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危险物质</w:t>
            </w:r>
          </w:p>
        </w:tc>
        <w:tc>
          <w:tcPr>
            <w:tcW w:w="3262" w:type="dxa"/>
            <w:vAlign w:val="center"/>
          </w:tcPr>
          <w:p w14:paraId="5B17E43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影响途径</w:t>
            </w:r>
          </w:p>
        </w:tc>
        <w:tc>
          <w:tcPr>
            <w:tcW w:w="1873" w:type="dxa"/>
            <w:vAlign w:val="center"/>
          </w:tcPr>
          <w:p w14:paraId="722F8A14">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可能受影响的环境敏感目标</w:t>
            </w:r>
          </w:p>
        </w:tc>
      </w:tr>
      <w:tr w14:paraId="6664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0" w:type="dxa"/>
            <w:vAlign w:val="center"/>
          </w:tcPr>
          <w:p w14:paraId="1AA6270F">
            <w:pPr>
              <w:keepNext w:val="0"/>
              <w:keepLines w:val="0"/>
              <w:suppressLineNumbers w:val="0"/>
              <w:spacing w:before="0" w:beforeAutospacing="0" w:after="0" w:afterAutospacing="0"/>
              <w:ind w:left="0" w:right="0"/>
              <w:jc w:val="center"/>
              <w:rPr>
                <w:rFonts w:hint="default" w:ascii="Arial" w:hAnsi="Arial" w:eastAsia="宋体" w:cs="Arial"/>
                <w:szCs w:val="21"/>
                <w:lang w:val="en-US" w:eastAsia="zh-CN"/>
              </w:rPr>
            </w:pPr>
            <w:r>
              <w:rPr>
                <w:rFonts w:hint="default" w:ascii="Arial" w:hAnsi="Arial" w:eastAsia="宋体" w:cs="Arial"/>
                <w:szCs w:val="21"/>
              </w:rPr>
              <w:t>危废仓库</w:t>
            </w:r>
          </w:p>
        </w:tc>
        <w:tc>
          <w:tcPr>
            <w:tcW w:w="710" w:type="dxa"/>
            <w:vAlign w:val="center"/>
          </w:tcPr>
          <w:p w14:paraId="3762801F">
            <w:pPr>
              <w:keepNext w:val="0"/>
              <w:keepLines w:val="0"/>
              <w:widowControl/>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泄漏</w:t>
            </w:r>
          </w:p>
        </w:tc>
        <w:tc>
          <w:tcPr>
            <w:tcW w:w="1151" w:type="dxa"/>
            <w:vAlign w:val="center"/>
          </w:tcPr>
          <w:p w14:paraId="67A3D3EF">
            <w:pPr>
              <w:keepNext w:val="0"/>
              <w:keepLines w:val="0"/>
              <w:widowControl/>
              <w:suppressLineNumbers w:val="0"/>
              <w:spacing w:before="0" w:beforeAutospacing="0" w:after="0" w:afterAutospacing="0"/>
              <w:ind w:left="0" w:right="0"/>
              <w:jc w:val="left"/>
              <w:rPr>
                <w:rFonts w:hint="default" w:ascii="Arial" w:hAnsi="Arial" w:eastAsia="宋体" w:cs="Arial"/>
                <w:szCs w:val="21"/>
              </w:rPr>
            </w:pPr>
            <w:r>
              <w:rPr>
                <w:rFonts w:hint="default" w:ascii="Arial" w:hAnsi="Arial" w:eastAsia="宋体" w:cs="Arial"/>
                <w:szCs w:val="21"/>
              </w:rPr>
              <w:t>健康危险急性毒性物质</w:t>
            </w:r>
          </w:p>
        </w:tc>
        <w:tc>
          <w:tcPr>
            <w:tcW w:w="3262" w:type="dxa"/>
            <w:vAlign w:val="center"/>
          </w:tcPr>
          <w:p w14:paraId="4CB357F6">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1、泄露后流入地表水，渗透土壤，污染地下水；</w:t>
            </w:r>
          </w:p>
          <w:p w14:paraId="6927E923">
            <w:pPr>
              <w:keepNext w:val="0"/>
              <w:keepLines w:val="0"/>
              <w:suppressLineNumbers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rPr>
              <w:t>2、泄漏后挥发至空气中；</w:t>
            </w:r>
          </w:p>
          <w:p w14:paraId="5733EF56">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3、遇明火发生火灾，燃烧二次污染物进入大气；</w:t>
            </w:r>
          </w:p>
          <w:p w14:paraId="1C65DE6B">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szCs w:val="21"/>
              </w:rPr>
              <w:t>4、消防废水进入地表水体；</w:t>
            </w:r>
          </w:p>
        </w:tc>
        <w:tc>
          <w:tcPr>
            <w:tcW w:w="1873" w:type="dxa"/>
            <w:vAlign w:val="center"/>
          </w:tcPr>
          <w:p w14:paraId="41052ADC">
            <w:pPr>
              <w:keepNext w:val="0"/>
              <w:keepLines w:val="0"/>
              <w:suppressLineNumbers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rPr>
              <w:t>1、途径地表水、地下水；</w:t>
            </w:r>
          </w:p>
          <w:p w14:paraId="07454C95">
            <w:pPr>
              <w:keepNext w:val="0"/>
              <w:keepLines w:val="0"/>
              <w:suppressLineNumbers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rPr>
              <w:t>2、周边土壤及生物。</w:t>
            </w:r>
          </w:p>
          <w:p w14:paraId="1510CD93">
            <w:pPr>
              <w:keepNext w:val="0"/>
              <w:keepLines w:val="0"/>
              <w:suppressLineNumbers w:val="0"/>
              <w:spacing w:before="0" w:beforeAutospacing="0" w:after="0" w:afterAutospacing="0"/>
              <w:ind w:left="0" w:right="0"/>
              <w:rPr>
                <w:rFonts w:hint="default" w:ascii="Arial" w:hAnsi="Arial" w:eastAsia="宋体" w:cs="Arial"/>
                <w:szCs w:val="21"/>
              </w:rPr>
            </w:pPr>
            <w:r>
              <w:rPr>
                <w:rFonts w:hint="default" w:ascii="Arial" w:hAnsi="Arial" w:eastAsia="宋体" w:cs="Arial"/>
                <w:szCs w:val="21"/>
              </w:rPr>
              <w:t>3、周边工作人员</w:t>
            </w:r>
          </w:p>
        </w:tc>
      </w:tr>
    </w:tbl>
    <w:p w14:paraId="4FAAE9A5">
      <w:pPr>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4.2.7.4环境敏感目标概况</w:t>
      </w:r>
    </w:p>
    <w:p w14:paraId="0E2A1FD5">
      <w:pPr>
        <w:keepLines w:val="0"/>
        <w:pageBreakBefore w:val="0"/>
        <w:widowControl w:val="0"/>
        <w:kinsoku/>
        <w:wordWrap/>
        <w:overflowPunct/>
        <w:topLinePunct w:val="0"/>
        <w:autoSpaceDE/>
        <w:autoSpaceDN/>
        <w:bidi w:val="0"/>
        <w:adjustRightInd/>
        <w:snapToGrid/>
        <w:spacing w:line="360" w:lineRule="auto"/>
        <w:ind w:left="105" w:leftChars="50" w:firstLine="600" w:firstLineChars="250"/>
        <w:textAlignment w:val="auto"/>
        <w:rPr>
          <w:rFonts w:hint="default" w:ascii="Arial" w:hAnsi="Arial" w:eastAsia="宋体" w:cs="Arial"/>
          <w:bCs/>
          <w:sz w:val="24"/>
          <w:szCs w:val="24"/>
        </w:rPr>
      </w:pPr>
      <w:r>
        <w:rPr>
          <w:rFonts w:hint="default" w:ascii="Arial" w:hAnsi="Arial" w:eastAsia="宋体" w:cs="Arial"/>
          <w:bCs/>
          <w:sz w:val="24"/>
          <w:szCs w:val="20"/>
        </w:rPr>
        <w:t>根据现场踏勘，项目拟建地周边500</w:t>
      </w:r>
      <w:r>
        <w:rPr>
          <w:rFonts w:hint="default" w:ascii="Arial" w:hAnsi="Arial" w:eastAsia="宋体" w:cs="Arial"/>
          <w:bCs/>
          <w:sz w:val="24"/>
          <w:szCs w:val="20"/>
          <w:lang w:val="en-US" w:eastAsia="zh-CN"/>
        </w:rPr>
        <w:t>m</w:t>
      </w:r>
      <w:r>
        <w:rPr>
          <w:rFonts w:hint="default" w:ascii="Arial" w:hAnsi="Arial" w:eastAsia="宋体" w:cs="Arial"/>
          <w:bCs/>
          <w:sz w:val="24"/>
          <w:szCs w:val="20"/>
        </w:rPr>
        <w:t>范围</w:t>
      </w:r>
      <w:r>
        <w:rPr>
          <w:rFonts w:hint="default" w:ascii="Arial" w:hAnsi="Arial" w:eastAsia="宋体" w:cs="Arial"/>
          <w:bCs/>
          <w:sz w:val="24"/>
          <w:szCs w:val="20"/>
          <w:lang w:val="en-US" w:eastAsia="zh-CN"/>
        </w:rPr>
        <w:t>无环境敏感目标。</w:t>
      </w:r>
      <w:r>
        <w:rPr>
          <w:rFonts w:hint="default" w:ascii="Arial" w:hAnsi="Arial" w:eastAsia="宋体" w:cs="Arial"/>
          <w:bCs/>
          <w:sz w:val="24"/>
          <w:szCs w:val="24"/>
        </w:rPr>
        <w:t>项目厂界外500m范围内无地下水集中式饮用水水源、分散式饮用水水源地和特殊地下水资源等环境敏感区。</w:t>
      </w:r>
    </w:p>
    <w:p w14:paraId="02BD3D06">
      <w:pPr>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sz w:val="24"/>
          <w:szCs w:val="24"/>
        </w:rPr>
      </w:pPr>
      <w:r>
        <w:rPr>
          <w:rFonts w:hint="default" w:ascii="Arial" w:hAnsi="Arial" w:eastAsia="宋体" w:cs="Arial"/>
          <w:b/>
          <w:bCs/>
          <w:sz w:val="24"/>
          <w:szCs w:val="24"/>
        </w:rPr>
        <w:t>4.2.7.5环境风险防范措施及应急要求</w:t>
      </w:r>
    </w:p>
    <w:p w14:paraId="22C6A409">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针对企业可能产生的环境风险隐患，采取一系列方法措施。为进一步减少环境风险可能产生的环境影响，在采取预防措施基础上加强以下风险防范和管理措施。</w:t>
      </w:r>
    </w:p>
    <w:p w14:paraId="6CCDE3E9">
      <w:pPr>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sz w:val="24"/>
          <w:szCs w:val="24"/>
        </w:rPr>
      </w:pPr>
      <w:r>
        <w:rPr>
          <w:rFonts w:hint="default" w:ascii="Arial" w:hAnsi="Arial" w:eastAsia="宋体" w:cs="Arial"/>
          <w:b/>
          <w:bCs/>
          <w:sz w:val="24"/>
          <w:szCs w:val="24"/>
        </w:rPr>
        <w:t>1、总图布置风险防范措施</w:t>
      </w:r>
    </w:p>
    <w:p w14:paraId="487AD87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厂区中配套建设应急救援设施，救援通道，应急疏散避难所等防护设施，按《安全标准》规定在生产区、贮存区设置有关的安全标志。</w:t>
      </w:r>
    </w:p>
    <w:p w14:paraId="270BD526">
      <w:pPr>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b/>
          <w:bCs/>
          <w:sz w:val="24"/>
          <w:szCs w:val="24"/>
        </w:rPr>
      </w:pPr>
      <w:r>
        <w:rPr>
          <w:rFonts w:hint="default" w:ascii="Arial" w:hAnsi="Arial" w:eastAsia="宋体" w:cs="Arial"/>
          <w:b/>
          <w:bCs/>
          <w:sz w:val="24"/>
          <w:szCs w:val="24"/>
        </w:rPr>
        <w:t>2、运输过程中的事故防范措施</w:t>
      </w:r>
    </w:p>
    <w:p w14:paraId="10A82DB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（1）车间转运</w:t>
      </w:r>
    </w:p>
    <w:p w14:paraId="5952F9A5">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危险废物转移时采用密闭容器进行封存，配备专人负责。转运路线应合理规划，转运时间应错开人流高峰，转运完成做好记录。</w:t>
      </w:r>
    </w:p>
    <w:p w14:paraId="68135716">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（2）道路转运</w:t>
      </w:r>
    </w:p>
    <w:p w14:paraId="1A24E8FE">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危废转运委托有运输资质的公司承运，并且采用专业带有警示标志的运输车辆。在正常运输情况下，合理规划运输线路，避免车流高峰以及恶劣天气，可大幅降低交通事故发生概率。</w:t>
      </w:r>
    </w:p>
    <w:p w14:paraId="6CCFB27B">
      <w:pPr>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b/>
          <w:bCs/>
          <w:sz w:val="24"/>
          <w:szCs w:val="24"/>
        </w:rPr>
      </w:pPr>
      <w:r>
        <w:rPr>
          <w:rFonts w:hint="default" w:ascii="Arial" w:hAnsi="Arial" w:eastAsia="宋体" w:cs="Arial"/>
          <w:b/>
          <w:bCs/>
          <w:sz w:val="24"/>
          <w:szCs w:val="24"/>
        </w:rPr>
        <w:t>3、贮存过程中的安全防范措施</w:t>
      </w:r>
    </w:p>
    <w:p w14:paraId="1A63033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按照《危险废物贮存污染控制标准》、《危险废物污染治理技术政策》、《中华人民共和国固体废物污染环境防治法》等的相关要求设置危废仓库，选址合理，避免易燃、易爆等危险品使用区域；地面按要求进行防腐、防渗处理，场内设集液池和废水导排渠；日常运行过程中，采用密闭容器进行包装贮存，危险废物转移过程中须严格执行转移联单制度，并做好记录台账，防止危险废物在转移过程中发生环境风险事故。</w:t>
      </w:r>
    </w:p>
    <w:p w14:paraId="3C873CA6">
      <w:pPr>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b/>
          <w:bCs/>
          <w:sz w:val="24"/>
          <w:szCs w:val="24"/>
        </w:rPr>
      </w:pPr>
      <w:r>
        <w:rPr>
          <w:rFonts w:hint="default" w:ascii="Arial" w:hAnsi="Arial" w:eastAsia="宋体" w:cs="Arial"/>
          <w:b/>
          <w:bCs/>
          <w:sz w:val="24"/>
          <w:szCs w:val="24"/>
        </w:rPr>
        <w:t>4、使用过程防范措施</w:t>
      </w:r>
    </w:p>
    <w:p w14:paraId="77159143">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对突发性污染事故的防治对策对于已建成的企业应从以上几点严格控制和管理，加强事故预防措施和事故应急处理处置的技能，懂得紧急救援的知识。</w:t>
      </w:r>
      <w:r>
        <w:rPr>
          <w:rFonts w:hint="eastAsia"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预防为主、安全第一</w:t>
      </w:r>
      <w:r>
        <w:rPr>
          <w:rFonts w:hint="eastAsia"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是减少污染事故发生、降低污染事故损害的重要保障。针对该企业的特点，本评价要求采取下列风险防范措施，以避免事故的发生：</w:t>
      </w:r>
    </w:p>
    <w:p w14:paraId="542AAD67">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（1）建议项目设专人负责安全生产，主要负责、检查和监督全厂的安全生产和环保设施的正常运转情况。</w:t>
      </w:r>
    </w:p>
    <w:p w14:paraId="05EB4B3A">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（2）严格遵守国家有关安全生产法律、法规和国家标准的安全管理制度，并按照安全操作规程操作。</w:t>
      </w:r>
    </w:p>
    <w:p w14:paraId="3618C56A">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（3）按要求建立安全生产责任制、安全生产检查制度等各项安全环保管理规章制度和岗位安全操作规程，并在生产过程中严格按制度规程执行。</w:t>
      </w:r>
    </w:p>
    <w:p w14:paraId="34991EB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（4）在生产岗位设置事故柜和急救器材、救生器、防护面罩、衣、护目镜、胶皮手套、耳塞等防护、急救用具、用品。</w:t>
      </w:r>
    </w:p>
    <w:p w14:paraId="028B8534">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（5）加强管理，提高员工水平和意识，防止有毒有害物料泄漏。</w:t>
      </w:r>
    </w:p>
    <w:p w14:paraId="25C55651">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（6）岗位操作人员应经过作业培训，并取得上岗资格。日常运营过程，要定期对员工进行安全教育，加强技术培训，严格管理，提高安全意识。</w:t>
      </w:r>
    </w:p>
    <w:p w14:paraId="44833EC4">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（7）加强日常生产检查，定期对生产设施、环保设施进行检查，杜绝事故的发生。</w:t>
      </w:r>
    </w:p>
    <w:p w14:paraId="2CB17613">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（8）制定完善的设备检修制度，对生产设备及环保设备进行定期检查，同时在进料时应密切关切各生产过程，以便及时发现问题及时解决。</w:t>
      </w:r>
    </w:p>
    <w:p w14:paraId="251EB86D">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（9）提高应急处理的能力</w:t>
      </w:r>
    </w:p>
    <w:p w14:paraId="2182F588">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建设项目应对具有高危害设备设置保险措施，对危险车间或工段可设置必备的应急措施。并制定厂内的应急计划、定期进行安全环保宣传教育以及紧急事故模拟演习，配备必要和适当的通讯工具和应急设施。</w:t>
      </w:r>
    </w:p>
    <w:p w14:paraId="2F1670D6">
      <w:pPr>
        <w:keepNext/>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b/>
          <w:bCs/>
          <w:sz w:val="24"/>
          <w:szCs w:val="24"/>
        </w:rPr>
      </w:pPr>
      <w:r>
        <w:rPr>
          <w:rFonts w:hint="default" w:ascii="Arial" w:hAnsi="Arial" w:eastAsia="宋体" w:cs="Arial"/>
          <w:b/>
          <w:bCs/>
          <w:sz w:val="24"/>
          <w:szCs w:val="24"/>
        </w:rPr>
        <w:t>5、管理对策措施</w:t>
      </w:r>
    </w:p>
    <w:p w14:paraId="7F6B5DE9">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1）加强员工的安全、环保知识和风险事故安全教育，提高职工的风险意识，减少风险发生的概率。所有从业人员应当掌握本职工作所需的化学品安全知识和技能，严格遵守化学品安全规章制度和操作规程，了解其作业场所和工作存在的危险有害因素以及企业所采取的防范措施和环境突发事故应急措施。危险岗位的操作工，必须按规定经过安全操作的技术培训，取得合格证后才能单独上岗。</w:t>
      </w:r>
    </w:p>
    <w:p w14:paraId="4D212EB7">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2）加强对安全管理的领导，建立健全各项安全、消防管理网络。建立健全各项安全管理制度，如：岗位责任制、安全教育、培训制度；辅料的运输、储存制度；设备等设施的定期检验、维护、保养、检修制度；以及安全操作规程等。</w:t>
      </w:r>
    </w:p>
    <w:p w14:paraId="728EF114">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sz w:val="24"/>
          <w:szCs w:val="24"/>
        </w:rPr>
        <w:t>（3）按照企业可能存在的环境风险事故，编写环境突发事故应急救援预案并落实到人，一旦发生事故，就能迅速采取防范措施进行控制，把事故所造成的影响降低到最小程度。并且应制定相应的培训计划和演练计划。</w:t>
      </w:r>
    </w:p>
    <w:p w14:paraId="45F0858D">
      <w:pPr>
        <w:keepLines w:val="0"/>
        <w:pageBreakBefore w:val="0"/>
        <w:widowControl w:val="0"/>
        <w:kinsoku/>
        <w:wordWrap/>
        <w:overflowPunct/>
        <w:topLinePunct w:val="0"/>
        <w:autoSpaceDE/>
        <w:autoSpaceDN/>
        <w:bidi w:val="0"/>
        <w:adjustRightInd/>
        <w:snapToGrid/>
        <w:spacing w:line="360" w:lineRule="auto"/>
        <w:ind w:left="105" w:leftChars="50" w:firstLine="480"/>
        <w:textAlignment w:val="auto"/>
        <w:rPr>
          <w:rFonts w:hint="default" w:ascii="Arial" w:hAnsi="Arial" w:eastAsia="宋体" w:cs="Arial"/>
          <w:sz w:val="24"/>
        </w:rPr>
      </w:pPr>
      <w:r>
        <w:rPr>
          <w:rFonts w:hint="default" w:ascii="Arial" w:hAnsi="Arial" w:eastAsia="宋体" w:cs="Arial"/>
          <w:sz w:val="24"/>
        </w:rPr>
        <w:t>（4）企业应严格执行《浙江省应急管理厅 浙江省生态环境厅关于加强工业企业环保设施安全生产工作的指导意见》（浙应急基础[2022]143号）中相关要求，应委托有相应资质（建设部门核发的综合、行业专项等设计资质）的设计单位对项目主要环保设施进行设计，落实安全生产相关技术要求。</w:t>
      </w:r>
    </w:p>
    <w:p w14:paraId="52913341">
      <w:pPr>
        <w:keepLines w:val="0"/>
        <w:pageBreakBefore w:val="0"/>
        <w:widowControl w:val="0"/>
        <w:kinsoku/>
        <w:wordWrap/>
        <w:overflowPunct/>
        <w:topLinePunct w:val="0"/>
        <w:autoSpaceDE/>
        <w:autoSpaceDN/>
        <w:bidi w:val="0"/>
        <w:adjustRightInd/>
        <w:snapToGrid/>
        <w:spacing w:line="360" w:lineRule="auto"/>
        <w:ind w:left="105" w:leftChars="50" w:firstLine="480"/>
        <w:textAlignment w:val="auto"/>
        <w:rPr>
          <w:rFonts w:hint="eastAsia" w:ascii="Arial" w:hAnsi="Arial" w:eastAsia="宋体" w:cs="Arial"/>
          <w:b/>
          <w:bCs/>
          <w:sz w:val="24"/>
          <w:lang w:val="en-US" w:eastAsia="zh-CN"/>
        </w:rPr>
      </w:pPr>
      <w:r>
        <w:rPr>
          <w:rFonts w:hint="eastAsia" w:ascii="Arial" w:hAnsi="Arial" w:eastAsia="宋体" w:cs="Arial"/>
          <w:b/>
          <w:bCs/>
          <w:sz w:val="24"/>
          <w:lang w:val="en-US" w:eastAsia="zh-CN"/>
        </w:rPr>
        <w:t>6、应急预案</w:t>
      </w:r>
    </w:p>
    <w:p w14:paraId="2C00ECFB">
      <w:pPr>
        <w:keepLines w:val="0"/>
        <w:pageBreakBefore w:val="0"/>
        <w:widowControl w:val="0"/>
        <w:kinsoku/>
        <w:wordWrap/>
        <w:overflowPunct/>
        <w:topLinePunct w:val="0"/>
        <w:autoSpaceDE/>
        <w:autoSpaceDN/>
        <w:bidi w:val="0"/>
        <w:adjustRightInd/>
        <w:snapToGrid/>
        <w:spacing w:line="360" w:lineRule="auto"/>
        <w:ind w:left="105" w:leftChars="50" w:firstLine="48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sz w:val="24"/>
          <w:szCs w:val="24"/>
        </w:rPr>
        <w:t>突发环境事件应急预案预案是针对具体设备、设施、场所和环境，为降低事故造成的人身、财产与环境损失，就事故发生后的应急救援机构和人员，应急救援的设备、设施、条件和环境，行动的步骤和纲领，控制事故发展的方法和程序等，预先做出的科学而有效的计划和安排。根据《企业事业单位突发环境事件应急预案备案管理办法（试行）》(环发[2015]4号)相关要求，企业需自行或委托相关单位编制本</w:t>
      </w:r>
      <w:r>
        <w:rPr>
          <w:rFonts w:hint="default" w:ascii="Arial" w:hAnsi="Arial" w:eastAsia="宋体" w:cs="Arial"/>
          <w:color w:val="000000" w:themeColor="text1"/>
          <w:sz w:val="24"/>
          <w:szCs w:val="24"/>
          <w14:textFill>
            <w14:solidFill>
              <w14:schemeClr w14:val="tx1"/>
            </w14:solidFill>
          </w14:textFill>
        </w:rPr>
        <w:t>项目突发环境事件应急预案，并报当地生态环境管理部门备案。</w:t>
      </w:r>
    </w:p>
    <w:p w14:paraId="07908381">
      <w:pPr>
        <w:keepLines w:val="0"/>
        <w:pageBreakBefore w:val="0"/>
        <w:widowControl w:val="0"/>
        <w:kinsoku/>
        <w:wordWrap/>
        <w:overflowPunct/>
        <w:topLinePunct w:val="0"/>
        <w:autoSpaceDE/>
        <w:autoSpaceDN/>
        <w:bidi w:val="0"/>
        <w:adjustRightInd/>
        <w:snapToGrid/>
        <w:spacing w:line="360" w:lineRule="auto"/>
        <w:ind w:left="105" w:leftChars="50" w:firstLine="480"/>
        <w:textAlignment w:val="auto"/>
        <w:rPr>
          <w:rFonts w:hint="default" w:ascii="Arial" w:hAnsi="Arial" w:eastAsia="宋体" w:cs="Arial"/>
          <w:b/>
          <w:bCs/>
          <w:color w:val="000000" w:themeColor="text1"/>
          <w:sz w:val="24"/>
          <w:szCs w:val="24"/>
          <w:lang w:val="en-US" w:eastAsia="zh-CN"/>
          <w14:textFill>
            <w14:solidFill>
              <w14:schemeClr w14:val="tx1"/>
            </w14:solidFill>
          </w14:textFill>
        </w:rPr>
      </w:pPr>
      <w:r>
        <w:rPr>
          <w:rFonts w:hint="eastAsia" w:ascii="Arial" w:hAnsi="Arial" w:eastAsia="宋体" w:cs="Arial"/>
          <w:b/>
          <w:bCs/>
          <w:color w:val="000000" w:themeColor="text1"/>
          <w:sz w:val="24"/>
          <w:szCs w:val="24"/>
          <w:lang w:val="en-US" w:eastAsia="zh-CN"/>
          <w14:textFill>
            <w14:solidFill>
              <w14:schemeClr w14:val="tx1"/>
            </w14:solidFill>
          </w14:textFill>
        </w:rPr>
        <w:t>7、事故应急池管理要求</w:t>
      </w:r>
    </w:p>
    <w:p w14:paraId="529BB6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根据应急预案要求设置厂区事故应急池及事故水收集管路系统，厂区废水总排口和雨水总排口设置切断阀，以作为事故水储存与调控手段，将污染物控制在厂内，防止重大事故泄漏物料和污染消防水流出厂外。</w:t>
      </w:r>
    </w:p>
    <w:p w14:paraId="52E6A5F0">
      <w:pPr>
        <w:pStyle w:val="76"/>
        <w:keepLines w:val="0"/>
        <w:pageBreakBefore w:val="0"/>
        <w:widowControl w:val="0"/>
        <w:numPr>
          <w:ilvl w:val="2"/>
          <w:numId w:val="5"/>
        </w:numPr>
        <w:kinsoku/>
        <w:wordWrap/>
        <w:overflowPunct/>
        <w:topLinePunct w:val="0"/>
        <w:autoSpaceDE/>
        <w:autoSpaceDN/>
        <w:bidi w:val="0"/>
        <w:adjustRightInd/>
        <w:snapToGrid/>
        <w:spacing w:line="360" w:lineRule="auto"/>
        <w:ind w:left="105" w:leftChars="50" w:firstLine="0" w:firstLineChars="0"/>
        <w:textAlignment w:val="auto"/>
        <w:outlineLvl w:val="2"/>
        <w:rPr>
          <w:rFonts w:hint="default" w:ascii="Arial" w:hAnsi="Arial" w:eastAsia="宋体" w:cs="Arial"/>
          <w:b/>
          <w:bCs/>
          <w:color w:val="000000" w:themeColor="text1"/>
          <w:sz w:val="24"/>
          <w:szCs w:val="24"/>
          <w14:textFill>
            <w14:solidFill>
              <w14:schemeClr w14:val="tx1"/>
            </w14:solidFill>
          </w14:textFill>
        </w:rPr>
      </w:pPr>
      <w:r>
        <w:rPr>
          <w:rFonts w:hint="default" w:ascii="Arial" w:hAnsi="Arial" w:eastAsia="宋体" w:cs="Arial"/>
          <w:b/>
          <w:bCs/>
          <w:color w:val="000000" w:themeColor="text1"/>
          <w:sz w:val="24"/>
          <w:szCs w:val="24"/>
          <w14:textFill>
            <w14:solidFill>
              <w14:schemeClr w14:val="tx1"/>
            </w14:solidFill>
          </w14:textFill>
        </w:rPr>
        <w:t>电磁辐射</w:t>
      </w:r>
    </w:p>
    <w:p w14:paraId="6CEDCAAB">
      <w:pPr>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outlineLvl w:val="3"/>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bCs/>
          <w:color w:val="000000" w:themeColor="text1"/>
          <w:sz w:val="24"/>
          <w:szCs w:val="24"/>
          <w14:textFill>
            <w14:solidFill>
              <w14:schemeClr w14:val="tx1"/>
            </w14:solidFill>
          </w14:textFill>
        </w:rPr>
        <w:t>本项目不涉及电磁辐射类相关内容。</w:t>
      </w:r>
    </w:p>
    <w:p w14:paraId="3F683D6E">
      <w:pPr>
        <w:spacing w:line="360" w:lineRule="auto"/>
        <w:outlineLvl w:val="3"/>
        <w:rPr>
          <w:rFonts w:hint="default" w:ascii="Arial" w:hAnsi="Arial" w:eastAsia="宋体" w:cs="Arial"/>
          <w:b/>
          <w:bCs/>
          <w:color w:val="000000" w:themeColor="text1"/>
          <w:sz w:val="24"/>
          <w:szCs w:val="24"/>
          <w14:textFill>
            <w14:solidFill>
              <w14:schemeClr w14:val="tx1"/>
            </w14:solidFill>
          </w14:textFill>
        </w:rPr>
        <w:sectPr>
          <w:headerReference r:id="rId28" w:type="default"/>
          <w:pgSz w:w="11906" w:h="16838"/>
          <w:pgMar w:top="1440" w:right="1287" w:bottom="1440" w:left="2381" w:header="851" w:footer="992" w:gutter="0"/>
          <w:pgBorders>
            <w:top w:val="single" w:color="auto" w:sz="4" w:space="1"/>
            <w:left w:val="none" w:sz="0" w:space="0"/>
            <w:bottom w:val="single" w:color="auto" w:sz="4" w:space="1"/>
            <w:right w:val="single" w:color="auto" w:sz="4" w:space="4"/>
          </w:pgBorders>
          <w:cols w:space="425" w:num="1"/>
          <w:docGrid w:type="lines" w:linePitch="340" w:charSpace="0"/>
        </w:sectPr>
      </w:pPr>
    </w:p>
    <w:tbl>
      <w:tblPr>
        <w:tblStyle w:val="52"/>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13" w:type="dxa"/>
          <w:bottom w:w="57" w:type="dxa"/>
          <w:right w:w="113" w:type="dxa"/>
        </w:tblCellMar>
      </w:tblPr>
      <w:tblGrid>
        <w:gridCol w:w="1209"/>
        <w:gridCol w:w="1322"/>
        <w:gridCol w:w="1797"/>
        <w:gridCol w:w="2135"/>
        <w:gridCol w:w="2622"/>
      </w:tblGrid>
      <w:tr w14:paraId="3E35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tcBorders>
              <w:tl2br w:val="single" w:color="auto" w:sz="4" w:space="0"/>
            </w:tcBorders>
            <w:vAlign w:val="center"/>
          </w:tcPr>
          <w:p w14:paraId="7FE5D78A">
            <w:pPr>
              <w:keepNext w:val="0"/>
              <w:keepLines w:val="0"/>
              <w:suppressLineNumbers w:val="0"/>
              <w:spacing w:before="0" w:beforeAutospacing="0" w:after="0" w:afterAutospacing="0"/>
              <w:ind w:left="0" w:right="0"/>
              <w:jc w:val="right"/>
              <w:rPr>
                <w:rFonts w:hint="default" w:ascii="Arial" w:hAnsi="Arial" w:eastAsia="宋体" w:cs="Arial"/>
                <w:sz w:val="21"/>
                <w:szCs w:val="21"/>
              </w:rPr>
            </w:pPr>
            <w:r>
              <w:rPr>
                <w:rFonts w:hint="default" w:ascii="Arial" w:hAnsi="Arial" w:eastAsia="宋体" w:cs="Arial"/>
                <w:sz w:val="21"/>
                <w:szCs w:val="21"/>
              </w:rPr>
              <w:t>内容</w:t>
            </w:r>
          </w:p>
          <w:p w14:paraId="2A794382">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要素</w:t>
            </w:r>
          </w:p>
        </w:tc>
        <w:tc>
          <w:tcPr>
            <w:tcW w:w="1322" w:type="dxa"/>
            <w:vAlign w:val="center"/>
          </w:tcPr>
          <w:p w14:paraId="4387D483">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排放口（编号、名称）/污染源</w:t>
            </w:r>
          </w:p>
        </w:tc>
        <w:tc>
          <w:tcPr>
            <w:tcW w:w="1797" w:type="dxa"/>
            <w:vAlign w:val="center"/>
          </w:tcPr>
          <w:p w14:paraId="4381824A">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污染物项目</w:t>
            </w:r>
          </w:p>
        </w:tc>
        <w:tc>
          <w:tcPr>
            <w:tcW w:w="2135" w:type="dxa"/>
            <w:vAlign w:val="center"/>
          </w:tcPr>
          <w:p w14:paraId="58162F7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环境保护措施</w:t>
            </w:r>
          </w:p>
        </w:tc>
        <w:tc>
          <w:tcPr>
            <w:tcW w:w="2622" w:type="dxa"/>
            <w:vAlign w:val="center"/>
          </w:tcPr>
          <w:p w14:paraId="2B5170D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执行标准</w:t>
            </w:r>
          </w:p>
        </w:tc>
      </w:tr>
      <w:tr w14:paraId="31CC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Merge w:val="restart"/>
            <w:vAlign w:val="center"/>
          </w:tcPr>
          <w:p w14:paraId="0112D969">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大气环境</w:t>
            </w:r>
          </w:p>
        </w:tc>
        <w:tc>
          <w:tcPr>
            <w:tcW w:w="1322" w:type="dxa"/>
            <w:vAlign w:val="center"/>
          </w:tcPr>
          <w:p w14:paraId="415B3EF8">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DA001</w:t>
            </w:r>
          </w:p>
        </w:tc>
        <w:tc>
          <w:tcPr>
            <w:tcW w:w="1797" w:type="dxa"/>
            <w:vAlign w:val="center"/>
          </w:tcPr>
          <w:p w14:paraId="06BD01F1">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default" w:ascii="Arial" w:hAnsi="Arial" w:eastAsia="宋体" w:cs="Arial"/>
                <w:sz w:val="21"/>
                <w:szCs w:val="21"/>
                <w:lang w:val="en-US" w:eastAsia="zh-CN"/>
              </w:rPr>
              <w:t>颗粒物</w:t>
            </w:r>
          </w:p>
        </w:tc>
        <w:tc>
          <w:tcPr>
            <w:tcW w:w="2135" w:type="dxa"/>
            <w:vAlign w:val="center"/>
          </w:tcPr>
          <w:p w14:paraId="4D6C2C52">
            <w:pPr>
              <w:keepNext w:val="0"/>
              <w:keepLines w:val="0"/>
              <w:suppressLineNumbers w:val="0"/>
              <w:spacing w:before="0" w:beforeAutospacing="0" w:after="0" w:afterAutospacing="0"/>
              <w:ind w:left="0" w:right="0"/>
              <w:jc w:val="center"/>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抛丸在密闭设备内进行，废气接入布袋除尘器后经排气筒排放</w:t>
            </w:r>
          </w:p>
        </w:tc>
        <w:tc>
          <w:tcPr>
            <w:tcW w:w="2622" w:type="dxa"/>
            <w:vAlign w:val="center"/>
          </w:tcPr>
          <w:p w14:paraId="2C493653">
            <w:pPr>
              <w:keepNext w:val="0"/>
              <w:keepLines w:val="0"/>
              <w:suppressLineNumbers w:val="0"/>
              <w:spacing w:before="0" w:beforeAutospacing="0" w:after="0" w:afterAutospacing="0"/>
              <w:ind w:left="0" w:right="0"/>
              <w:jc w:val="both"/>
              <w:rPr>
                <w:rFonts w:hint="default" w:ascii="Arial" w:hAnsi="Arial" w:eastAsia="宋体" w:cs="Arial"/>
                <w:color w:val="000000" w:themeColor="text1"/>
                <w:sz w:val="21"/>
                <w:szCs w:val="21"/>
                <w:lang w:eastAsia="zh-CN"/>
                <w14:textFill>
                  <w14:solidFill>
                    <w14:schemeClr w14:val="tx1"/>
                  </w14:solidFill>
                </w14:textFill>
              </w:rPr>
            </w:pPr>
            <w:r>
              <w:rPr>
                <w:rFonts w:hint="default" w:ascii="Arial" w:hAnsi="Arial" w:eastAsia="宋体" w:cs="Arial"/>
                <w:b w:val="0"/>
                <w:bCs w:val="0"/>
                <w:color w:val="000000" w:themeColor="text1"/>
                <w:sz w:val="21"/>
                <w:szCs w:val="21"/>
                <w14:textFill>
                  <w14:solidFill>
                    <w14:schemeClr w14:val="tx1"/>
                  </w14:solidFill>
                </w14:textFill>
              </w:rPr>
              <w:t>《大气污染物综合排放标准》（GB 16297-1996）</w:t>
            </w:r>
          </w:p>
        </w:tc>
      </w:tr>
      <w:tr w14:paraId="28BD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Merge w:val="continue"/>
            <w:vAlign w:val="center"/>
          </w:tcPr>
          <w:p w14:paraId="18D3BC2C">
            <w:pPr>
              <w:keepNext w:val="0"/>
              <w:keepLines w:val="0"/>
              <w:suppressLineNumbers w:val="0"/>
              <w:spacing w:before="0" w:beforeAutospacing="0" w:after="0" w:afterAutospacing="0"/>
              <w:ind w:left="0" w:right="0"/>
              <w:jc w:val="center"/>
              <w:rPr>
                <w:rFonts w:hint="default" w:ascii="Arial" w:hAnsi="Arial" w:eastAsia="宋体" w:cs="Arial"/>
                <w:sz w:val="21"/>
                <w:szCs w:val="21"/>
              </w:rPr>
            </w:pPr>
          </w:p>
        </w:tc>
        <w:tc>
          <w:tcPr>
            <w:tcW w:w="1322" w:type="dxa"/>
            <w:vAlign w:val="center"/>
          </w:tcPr>
          <w:p w14:paraId="1368D1B8">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厂界</w:t>
            </w:r>
          </w:p>
        </w:tc>
        <w:tc>
          <w:tcPr>
            <w:tcW w:w="1797" w:type="dxa"/>
            <w:vAlign w:val="center"/>
          </w:tcPr>
          <w:p w14:paraId="42DF2BC5">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颗粒物、非甲烷总烃</w:t>
            </w:r>
          </w:p>
        </w:tc>
        <w:tc>
          <w:tcPr>
            <w:tcW w:w="2135" w:type="dxa"/>
            <w:vMerge w:val="restart"/>
            <w:vAlign w:val="center"/>
          </w:tcPr>
          <w:p w14:paraId="1F87A8AC">
            <w:pPr>
              <w:keepNext w:val="0"/>
              <w:keepLines w:val="0"/>
              <w:suppressLineNumbers w:val="0"/>
              <w:spacing w:before="0" w:beforeAutospacing="0" w:after="0" w:afterAutospacing="0"/>
              <w:ind w:left="0" w:right="0"/>
              <w:jc w:val="center"/>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日常加强设施运维，无组织管控</w:t>
            </w:r>
          </w:p>
        </w:tc>
        <w:tc>
          <w:tcPr>
            <w:tcW w:w="2622" w:type="dxa"/>
            <w:vAlign w:val="center"/>
          </w:tcPr>
          <w:p w14:paraId="56F693B9">
            <w:pPr>
              <w:keepNext w:val="0"/>
              <w:keepLines w:val="0"/>
              <w:suppressLineNumbers w:val="0"/>
              <w:spacing w:before="0" w:beforeAutospacing="0" w:after="0" w:afterAutospacing="0"/>
              <w:ind w:left="0" w:right="0"/>
              <w:jc w:val="both"/>
              <w:rPr>
                <w:rFonts w:hint="default" w:ascii="Arial" w:hAnsi="Arial" w:eastAsia="宋体" w:cs="Arial"/>
                <w:b w:val="0"/>
                <w:bCs w:val="0"/>
                <w:color w:val="000000" w:themeColor="text1"/>
                <w:sz w:val="21"/>
                <w:szCs w:val="21"/>
                <w14:textFill>
                  <w14:solidFill>
                    <w14:schemeClr w14:val="tx1"/>
                  </w14:solidFill>
                </w14:textFill>
              </w:rPr>
            </w:pPr>
            <w:r>
              <w:rPr>
                <w:rFonts w:hint="default" w:ascii="Arial" w:hAnsi="Arial" w:eastAsia="宋体" w:cs="Arial"/>
                <w:b w:val="0"/>
                <w:bCs w:val="0"/>
                <w:color w:val="000000" w:themeColor="text1"/>
                <w:sz w:val="21"/>
                <w:szCs w:val="21"/>
                <w14:textFill>
                  <w14:solidFill>
                    <w14:schemeClr w14:val="tx1"/>
                  </w14:solidFill>
                </w14:textFill>
              </w:rPr>
              <w:t>《大气污染物综合排放标准》（GB 16297-1996）</w:t>
            </w:r>
          </w:p>
        </w:tc>
      </w:tr>
      <w:tr w14:paraId="54FA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Merge w:val="continue"/>
            <w:vAlign w:val="center"/>
          </w:tcPr>
          <w:p w14:paraId="05C176D4">
            <w:pPr>
              <w:keepNext w:val="0"/>
              <w:keepLines w:val="0"/>
              <w:suppressLineNumbers w:val="0"/>
              <w:spacing w:before="0" w:beforeAutospacing="0" w:after="0" w:afterAutospacing="0"/>
              <w:ind w:left="0" w:right="0"/>
              <w:jc w:val="center"/>
              <w:rPr>
                <w:rFonts w:hint="default" w:ascii="Arial" w:hAnsi="Arial" w:eastAsia="宋体" w:cs="Arial"/>
                <w:sz w:val="21"/>
                <w:szCs w:val="21"/>
              </w:rPr>
            </w:pPr>
          </w:p>
        </w:tc>
        <w:tc>
          <w:tcPr>
            <w:tcW w:w="1322" w:type="dxa"/>
            <w:vAlign w:val="center"/>
          </w:tcPr>
          <w:p w14:paraId="47F43C47">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厂区内</w:t>
            </w:r>
          </w:p>
        </w:tc>
        <w:tc>
          <w:tcPr>
            <w:tcW w:w="1797" w:type="dxa"/>
            <w:vAlign w:val="center"/>
          </w:tcPr>
          <w:p w14:paraId="67878330">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非甲烷总烃</w:t>
            </w:r>
          </w:p>
        </w:tc>
        <w:tc>
          <w:tcPr>
            <w:tcW w:w="2135" w:type="dxa"/>
            <w:vMerge w:val="continue"/>
            <w:vAlign w:val="center"/>
          </w:tcPr>
          <w:p w14:paraId="5C114526">
            <w:pPr>
              <w:keepNext w:val="0"/>
              <w:keepLines w:val="0"/>
              <w:suppressLineNumbers w:val="0"/>
              <w:spacing w:before="0" w:beforeAutospacing="0" w:after="0" w:afterAutospacing="0"/>
              <w:ind w:left="0" w:right="0"/>
              <w:jc w:val="center"/>
              <w:rPr>
                <w:rFonts w:hint="default" w:ascii="Arial" w:hAnsi="Arial" w:eastAsia="宋体" w:cs="Arial"/>
                <w:color w:val="000000" w:themeColor="text1"/>
                <w:sz w:val="21"/>
                <w:szCs w:val="21"/>
                <w:lang w:val="en-US" w:eastAsia="zh-CN"/>
                <w14:textFill>
                  <w14:solidFill>
                    <w14:schemeClr w14:val="tx1"/>
                  </w14:solidFill>
                </w14:textFill>
              </w:rPr>
            </w:pPr>
          </w:p>
        </w:tc>
        <w:tc>
          <w:tcPr>
            <w:tcW w:w="2622" w:type="dxa"/>
            <w:vAlign w:val="center"/>
          </w:tcPr>
          <w:p w14:paraId="51F644A1">
            <w:pPr>
              <w:keepNext w:val="0"/>
              <w:keepLines w:val="0"/>
              <w:suppressLineNumbers w:val="0"/>
              <w:spacing w:before="0" w:beforeAutospacing="0" w:after="0" w:afterAutospacing="0"/>
              <w:ind w:left="0" w:right="0"/>
              <w:jc w:val="both"/>
              <w:rPr>
                <w:rFonts w:hint="default" w:ascii="Arial" w:hAnsi="Arial" w:eastAsia="宋体" w:cs="Arial"/>
                <w:b w:val="0"/>
                <w:bCs w:val="0"/>
                <w:color w:val="000000" w:themeColor="text1"/>
                <w:sz w:val="21"/>
                <w:szCs w:val="21"/>
                <w14:textFill>
                  <w14:solidFill>
                    <w14:schemeClr w14:val="tx1"/>
                  </w14:solidFill>
                </w14:textFill>
              </w:rPr>
            </w:pPr>
            <w:r>
              <w:rPr>
                <w:rFonts w:hint="default" w:ascii="Arial" w:hAnsi="Arial" w:eastAsia="宋体" w:cs="Arial"/>
                <w:b w:val="0"/>
                <w:bCs w:val="0"/>
                <w:color w:val="000000" w:themeColor="text1"/>
                <w:sz w:val="21"/>
                <w:szCs w:val="21"/>
                <w14:textFill>
                  <w14:solidFill>
                    <w14:schemeClr w14:val="tx1"/>
                  </w14:solidFill>
                </w14:textFill>
              </w:rPr>
              <w:t>《挥发性有机物无组织排放控制标准》（GB37822-2019）</w:t>
            </w:r>
          </w:p>
        </w:tc>
      </w:tr>
      <w:tr w14:paraId="1ACA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Align w:val="center"/>
          </w:tcPr>
          <w:p w14:paraId="46DD0AE4">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地表水</w:t>
            </w:r>
            <w:r>
              <w:rPr>
                <w:rFonts w:hint="default" w:ascii="Arial" w:hAnsi="Arial" w:eastAsia="宋体" w:cs="Arial"/>
                <w:sz w:val="21"/>
                <w:szCs w:val="21"/>
              </w:rPr>
              <w:br w:type="textWrapping"/>
            </w:r>
            <w:r>
              <w:rPr>
                <w:rFonts w:hint="default" w:ascii="Arial" w:hAnsi="Arial" w:eastAsia="宋体" w:cs="Arial"/>
                <w:sz w:val="21"/>
                <w:szCs w:val="21"/>
              </w:rPr>
              <w:t>环境</w:t>
            </w:r>
          </w:p>
        </w:tc>
        <w:tc>
          <w:tcPr>
            <w:tcW w:w="1322" w:type="dxa"/>
            <w:vAlign w:val="center"/>
          </w:tcPr>
          <w:p w14:paraId="357BEA3D">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DW001污水总排口</w:t>
            </w:r>
          </w:p>
        </w:tc>
        <w:tc>
          <w:tcPr>
            <w:tcW w:w="1797" w:type="dxa"/>
            <w:vAlign w:val="center"/>
          </w:tcPr>
          <w:p w14:paraId="714D73EF">
            <w:pPr>
              <w:keepNext w:val="0"/>
              <w:keepLines w:val="0"/>
              <w:suppressLineNumbers w:val="0"/>
              <w:spacing w:before="0" w:beforeAutospacing="0" w:after="0" w:afterAutospacing="0"/>
              <w:ind w:left="0" w:right="0"/>
              <w:jc w:val="center"/>
              <w:rPr>
                <w:rFonts w:hint="default" w:ascii="Arial" w:hAnsi="Arial" w:eastAsia="宋体" w:cs="Arial"/>
                <w:sz w:val="21"/>
                <w:szCs w:val="21"/>
                <w:lang w:val="en-US" w:eastAsia="zh-CN"/>
              </w:rPr>
            </w:pPr>
            <w:r>
              <w:rPr>
                <w:rFonts w:hint="default" w:ascii="Arial" w:hAnsi="Arial" w:eastAsia="宋体" w:cs="Arial"/>
                <w:b w:val="0"/>
                <w:color w:val="000000"/>
                <w:szCs w:val="21"/>
              </w:rPr>
              <w:t>pH、化学需氧量、氨氮、五日生化需氧量</w:t>
            </w:r>
            <w:r>
              <w:rPr>
                <w:rFonts w:hint="default" w:ascii="Arial" w:hAnsi="Arial" w:eastAsia="宋体" w:cs="Arial"/>
                <w:b w:val="0"/>
                <w:color w:val="000000"/>
                <w:szCs w:val="21"/>
                <w:lang w:eastAsia="zh-CN"/>
              </w:rPr>
              <w:t>、</w:t>
            </w:r>
            <w:r>
              <w:rPr>
                <w:rFonts w:hint="default" w:ascii="Arial" w:hAnsi="Arial" w:eastAsia="宋体" w:cs="Arial"/>
                <w:b w:val="0"/>
                <w:color w:val="000000"/>
                <w:szCs w:val="21"/>
                <w:lang w:val="en-US" w:eastAsia="zh-CN"/>
              </w:rPr>
              <w:t>TN、TP</w:t>
            </w:r>
          </w:p>
        </w:tc>
        <w:tc>
          <w:tcPr>
            <w:tcW w:w="2135" w:type="dxa"/>
            <w:vAlign w:val="center"/>
          </w:tcPr>
          <w:p w14:paraId="6BBDADDC">
            <w:pPr>
              <w:keepNext w:val="0"/>
              <w:keepLines w:val="0"/>
              <w:suppressLineNumbers w:val="0"/>
              <w:spacing w:before="0" w:beforeAutospacing="0" w:after="0" w:afterAutospacing="0"/>
              <w:ind w:left="0" w:right="0"/>
              <w:jc w:val="center"/>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生活污水经</w:t>
            </w:r>
            <w:r>
              <w:rPr>
                <w:rFonts w:hint="default" w:ascii="Arial" w:hAnsi="Arial" w:eastAsia="宋体" w:cs="Arial"/>
                <w:color w:val="000000" w:themeColor="text1"/>
                <w:sz w:val="21"/>
                <w:szCs w:val="21"/>
                <w:lang w:val="en-US" w:eastAsia="zh-CN"/>
                <w14:textFill>
                  <w14:solidFill>
                    <w14:schemeClr w14:val="tx1"/>
                  </w14:solidFill>
                </w14:textFill>
              </w:rPr>
              <w:t>化粪池</w:t>
            </w:r>
            <w:r>
              <w:rPr>
                <w:rFonts w:hint="default" w:ascii="Arial" w:hAnsi="Arial" w:eastAsia="宋体" w:cs="Arial"/>
                <w:color w:val="000000" w:themeColor="text1"/>
                <w:sz w:val="21"/>
                <w:szCs w:val="21"/>
                <w14:textFill>
                  <w14:solidFill>
                    <w14:schemeClr w14:val="tx1"/>
                  </w14:solidFill>
                </w14:textFill>
              </w:rPr>
              <w:t>处理后纳管，最终送嘉兴联合污水处理厂集中处理</w:t>
            </w:r>
          </w:p>
        </w:tc>
        <w:tc>
          <w:tcPr>
            <w:tcW w:w="2622" w:type="dxa"/>
            <w:vAlign w:val="center"/>
          </w:tcPr>
          <w:p w14:paraId="4A828651">
            <w:pPr>
              <w:keepNext w:val="0"/>
              <w:keepLines w:val="0"/>
              <w:suppressLineNumbers w:val="0"/>
              <w:spacing w:before="0" w:beforeAutospacing="0" w:after="0" w:afterAutospacing="0"/>
              <w:ind w:left="0" w:right="0"/>
              <w:jc w:val="center"/>
              <w:rPr>
                <w:rFonts w:hint="default" w:ascii="Arial" w:hAnsi="Arial" w:eastAsia="宋体" w:cs="Arial"/>
                <w:color w:val="000000" w:themeColor="text1"/>
                <w:sz w:val="21"/>
                <w:szCs w:val="21"/>
                <w:lang w:eastAsia="zh-CN"/>
                <w14:textFill>
                  <w14:solidFill>
                    <w14:schemeClr w14:val="tx1"/>
                  </w14:solidFill>
                </w14:textFill>
              </w:rPr>
            </w:pPr>
            <w:r>
              <w:rPr>
                <w:rFonts w:hint="default" w:ascii="Arial" w:hAnsi="Arial" w:eastAsia="宋体" w:cs="Arial"/>
                <w:color w:val="000000" w:themeColor="text1"/>
                <w:spacing w:val="0"/>
                <w:sz w:val="21"/>
                <w:szCs w:val="21"/>
                <w14:textFill>
                  <w14:solidFill>
                    <w14:schemeClr w14:val="tx1"/>
                  </w14:solidFill>
                </w14:textFill>
              </w:rPr>
              <w:t>《污水排入下水道水质标准》（GB/T31962-2015）</w:t>
            </w:r>
          </w:p>
        </w:tc>
      </w:tr>
      <w:tr w14:paraId="4222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Align w:val="center"/>
          </w:tcPr>
          <w:p w14:paraId="43826AE1">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声环境</w:t>
            </w:r>
          </w:p>
        </w:tc>
        <w:tc>
          <w:tcPr>
            <w:tcW w:w="1322" w:type="dxa"/>
            <w:vAlign w:val="center"/>
          </w:tcPr>
          <w:p w14:paraId="59A01967">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噪声</w:t>
            </w:r>
          </w:p>
        </w:tc>
        <w:tc>
          <w:tcPr>
            <w:tcW w:w="1797" w:type="dxa"/>
            <w:vAlign w:val="center"/>
          </w:tcPr>
          <w:p w14:paraId="40F3732E">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Leq（A）</w:t>
            </w:r>
          </w:p>
        </w:tc>
        <w:tc>
          <w:tcPr>
            <w:tcW w:w="2135" w:type="dxa"/>
            <w:vAlign w:val="center"/>
          </w:tcPr>
          <w:p w14:paraId="1F0BB83A">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1、根据拟建项目噪声源特征，建议在设计和设备采购阶段，充分选用先进的低噪设备，以从声源上降低设备本身噪声。</w:t>
            </w:r>
          </w:p>
          <w:p w14:paraId="3CA76554">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2、合理布局，高噪声设备配备减振基础，尽可能布置在厂房中间。</w:t>
            </w:r>
          </w:p>
          <w:p w14:paraId="2BC331E8">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3、加强设备的维护，确保设备处于良好的运转状态，杜绝因设备不正常运转时产生的高噪声现象。</w:t>
            </w:r>
          </w:p>
        </w:tc>
        <w:tc>
          <w:tcPr>
            <w:tcW w:w="2622" w:type="dxa"/>
            <w:vAlign w:val="center"/>
          </w:tcPr>
          <w:p w14:paraId="45B3FFF9">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《工业企业厂界噪声排放标准》（GB 12348—2008）中3类标准</w:t>
            </w:r>
          </w:p>
        </w:tc>
      </w:tr>
      <w:tr w14:paraId="42D8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90" w:hRule="atLeast"/>
          <w:jc w:val="center"/>
        </w:trPr>
        <w:tc>
          <w:tcPr>
            <w:tcW w:w="1209" w:type="dxa"/>
            <w:vAlign w:val="center"/>
          </w:tcPr>
          <w:p w14:paraId="73FE15A0">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固体废物</w:t>
            </w:r>
          </w:p>
        </w:tc>
        <w:tc>
          <w:tcPr>
            <w:tcW w:w="7876" w:type="dxa"/>
            <w:gridSpan w:val="4"/>
            <w:vAlign w:val="center"/>
          </w:tcPr>
          <w:p w14:paraId="1AFF9D2F">
            <w:pPr>
              <w:keepNext w:val="0"/>
              <w:keepLines w:val="0"/>
              <w:suppressLineNumbers w:val="0"/>
              <w:spacing w:before="0" w:beforeAutospacing="0" w:after="0" w:afterAutospacing="0"/>
              <w:ind w:left="0" w:right="0"/>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废一般包装材料、废金属、布袋收尘、废钢丸等一般固废由物资公司回收综合利用；</w:t>
            </w:r>
            <w:r>
              <w:rPr>
                <w:rFonts w:hint="default" w:ascii="Arial" w:hAnsi="Arial" w:eastAsia="宋体" w:cs="Arial"/>
                <w:color w:val="000000" w:themeColor="text1"/>
                <w:sz w:val="21"/>
                <w:szCs w:val="21"/>
                <w14:textFill>
                  <w14:solidFill>
                    <w14:schemeClr w14:val="tx1"/>
                  </w14:solidFill>
                </w14:textFill>
              </w:rPr>
              <w:t>废</w:t>
            </w:r>
            <w:r>
              <w:rPr>
                <w:rFonts w:hint="default" w:ascii="Arial" w:hAnsi="Arial" w:eastAsia="宋体" w:cs="Arial"/>
                <w:color w:val="000000" w:themeColor="text1"/>
                <w:sz w:val="21"/>
                <w:szCs w:val="21"/>
                <w:lang w:val="en-US" w:eastAsia="zh-CN"/>
                <w14:textFill>
                  <w14:solidFill>
                    <w14:schemeClr w14:val="tx1"/>
                  </w14:solidFill>
                </w14:textFill>
              </w:rPr>
              <w:t>化学品包装、含油金属屑、废切削液</w:t>
            </w:r>
            <w:r>
              <w:rPr>
                <w:rFonts w:hint="default" w:ascii="Arial" w:hAnsi="Arial" w:eastAsia="宋体" w:cs="Arial"/>
                <w:color w:val="000000" w:themeColor="text1"/>
                <w:sz w:val="21"/>
                <w:szCs w:val="21"/>
                <w14:textFill>
                  <w14:solidFill>
                    <w14:schemeClr w14:val="tx1"/>
                  </w14:solidFill>
                </w14:textFill>
              </w:rPr>
              <w:t>、</w:t>
            </w:r>
            <w:r>
              <w:rPr>
                <w:rFonts w:hint="eastAsia" w:ascii="Arial" w:hAnsi="Arial" w:eastAsia="宋体" w:cs="Arial"/>
                <w:color w:val="000000" w:themeColor="text1"/>
                <w:sz w:val="21"/>
                <w:szCs w:val="21"/>
                <w:lang w:val="en-US" w:eastAsia="zh-CN"/>
                <w14:textFill>
                  <w14:solidFill>
                    <w14:schemeClr w14:val="tx1"/>
                  </w14:solidFill>
                </w14:textFill>
              </w:rPr>
              <w:t>清洗废液</w:t>
            </w:r>
            <w:r>
              <w:rPr>
                <w:rFonts w:hint="default" w:ascii="Arial" w:hAnsi="Arial" w:eastAsia="宋体" w:cs="Arial"/>
                <w:color w:val="000000" w:themeColor="text1"/>
                <w:sz w:val="21"/>
                <w:szCs w:val="21"/>
                <w14:textFill>
                  <w14:solidFill>
                    <w14:schemeClr w14:val="tx1"/>
                  </w14:solidFill>
                </w14:textFill>
              </w:rPr>
              <w:t>属于危险废物，需委托有资质的单位处置；生活垃圾委托环卫部门清运。</w:t>
            </w:r>
          </w:p>
        </w:tc>
      </w:tr>
      <w:tr w14:paraId="15BA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1324" w:hRule="atLeast"/>
          <w:jc w:val="center"/>
        </w:trPr>
        <w:tc>
          <w:tcPr>
            <w:tcW w:w="1209" w:type="dxa"/>
            <w:vAlign w:val="center"/>
          </w:tcPr>
          <w:p w14:paraId="07EDEDD8">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土壤及地下水污染防治措施</w:t>
            </w:r>
          </w:p>
        </w:tc>
        <w:tc>
          <w:tcPr>
            <w:tcW w:w="7876" w:type="dxa"/>
            <w:gridSpan w:val="4"/>
            <w:vAlign w:val="center"/>
          </w:tcPr>
          <w:p w14:paraId="4B88A705">
            <w:pPr>
              <w:keepNext w:val="0"/>
              <w:keepLines w:val="0"/>
              <w:suppressLineNumbers w:val="0"/>
              <w:spacing w:before="0" w:beforeAutospacing="0" w:after="0" w:afterAutospacing="0"/>
              <w:ind w:left="0" w:right="0"/>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kern w:val="0"/>
                <w:sz w:val="21"/>
                <w:szCs w:val="21"/>
                <w:lang w:val="en-US" w:eastAsia="zh-CN" w:bidi="ar"/>
              </w:rPr>
              <w:t>落实危废贮存库等防腐、防渗、防漏措施，同时配备截流设施，日常严格管理，严禁“跑、冒、滴、漏”。固体废物分类收集，设置规范危险废物贮存库，采取防风、防雨、防渗、防漏等措施，防止渗漏污染土壤。</w:t>
            </w:r>
          </w:p>
        </w:tc>
      </w:tr>
      <w:tr w14:paraId="0390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Align w:val="center"/>
          </w:tcPr>
          <w:p w14:paraId="26476883">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生态保护措施</w:t>
            </w:r>
          </w:p>
        </w:tc>
        <w:tc>
          <w:tcPr>
            <w:tcW w:w="7876" w:type="dxa"/>
            <w:gridSpan w:val="4"/>
            <w:vAlign w:val="center"/>
          </w:tcPr>
          <w:p w14:paraId="04953096">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加强厂区及厂界四周绿化</w:t>
            </w:r>
          </w:p>
        </w:tc>
      </w:tr>
      <w:tr w14:paraId="63CD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cantSplit/>
          <w:trHeight w:val="4114" w:hRule="atLeast"/>
          <w:jc w:val="center"/>
        </w:trPr>
        <w:tc>
          <w:tcPr>
            <w:tcW w:w="1209" w:type="dxa"/>
            <w:vAlign w:val="center"/>
          </w:tcPr>
          <w:p w14:paraId="77E6573B">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环境风险</w:t>
            </w:r>
          </w:p>
          <w:p w14:paraId="0F612B80">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防范措施</w:t>
            </w:r>
          </w:p>
        </w:tc>
        <w:tc>
          <w:tcPr>
            <w:tcW w:w="7876" w:type="dxa"/>
            <w:gridSpan w:val="4"/>
            <w:vAlign w:val="center"/>
          </w:tcPr>
          <w:p w14:paraId="7726EA39">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1、建立环境风险管理制度，编制突发环境事件应急预案，建立应急救援队伍和物资储备。</w:t>
            </w:r>
          </w:p>
          <w:p w14:paraId="792C3583">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2、设置环境应急监测与预警制度，定期排查环境安全隐患并及时治理。</w:t>
            </w:r>
          </w:p>
          <w:p w14:paraId="400D67AB">
            <w:pPr>
              <w:keepNext w:val="0"/>
              <w:keepLines w:val="0"/>
              <w:suppressLineNumbers w:val="0"/>
              <w:spacing w:before="0" w:beforeAutospacing="0" w:after="0" w:afterAutospacing="0"/>
              <w:ind w:left="0" w:right="0"/>
              <w:rPr>
                <w:rFonts w:hint="default" w:ascii="Arial" w:hAnsi="Arial" w:eastAsia="宋体" w:cs="Arial"/>
                <w:sz w:val="21"/>
                <w:szCs w:val="21"/>
              </w:rPr>
            </w:pPr>
            <w:r>
              <w:rPr>
                <w:rFonts w:hint="default" w:ascii="Arial" w:hAnsi="Arial" w:eastAsia="宋体" w:cs="Arial"/>
                <w:sz w:val="21"/>
                <w:szCs w:val="21"/>
              </w:rPr>
              <w:t>3、在应急处置与救援阶段，及时启动应急响应，采取有效处置措施，防止次生环境污染事件。</w:t>
            </w:r>
          </w:p>
          <w:p w14:paraId="526F7970">
            <w:pPr>
              <w:keepNext w:val="0"/>
              <w:keepLines w:val="0"/>
              <w:suppressLineNumbers w:val="0"/>
              <w:spacing w:before="0" w:beforeAutospacing="0" w:after="0" w:afterAutospacing="0"/>
              <w:ind w:left="0" w:right="0"/>
              <w:rPr>
                <w:rFonts w:hint="default" w:ascii="Arial" w:hAnsi="Arial" w:eastAsia="宋体" w:cs="Arial"/>
                <w:sz w:val="21"/>
                <w:szCs w:val="21"/>
                <w:lang w:val="en-US" w:eastAsia="zh-CN"/>
              </w:rPr>
            </w:pPr>
            <w:r>
              <w:rPr>
                <w:rFonts w:hint="eastAsia" w:ascii="Arial" w:hAnsi="Arial" w:eastAsia="宋体" w:cs="Arial"/>
                <w:sz w:val="21"/>
                <w:szCs w:val="21"/>
                <w:lang w:val="en-US" w:eastAsia="zh-CN"/>
              </w:rPr>
              <w:t>4、根据应急预案要求设置厂区事故应急池及事故水收集管路系统。</w:t>
            </w:r>
          </w:p>
        </w:tc>
      </w:tr>
      <w:tr w14:paraId="66EB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cantSplit/>
          <w:trHeight w:val="7073" w:hRule="atLeast"/>
          <w:jc w:val="center"/>
        </w:trPr>
        <w:tc>
          <w:tcPr>
            <w:tcW w:w="1209" w:type="dxa"/>
            <w:vAlign w:val="center"/>
          </w:tcPr>
          <w:p w14:paraId="6ECB4E13">
            <w:pPr>
              <w:keepNext w:val="0"/>
              <w:keepLines w:val="0"/>
              <w:suppressLineNumbers w:val="0"/>
              <w:spacing w:before="0" w:beforeAutospacing="0" w:after="0" w:afterAutospacing="0"/>
              <w:ind w:left="0" w:right="0"/>
              <w:jc w:val="center"/>
              <w:rPr>
                <w:rFonts w:hint="default" w:ascii="Arial" w:hAnsi="Arial" w:eastAsia="宋体" w:cs="Arial"/>
                <w:sz w:val="21"/>
                <w:szCs w:val="21"/>
              </w:rPr>
            </w:pPr>
            <w:r>
              <w:rPr>
                <w:rFonts w:hint="default" w:ascii="Arial" w:hAnsi="Arial" w:eastAsia="宋体" w:cs="Arial"/>
                <w:sz w:val="21"/>
                <w:szCs w:val="21"/>
              </w:rPr>
              <w:t>其他环境管理要求</w:t>
            </w:r>
          </w:p>
        </w:tc>
        <w:tc>
          <w:tcPr>
            <w:tcW w:w="7876" w:type="dxa"/>
            <w:gridSpan w:val="4"/>
            <w:vAlign w:val="center"/>
          </w:tcPr>
          <w:p w14:paraId="1F195405">
            <w:pPr>
              <w:keepNext w:val="0"/>
              <w:keepLines w:val="0"/>
              <w:suppressLineNumbers w:val="0"/>
              <w:spacing w:before="0" w:beforeAutospacing="0" w:after="0" w:afterAutospacing="0"/>
              <w:ind w:left="0" w:right="0" w:firstLine="210" w:firstLineChars="100"/>
              <w:rPr>
                <w:rFonts w:hint="default" w:ascii="Arial" w:hAnsi="Arial" w:eastAsia="宋体" w:cs="Arial"/>
                <w:sz w:val="21"/>
                <w:szCs w:val="21"/>
              </w:rPr>
            </w:pPr>
            <w:r>
              <w:rPr>
                <w:rFonts w:hint="default" w:ascii="Arial" w:hAnsi="Arial" w:eastAsia="宋体" w:cs="Arial"/>
                <w:sz w:val="21"/>
                <w:szCs w:val="21"/>
              </w:rPr>
              <w:t>根据《排污许可管理办法（试行）》（环境保护部令第48号）、《排污许可管理条例》（国令第736号）以及《固定污染源排污许可分类管理名录（2019年版）》要求，“新建排污单位应当在启动生产设</w:t>
            </w:r>
            <w:r>
              <w:rPr>
                <w:rFonts w:hint="default" w:ascii="Arial" w:hAnsi="Arial" w:eastAsia="宋体" w:cs="Arial"/>
                <w:color w:val="000000" w:themeColor="text1"/>
                <w:sz w:val="21"/>
                <w:szCs w:val="21"/>
                <w14:textFill>
                  <w14:solidFill>
                    <w14:schemeClr w14:val="tx1"/>
                  </w14:solidFill>
                </w14:textFill>
              </w:rPr>
              <w:t>施或者发生实际排污之前申请取得排污许可证或者填报排污登记表”。对照表格，本项目属于“</w:t>
            </w:r>
            <w:r>
              <w:rPr>
                <w:rFonts w:hint="default" w:ascii="Arial" w:hAnsi="Arial" w:eastAsia="宋体" w:cs="Arial"/>
                <w:color w:val="000000" w:themeColor="text1"/>
                <w:sz w:val="21"/>
                <w:szCs w:val="21"/>
                <w:lang w:val="en-US" w:eastAsia="zh-CN"/>
                <w14:textFill>
                  <w14:solidFill>
                    <w14:schemeClr w14:val="tx1"/>
                  </w14:solidFill>
                </w14:textFill>
              </w:rPr>
              <w:t>三十一</w:t>
            </w:r>
            <w:r>
              <w:rPr>
                <w:rFonts w:hint="default" w:ascii="Arial" w:hAnsi="Arial" w:eastAsia="宋体" w:cs="Arial"/>
                <w:color w:val="000000" w:themeColor="text1"/>
                <w:sz w:val="21"/>
                <w:szCs w:val="21"/>
                <w14:textFill>
                  <w14:solidFill>
                    <w14:schemeClr w14:val="tx1"/>
                  </w14:solidFill>
                </w14:textFill>
              </w:rPr>
              <w:t>、</w:t>
            </w:r>
            <w:r>
              <w:rPr>
                <w:rFonts w:hint="default" w:ascii="Arial" w:hAnsi="Arial" w:eastAsia="宋体" w:cs="Arial"/>
                <w:color w:val="000000" w:themeColor="text1"/>
                <w:sz w:val="21"/>
                <w:szCs w:val="21"/>
                <w:lang w:val="en-US" w:eastAsia="zh-CN"/>
                <w14:textFill>
                  <w14:solidFill>
                    <w14:schemeClr w14:val="tx1"/>
                  </w14:solidFill>
                </w14:textFill>
              </w:rPr>
              <w:t>汽车</w:t>
            </w:r>
            <w:r>
              <w:rPr>
                <w:rFonts w:hint="default" w:ascii="Arial" w:hAnsi="Arial" w:eastAsia="宋体" w:cs="Arial"/>
                <w:color w:val="000000" w:themeColor="text1"/>
                <w:sz w:val="21"/>
                <w:szCs w:val="21"/>
                <w14:textFill>
                  <w14:solidFill>
                    <w14:schemeClr w14:val="tx1"/>
                  </w14:solidFill>
                </w14:textFill>
              </w:rPr>
              <w:t>制造业3</w:t>
            </w:r>
            <w:r>
              <w:rPr>
                <w:rFonts w:hint="default" w:ascii="Arial" w:hAnsi="Arial" w:eastAsia="宋体" w:cs="Arial"/>
                <w:color w:val="000000" w:themeColor="text1"/>
                <w:sz w:val="21"/>
                <w:szCs w:val="21"/>
                <w:lang w:val="en-US" w:eastAsia="zh-CN"/>
                <w14:textFill>
                  <w14:solidFill>
                    <w14:schemeClr w14:val="tx1"/>
                  </w14:solidFill>
                </w14:textFill>
              </w:rPr>
              <w:t>6</w:t>
            </w:r>
            <w:r>
              <w:rPr>
                <w:rFonts w:hint="default" w:ascii="Arial" w:hAnsi="Arial" w:eastAsia="宋体" w:cs="Arial"/>
                <w:color w:val="000000" w:themeColor="text1"/>
                <w:sz w:val="21"/>
                <w:szCs w:val="21"/>
                <w14:textFill>
                  <w14:solidFill>
                    <w14:schemeClr w14:val="tx1"/>
                  </w14:solidFill>
                </w14:textFill>
              </w:rPr>
              <w:t>”——“8</w:t>
            </w:r>
            <w:r>
              <w:rPr>
                <w:rFonts w:hint="default" w:ascii="Arial" w:hAnsi="Arial" w:eastAsia="宋体" w:cs="Arial"/>
                <w:color w:val="000000" w:themeColor="text1"/>
                <w:sz w:val="21"/>
                <w:szCs w:val="21"/>
                <w:lang w:val="en-US" w:eastAsia="zh-CN"/>
                <w14:textFill>
                  <w14:solidFill>
                    <w14:schemeClr w14:val="tx1"/>
                  </w14:solidFill>
                </w14:textFill>
              </w:rPr>
              <w:t>5汽车零部件及配件制造</w:t>
            </w:r>
            <w:r>
              <w:rPr>
                <w:rFonts w:hint="default" w:ascii="Arial" w:hAnsi="Arial" w:eastAsia="宋体" w:cs="Arial"/>
                <w:color w:val="000000" w:themeColor="text1"/>
                <w:sz w:val="21"/>
                <w:szCs w:val="21"/>
                <w14:textFill>
                  <w14:solidFill>
                    <w14:schemeClr w14:val="tx1"/>
                  </w14:solidFill>
                </w14:textFill>
              </w:rPr>
              <w:t xml:space="preserve"> 3</w:t>
            </w:r>
            <w:r>
              <w:rPr>
                <w:rFonts w:hint="default" w:ascii="Arial" w:hAnsi="Arial" w:eastAsia="宋体" w:cs="Arial"/>
                <w:color w:val="000000" w:themeColor="text1"/>
                <w:sz w:val="21"/>
                <w:szCs w:val="21"/>
                <w:lang w:val="en-US" w:eastAsia="zh-CN"/>
                <w14:textFill>
                  <w14:solidFill>
                    <w14:schemeClr w14:val="tx1"/>
                  </w14:solidFill>
                </w14:textFill>
              </w:rPr>
              <w:t>67</w:t>
            </w:r>
            <w:r>
              <w:rPr>
                <w:rFonts w:hint="default" w:ascii="Arial" w:hAnsi="Arial" w:eastAsia="宋体" w:cs="Arial"/>
                <w:color w:val="000000" w:themeColor="text1"/>
                <w:sz w:val="21"/>
                <w:szCs w:val="21"/>
                <w14:textFill>
                  <w14:solidFill>
                    <w14:schemeClr w14:val="tx1"/>
                  </w14:solidFill>
                </w14:textFill>
              </w:rPr>
              <w:t>”，综上本项目属于</w:t>
            </w:r>
            <w:r>
              <w:rPr>
                <w:rFonts w:hint="default" w:ascii="Arial" w:hAnsi="Arial" w:eastAsia="宋体" w:cs="Arial"/>
                <w:color w:val="000000" w:themeColor="text1"/>
                <w:sz w:val="21"/>
                <w:szCs w:val="21"/>
                <w:lang w:val="en-US" w:eastAsia="zh-CN"/>
                <w14:textFill>
                  <w14:solidFill>
                    <w14:schemeClr w14:val="tx1"/>
                  </w14:solidFill>
                </w14:textFill>
              </w:rPr>
              <w:t>简化</w:t>
            </w:r>
            <w:r>
              <w:rPr>
                <w:rFonts w:hint="default" w:ascii="Arial" w:hAnsi="Arial" w:eastAsia="宋体" w:cs="Arial"/>
                <w:color w:val="000000" w:themeColor="text1"/>
                <w:sz w:val="21"/>
                <w:szCs w:val="21"/>
                <w14:textFill>
                  <w14:solidFill>
                    <w14:schemeClr w14:val="tx1"/>
                  </w14:solidFill>
                </w14:textFill>
              </w:rPr>
              <w:t>管理类。</w:t>
            </w:r>
          </w:p>
        </w:tc>
      </w:tr>
    </w:tbl>
    <w:p w14:paraId="2B160508">
      <w:pPr>
        <w:rPr>
          <w:rFonts w:hint="default" w:ascii="Arial" w:hAnsi="Arial" w:eastAsia="宋体" w:cs="Arial"/>
          <w:sz w:val="11"/>
          <w:szCs w:val="11"/>
        </w:rPr>
        <w:sectPr>
          <w:headerReference r:id="rId29" w:type="default"/>
          <w:pgSz w:w="11906" w:h="16838"/>
          <w:pgMar w:top="1440" w:right="1287" w:bottom="1440" w:left="1701" w:header="851" w:footer="992" w:gutter="0"/>
          <w:pgBorders>
            <w:top w:val="none" w:sz="0" w:space="0"/>
            <w:left w:val="none" w:sz="0" w:space="0"/>
            <w:bottom w:val="none" w:sz="0" w:space="0"/>
            <w:right w:val="none" w:sz="0" w:space="0"/>
          </w:pgBorders>
          <w:cols w:space="425" w:num="1" w:sep="1"/>
          <w:docGrid w:type="lines" w:linePitch="340" w:charSpace="0"/>
        </w:sectPr>
      </w:pPr>
    </w:p>
    <w:p w14:paraId="10D05E73">
      <w:pPr>
        <w:keepNext w:val="0"/>
        <w:keepLines w:val="0"/>
        <w:pageBreakBefore w:val="0"/>
        <w:widowControl w:val="0"/>
        <w:kinsoku/>
        <w:wordWrap/>
        <w:overflowPunct/>
        <w:topLinePunct w:val="0"/>
        <w:autoSpaceDE/>
        <w:autoSpaceDN/>
        <w:bidi w:val="0"/>
        <w:adjustRightInd/>
        <w:snapToGrid/>
        <w:spacing w:before="171" w:beforeLines="50" w:line="360" w:lineRule="auto"/>
        <w:ind w:firstLine="480" w:firstLineChars="200"/>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浙江海科汽车部件有限公司，租赁平湖经济技术开发区平善大道4885号内三号楼一层，拟投资1000万元进行年产1000万只传动系统部件项目建设。设生产车间、检测室、办公室、仓库等，配置油压机、卧式数控车床、拉床、磨床及装配设备等，项目达产后预计年产1000万只传动系统部件，实现年产值1亿元、利税1500万元。</w:t>
      </w:r>
    </w:p>
    <w:p w14:paraId="76203BB2">
      <w:pPr>
        <w:spacing w:line="360" w:lineRule="auto"/>
        <w:ind w:firstLine="480" w:firstLineChars="200"/>
        <w:rPr>
          <w:rFonts w:hint="default" w:ascii="Arial" w:hAnsi="Arial" w:eastAsia="宋体" w:cs="Arial"/>
          <w:sz w:val="24"/>
          <w:szCs w:val="24"/>
        </w:rPr>
      </w:pPr>
      <w:r>
        <w:rPr>
          <w:rFonts w:hint="default" w:ascii="Arial" w:hAnsi="Arial" w:eastAsia="宋体" w:cs="Arial"/>
          <w:color w:val="000000" w:themeColor="text1"/>
          <w:sz w:val="24"/>
          <w:szCs w:val="24"/>
          <w14:textFill>
            <w14:solidFill>
              <w14:schemeClr w14:val="tx1"/>
            </w14:solidFill>
          </w14:textFill>
        </w:rPr>
        <w:t>建设项目符合平湖市</w:t>
      </w:r>
      <w:r>
        <w:rPr>
          <w:rFonts w:hint="eastAsia" w:ascii="Arial" w:hAnsi="Arial" w:eastAsia="宋体" w:cs="Arial"/>
          <w:color w:val="000000" w:themeColor="text1"/>
          <w:sz w:val="24"/>
          <w:szCs w:val="24"/>
          <w:lang w:val="en-US" w:eastAsia="zh-CN"/>
          <w14:textFill>
            <w14:solidFill>
              <w14:schemeClr w14:val="tx1"/>
            </w14:solidFill>
          </w14:textFill>
        </w:rPr>
        <w:t>国土空间总体规划</w:t>
      </w:r>
      <w:r>
        <w:rPr>
          <w:rFonts w:hint="default" w:ascii="Arial" w:hAnsi="Arial" w:eastAsia="宋体" w:cs="Arial"/>
          <w:color w:val="000000" w:themeColor="text1"/>
          <w:sz w:val="24"/>
          <w:szCs w:val="24"/>
          <w14:textFill>
            <w14:solidFill>
              <w14:schemeClr w14:val="tx1"/>
            </w14:solidFill>
          </w14:textFill>
        </w:rPr>
        <w:t>、土地利用规划和平湖市“三线一单”生态环境分区管控</w:t>
      </w:r>
      <w:r>
        <w:rPr>
          <w:rFonts w:hint="default" w:ascii="Arial" w:hAnsi="Arial" w:eastAsia="宋体" w:cs="Arial"/>
          <w:color w:val="000000" w:themeColor="text1"/>
          <w:sz w:val="24"/>
          <w:szCs w:val="24"/>
          <w:lang w:val="en-US" w:eastAsia="zh-CN"/>
          <w14:textFill>
            <w14:solidFill>
              <w14:schemeClr w14:val="tx1"/>
            </w14:solidFill>
          </w14:textFill>
        </w:rPr>
        <w:t>动态更新</w:t>
      </w:r>
      <w:r>
        <w:rPr>
          <w:rFonts w:hint="default" w:ascii="Arial" w:hAnsi="Arial" w:eastAsia="宋体" w:cs="Arial"/>
          <w:color w:val="000000" w:themeColor="text1"/>
          <w:sz w:val="24"/>
          <w:szCs w:val="24"/>
          <w14:textFill>
            <w14:solidFill>
              <w14:schemeClr w14:val="tx1"/>
            </w14:solidFill>
          </w14:textFill>
        </w:rPr>
        <w:t>方案要求，符合国家和地方产业政策，符合“三线一单”相关要求，项目选址和总体布局合理。项目投产后，</w:t>
      </w:r>
      <w:r>
        <w:rPr>
          <w:rFonts w:hint="default" w:ascii="Arial" w:hAnsi="Arial" w:eastAsia="宋体" w:cs="Arial"/>
          <w:sz w:val="24"/>
          <w:szCs w:val="24"/>
        </w:rPr>
        <w:t>产生的“三废”均可达标排放，对环境影响较小，不会改变环境功能等级，并具有明显的社会、经济、环境综合效益，符合建设项目环保审批原则。</w:t>
      </w:r>
    </w:p>
    <w:p w14:paraId="10AE2EF9">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建设单位应严格执行国家有关的环境保护法规，切实执行本报告提出的各项环境保护措施，实施清洁生产，严格执行“三同时”，把工程对环境的影响降到最低程度。则从环保角度分析，本项目建设可行。</w:t>
      </w:r>
    </w:p>
    <w:p w14:paraId="295DC99D">
      <w:pPr>
        <w:spacing w:line="360" w:lineRule="auto"/>
        <w:rPr>
          <w:rFonts w:hint="default" w:ascii="Arial" w:hAnsi="Arial" w:eastAsia="宋体" w:cs="Arial"/>
          <w:b/>
          <w:sz w:val="24"/>
          <w:szCs w:val="24"/>
        </w:rPr>
      </w:pPr>
    </w:p>
    <w:p w14:paraId="48B7DC32">
      <w:pPr>
        <w:spacing w:line="360" w:lineRule="auto"/>
        <w:rPr>
          <w:rFonts w:hint="default" w:ascii="Arial" w:hAnsi="Arial" w:eastAsia="宋体" w:cs="Arial"/>
          <w:b/>
          <w:sz w:val="24"/>
          <w:szCs w:val="24"/>
        </w:rPr>
        <w:sectPr>
          <w:headerReference r:id="rId30" w:type="default"/>
          <w:pgSz w:w="11906" w:h="16838"/>
          <w:pgMar w:top="1440" w:right="1287" w:bottom="1440" w:left="1701" w:header="851" w:footer="992" w:gutter="0"/>
          <w:pgBorders>
            <w:top w:val="single" w:color="auto" w:sz="4" w:space="1"/>
            <w:left w:val="single" w:color="auto" w:sz="4" w:space="4"/>
            <w:bottom w:val="single" w:color="auto" w:sz="4" w:space="1"/>
            <w:right w:val="single" w:color="auto" w:sz="4" w:space="4"/>
          </w:pgBorders>
          <w:cols w:space="425" w:num="1" w:sep="1"/>
          <w:docGrid w:type="lines" w:linePitch="340" w:charSpace="0"/>
        </w:sectPr>
      </w:pPr>
    </w:p>
    <w:p w14:paraId="53190D79">
      <w:pPr>
        <w:jc w:val="center"/>
        <w:rPr>
          <w:rFonts w:hint="default" w:ascii="Arial" w:hAnsi="Arial" w:eastAsia="宋体" w:cs="Arial"/>
          <w:sz w:val="32"/>
          <w:szCs w:val="32"/>
        </w:rPr>
      </w:pPr>
      <w:bookmarkStart w:id="7" w:name="_Toc67675674"/>
      <w:r>
        <w:rPr>
          <w:rFonts w:hint="default" w:ascii="Arial" w:hAnsi="Arial" w:eastAsia="宋体" w:cs="Arial"/>
          <w:sz w:val="32"/>
          <w:szCs w:val="32"/>
        </w:rPr>
        <w:t>建设项目污染物排放量汇总表    单位：t/a</w:t>
      </w:r>
      <w:bookmarkEnd w:id="7"/>
    </w:p>
    <w:tbl>
      <w:tblPr>
        <w:tblStyle w:val="5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01"/>
        <w:gridCol w:w="1530"/>
        <w:gridCol w:w="1276"/>
        <w:gridCol w:w="1701"/>
        <w:gridCol w:w="1559"/>
        <w:gridCol w:w="1533"/>
        <w:gridCol w:w="1529"/>
        <w:gridCol w:w="1484"/>
      </w:tblGrid>
      <w:tr w14:paraId="43C037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tcBorders>
              <w:tl2br w:val="single" w:color="auto" w:sz="4" w:space="0"/>
            </w:tcBorders>
            <w:tcMar>
              <w:left w:w="28" w:type="dxa"/>
              <w:right w:w="28" w:type="dxa"/>
            </w:tcMar>
            <w:vAlign w:val="center"/>
          </w:tcPr>
          <w:p w14:paraId="57C377C8">
            <w:pPr>
              <w:pStyle w:val="88"/>
              <w:keepNext w:val="0"/>
              <w:keepLines w:val="0"/>
              <w:suppressLineNumbers w:val="0"/>
              <w:spacing w:before="0" w:beforeLines="0" w:beforeAutospacing="0" w:after="0" w:afterLines="0" w:afterAutospacing="0" w:line="240" w:lineRule="auto"/>
              <w:ind w:left="0" w:right="0"/>
              <w:jc w:val="right"/>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项目</w:t>
            </w:r>
          </w:p>
          <w:p w14:paraId="5A012115">
            <w:pPr>
              <w:pStyle w:val="88"/>
              <w:keepNext w:val="0"/>
              <w:keepLines w:val="0"/>
              <w:suppressLineNumbers w:val="0"/>
              <w:spacing w:before="0" w:beforeLines="0" w:beforeAutospacing="0" w:after="0" w:afterLines="0" w:afterAutospacing="0" w:line="240" w:lineRule="auto"/>
              <w:ind w:left="0" w:right="0"/>
              <w:jc w:val="left"/>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分类</w:t>
            </w:r>
          </w:p>
        </w:tc>
        <w:tc>
          <w:tcPr>
            <w:tcW w:w="1701" w:type="dxa"/>
            <w:tcMar>
              <w:left w:w="28" w:type="dxa"/>
              <w:right w:w="28" w:type="dxa"/>
            </w:tcMar>
            <w:vAlign w:val="center"/>
          </w:tcPr>
          <w:p w14:paraId="6BFAFC5D">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污染物名称</w:t>
            </w:r>
          </w:p>
        </w:tc>
        <w:tc>
          <w:tcPr>
            <w:tcW w:w="1530" w:type="dxa"/>
            <w:tcMar>
              <w:left w:w="28" w:type="dxa"/>
              <w:right w:w="28" w:type="dxa"/>
            </w:tcMar>
            <w:vAlign w:val="center"/>
          </w:tcPr>
          <w:p w14:paraId="32F527B4">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现有工程</w:t>
            </w:r>
          </w:p>
          <w:p w14:paraId="3709A9EE">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排放量（固体废物产生量）</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1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①</w:t>
            </w:r>
            <w:r>
              <w:rPr>
                <w:rFonts w:hint="default" w:ascii="Arial" w:hAnsi="Arial" w:eastAsia="宋体" w:cs="Arial"/>
                <w:snapToGrid w:val="0"/>
                <w:spacing w:val="-6"/>
                <w:kern w:val="21"/>
                <w:szCs w:val="21"/>
              </w:rPr>
              <w:fldChar w:fldCharType="end"/>
            </w:r>
          </w:p>
        </w:tc>
        <w:tc>
          <w:tcPr>
            <w:tcW w:w="1276" w:type="dxa"/>
            <w:tcMar>
              <w:left w:w="28" w:type="dxa"/>
              <w:right w:w="28" w:type="dxa"/>
            </w:tcMar>
            <w:vAlign w:val="center"/>
          </w:tcPr>
          <w:p w14:paraId="09AF1151">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现有工程</w:t>
            </w:r>
          </w:p>
          <w:p w14:paraId="361BF374">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许可排放量</w:t>
            </w:r>
          </w:p>
          <w:p w14:paraId="3B4CA364">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2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napToGrid w:val="0"/>
                <w:spacing w:val="-6"/>
                <w:kern w:val="21"/>
                <w:szCs w:val="21"/>
              </w:rPr>
              <w:t>②</w:t>
            </w:r>
            <w:r>
              <w:rPr>
                <w:rFonts w:hint="default" w:ascii="Arial" w:hAnsi="Arial" w:eastAsia="宋体" w:cs="Arial"/>
                <w:snapToGrid w:val="0"/>
                <w:spacing w:val="-6"/>
                <w:kern w:val="21"/>
                <w:szCs w:val="21"/>
              </w:rPr>
              <w:fldChar w:fldCharType="end"/>
            </w:r>
          </w:p>
        </w:tc>
        <w:tc>
          <w:tcPr>
            <w:tcW w:w="1701" w:type="dxa"/>
            <w:tcMar>
              <w:left w:w="28" w:type="dxa"/>
              <w:right w:w="28" w:type="dxa"/>
            </w:tcMar>
            <w:vAlign w:val="center"/>
          </w:tcPr>
          <w:p w14:paraId="4BFD49B8">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在建工程</w:t>
            </w:r>
          </w:p>
          <w:p w14:paraId="52299C94">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排放量（固体废物产生量）</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3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③</w:t>
            </w:r>
            <w:r>
              <w:rPr>
                <w:rFonts w:hint="default" w:ascii="Arial" w:hAnsi="Arial" w:eastAsia="宋体" w:cs="Arial"/>
                <w:snapToGrid w:val="0"/>
                <w:spacing w:val="-6"/>
                <w:kern w:val="21"/>
                <w:szCs w:val="21"/>
              </w:rPr>
              <w:fldChar w:fldCharType="end"/>
            </w:r>
          </w:p>
        </w:tc>
        <w:tc>
          <w:tcPr>
            <w:tcW w:w="1559" w:type="dxa"/>
            <w:tcMar>
              <w:left w:w="28" w:type="dxa"/>
              <w:right w:w="28" w:type="dxa"/>
            </w:tcMar>
            <w:vAlign w:val="center"/>
          </w:tcPr>
          <w:p w14:paraId="26D46590">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本项目</w:t>
            </w:r>
          </w:p>
          <w:p w14:paraId="2C56CE18">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排放量（固体废物产生量）</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4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④</w:t>
            </w:r>
            <w:r>
              <w:rPr>
                <w:rFonts w:hint="default" w:ascii="Arial" w:hAnsi="Arial" w:eastAsia="宋体" w:cs="Arial"/>
                <w:snapToGrid w:val="0"/>
                <w:spacing w:val="-6"/>
                <w:kern w:val="21"/>
                <w:szCs w:val="21"/>
              </w:rPr>
              <w:fldChar w:fldCharType="end"/>
            </w:r>
          </w:p>
        </w:tc>
        <w:tc>
          <w:tcPr>
            <w:tcW w:w="1533" w:type="dxa"/>
            <w:tcMar>
              <w:left w:w="28" w:type="dxa"/>
              <w:right w:w="28" w:type="dxa"/>
            </w:tcMar>
            <w:vAlign w:val="center"/>
          </w:tcPr>
          <w:p w14:paraId="29FA097C">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16"/>
                <w:kern w:val="21"/>
                <w:szCs w:val="21"/>
              </w:rPr>
            </w:pPr>
            <w:r>
              <w:rPr>
                <w:rFonts w:hint="default" w:ascii="Arial" w:hAnsi="Arial" w:eastAsia="宋体" w:cs="Arial"/>
                <w:snapToGrid w:val="0"/>
                <w:spacing w:val="-16"/>
                <w:kern w:val="21"/>
                <w:szCs w:val="21"/>
              </w:rPr>
              <w:t>以新带老削减量</w:t>
            </w:r>
          </w:p>
          <w:p w14:paraId="36E3D5BD">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16"/>
                <w:kern w:val="21"/>
                <w:szCs w:val="21"/>
              </w:rPr>
            </w:pPr>
            <w:r>
              <w:rPr>
                <w:rFonts w:hint="default" w:ascii="Arial" w:hAnsi="Arial" w:eastAsia="宋体" w:cs="Arial"/>
                <w:snapToGrid w:val="0"/>
                <w:spacing w:val="-16"/>
                <w:kern w:val="21"/>
                <w:szCs w:val="21"/>
              </w:rPr>
              <w:t>（新建项目不填）</w:t>
            </w:r>
            <w:r>
              <w:rPr>
                <w:rFonts w:hint="default" w:ascii="Arial" w:hAnsi="Arial" w:eastAsia="宋体" w:cs="Arial"/>
                <w:snapToGrid w:val="0"/>
                <w:spacing w:val="-16"/>
                <w:kern w:val="21"/>
                <w:szCs w:val="21"/>
              </w:rPr>
              <w:fldChar w:fldCharType="begin"/>
            </w:r>
            <w:r>
              <w:rPr>
                <w:rFonts w:hint="default" w:ascii="Arial" w:hAnsi="Arial" w:eastAsia="宋体" w:cs="Arial"/>
                <w:snapToGrid w:val="0"/>
                <w:spacing w:val="-16"/>
                <w:kern w:val="21"/>
                <w:szCs w:val="21"/>
              </w:rPr>
              <w:instrText xml:space="preserve"> = 5 \* GB3 \* MERGEFORMAT </w:instrText>
            </w:r>
            <w:r>
              <w:rPr>
                <w:rFonts w:hint="default" w:ascii="Arial" w:hAnsi="Arial" w:eastAsia="宋体" w:cs="Arial"/>
                <w:snapToGrid w:val="0"/>
                <w:spacing w:val="-16"/>
                <w:kern w:val="21"/>
                <w:szCs w:val="21"/>
              </w:rPr>
              <w:fldChar w:fldCharType="separate"/>
            </w:r>
            <w:r>
              <w:rPr>
                <w:rFonts w:hint="default" w:ascii="Arial" w:hAnsi="Arial" w:eastAsia="宋体" w:cs="Arial"/>
                <w:szCs w:val="21"/>
              </w:rPr>
              <w:t>⑤</w:t>
            </w:r>
            <w:r>
              <w:rPr>
                <w:rFonts w:hint="default" w:ascii="Arial" w:hAnsi="Arial" w:eastAsia="宋体" w:cs="Arial"/>
                <w:snapToGrid w:val="0"/>
                <w:spacing w:val="-16"/>
                <w:kern w:val="21"/>
                <w:szCs w:val="21"/>
              </w:rPr>
              <w:fldChar w:fldCharType="end"/>
            </w:r>
          </w:p>
        </w:tc>
        <w:tc>
          <w:tcPr>
            <w:tcW w:w="1529" w:type="dxa"/>
            <w:tcMar>
              <w:left w:w="28" w:type="dxa"/>
              <w:right w:w="28" w:type="dxa"/>
            </w:tcMar>
            <w:vAlign w:val="center"/>
          </w:tcPr>
          <w:p w14:paraId="5D7D936E">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16"/>
                <w:kern w:val="21"/>
                <w:szCs w:val="21"/>
              </w:rPr>
            </w:pPr>
            <w:r>
              <w:rPr>
                <w:rFonts w:hint="default" w:ascii="Arial" w:hAnsi="Arial" w:eastAsia="宋体" w:cs="Arial"/>
                <w:snapToGrid w:val="0"/>
                <w:spacing w:val="-16"/>
                <w:kern w:val="21"/>
                <w:szCs w:val="21"/>
              </w:rPr>
              <w:t>本项目建成后</w:t>
            </w:r>
          </w:p>
          <w:p w14:paraId="1357D149">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16"/>
                <w:kern w:val="21"/>
                <w:szCs w:val="21"/>
              </w:rPr>
            </w:pPr>
            <w:r>
              <w:rPr>
                <w:rFonts w:hint="default" w:ascii="Arial" w:hAnsi="Arial" w:eastAsia="宋体" w:cs="Arial"/>
                <w:snapToGrid w:val="0"/>
                <w:spacing w:val="-16"/>
                <w:kern w:val="21"/>
                <w:szCs w:val="21"/>
              </w:rPr>
              <w:t>全厂排放量（固体废物产生量）</w:t>
            </w:r>
            <w:r>
              <w:rPr>
                <w:rFonts w:hint="default" w:ascii="Arial" w:hAnsi="Arial" w:eastAsia="宋体" w:cs="Arial"/>
                <w:snapToGrid w:val="0"/>
                <w:spacing w:val="-16"/>
                <w:kern w:val="21"/>
                <w:szCs w:val="21"/>
              </w:rPr>
              <w:fldChar w:fldCharType="begin"/>
            </w:r>
            <w:r>
              <w:rPr>
                <w:rFonts w:hint="default" w:ascii="Arial" w:hAnsi="Arial" w:eastAsia="宋体" w:cs="Arial"/>
                <w:snapToGrid w:val="0"/>
                <w:spacing w:val="-16"/>
                <w:kern w:val="21"/>
                <w:szCs w:val="21"/>
              </w:rPr>
              <w:instrText xml:space="preserve"> = 6 \* GB3 \* MERGEFORMAT </w:instrText>
            </w:r>
            <w:r>
              <w:rPr>
                <w:rFonts w:hint="default" w:ascii="Arial" w:hAnsi="Arial" w:eastAsia="宋体" w:cs="Arial"/>
                <w:snapToGrid w:val="0"/>
                <w:spacing w:val="-16"/>
                <w:kern w:val="21"/>
                <w:szCs w:val="21"/>
              </w:rPr>
              <w:fldChar w:fldCharType="separate"/>
            </w:r>
            <w:r>
              <w:rPr>
                <w:rFonts w:hint="default" w:ascii="Arial" w:hAnsi="Arial" w:eastAsia="宋体" w:cs="Arial"/>
                <w:szCs w:val="21"/>
              </w:rPr>
              <w:t>⑥</w:t>
            </w:r>
            <w:r>
              <w:rPr>
                <w:rFonts w:hint="default" w:ascii="Arial" w:hAnsi="Arial" w:eastAsia="宋体" w:cs="Arial"/>
                <w:snapToGrid w:val="0"/>
                <w:spacing w:val="-16"/>
                <w:kern w:val="21"/>
                <w:szCs w:val="21"/>
              </w:rPr>
              <w:fldChar w:fldCharType="end"/>
            </w:r>
          </w:p>
        </w:tc>
        <w:tc>
          <w:tcPr>
            <w:tcW w:w="1484" w:type="dxa"/>
            <w:tcMar>
              <w:left w:w="28" w:type="dxa"/>
              <w:right w:w="28" w:type="dxa"/>
            </w:tcMar>
            <w:vAlign w:val="center"/>
          </w:tcPr>
          <w:p w14:paraId="0A9D98C2">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t>变化量</w:t>
            </w:r>
          </w:p>
          <w:p w14:paraId="3B3FE377">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spacing w:val="-6"/>
                <w:kern w:val="21"/>
                <w:szCs w:val="21"/>
              </w:rPr>
            </w:pP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7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⑦</w:t>
            </w:r>
            <w:r>
              <w:rPr>
                <w:rFonts w:hint="default" w:ascii="Arial" w:hAnsi="Arial" w:eastAsia="宋体" w:cs="Arial"/>
                <w:snapToGrid w:val="0"/>
                <w:spacing w:val="-6"/>
                <w:kern w:val="21"/>
                <w:szCs w:val="21"/>
              </w:rPr>
              <w:fldChar w:fldCharType="end"/>
            </w:r>
          </w:p>
        </w:tc>
      </w:tr>
      <w:tr w14:paraId="3A770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restart"/>
            <w:vAlign w:val="center"/>
          </w:tcPr>
          <w:p w14:paraId="1DF2E388">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lang w:val="en-US" w:eastAsia="zh-CN"/>
              </w:rPr>
            </w:pPr>
            <w:r>
              <w:rPr>
                <w:rFonts w:hint="default" w:ascii="Arial" w:hAnsi="Arial" w:eastAsia="宋体" w:cs="Arial"/>
                <w:snapToGrid w:val="0"/>
                <w:kern w:val="21"/>
                <w:szCs w:val="21"/>
                <w:lang w:val="en-US" w:eastAsia="zh-CN"/>
              </w:rPr>
              <w:t>生活污水</w:t>
            </w:r>
          </w:p>
        </w:tc>
        <w:tc>
          <w:tcPr>
            <w:tcW w:w="1701" w:type="dxa"/>
            <w:shd w:val="clear" w:color="auto" w:fill="auto"/>
            <w:vAlign w:val="center"/>
          </w:tcPr>
          <w:p w14:paraId="14DB4BBE">
            <w:pPr>
              <w:keepNext w:val="0"/>
              <w:keepLines w:val="0"/>
              <w:suppressLineNumbers w:val="0"/>
              <w:spacing w:before="0" w:beforeAutospacing="0" w:after="0" w:afterAutospacing="0" w:line="280" w:lineRule="exact"/>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0"/>
                <w:szCs w:val="21"/>
              </w:rPr>
              <w:t>废水量</w:t>
            </w:r>
          </w:p>
        </w:tc>
        <w:tc>
          <w:tcPr>
            <w:tcW w:w="1530" w:type="dxa"/>
            <w:shd w:val="clear" w:color="auto" w:fill="auto"/>
            <w:vAlign w:val="center"/>
          </w:tcPr>
          <w:p w14:paraId="7712989B">
            <w:pPr>
              <w:keepNext w:val="0"/>
              <w:keepLines w:val="0"/>
              <w:suppressLineNumbers w:val="0"/>
              <w:autoSpaceDE w:val="0"/>
              <w:autoSpaceDN w:val="0"/>
              <w:spacing w:before="0" w:beforeAutospacing="0" w:after="0" w:afterAutospacing="0"/>
              <w:ind w:left="0" w:leftChars="0" w:right="0" w:rightChars="0"/>
              <w:jc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1167A9F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5A658DE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54A49F80">
            <w:pPr>
              <w:keepNext w:val="0"/>
              <w:keepLines w:val="0"/>
              <w:suppressLineNumbers w:val="0"/>
              <w:autoSpaceDE w:val="0"/>
              <w:autoSpaceDN w:val="0"/>
              <w:spacing w:before="0" w:beforeAutospacing="0" w:after="0" w:afterAutospacing="0"/>
              <w:ind w:left="0" w:leftChars="0" w:right="0" w:rightChars="0"/>
              <w:jc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szCs w:val="21"/>
                <w:lang w:val="en-US" w:eastAsia="zh-CN"/>
              </w:rPr>
              <w:t>300</w:t>
            </w:r>
          </w:p>
        </w:tc>
        <w:tc>
          <w:tcPr>
            <w:tcW w:w="1533" w:type="dxa"/>
            <w:vAlign w:val="center"/>
          </w:tcPr>
          <w:p w14:paraId="727AC68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01A65CD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300</w:t>
            </w:r>
          </w:p>
        </w:tc>
        <w:tc>
          <w:tcPr>
            <w:tcW w:w="1484" w:type="dxa"/>
            <w:shd w:val="clear" w:color="auto" w:fill="auto"/>
            <w:vAlign w:val="center"/>
          </w:tcPr>
          <w:p w14:paraId="515259DA">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+300</w:t>
            </w:r>
          </w:p>
        </w:tc>
      </w:tr>
      <w:tr w14:paraId="25983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144720E3">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shd w:val="clear" w:color="auto" w:fill="auto"/>
            <w:vAlign w:val="center"/>
          </w:tcPr>
          <w:p w14:paraId="4B38FAA1">
            <w:pPr>
              <w:keepNext w:val="0"/>
              <w:keepLines w:val="0"/>
              <w:suppressLineNumbers w:val="0"/>
              <w:spacing w:before="0" w:beforeAutospacing="0" w:after="0" w:afterAutospacing="0" w:line="280" w:lineRule="exact"/>
              <w:ind w:left="0" w:right="0"/>
              <w:jc w:val="cente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0"/>
                <w:szCs w:val="21"/>
              </w:rPr>
              <w:t>COD</w:t>
            </w:r>
            <w:r>
              <w:rPr>
                <w:rFonts w:hint="default" w:ascii="Arial" w:hAnsi="Arial" w:eastAsia="宋体" w:cs="Arial"/>
                <w:color w:val="auto"/>
                <w:kern w:val="0"/>
                <w:szCs w:val="21"/>
                <w:vertAlign w:val="subscript"/>
              </w:rPr>
              <w:t>Cr</w:t>
            </w:r>
          </w:p>
        </w:tc>
        <w:tc>
          <w:tcPr>
            <w:tcW w:w="1530" w:type="dxa"/>
            <w:shd w:val="clear" w:color="auto" w:fill="auto"/>
            <w:vAlign w:val="center"/>
          </w:tcPr>
          <w:p w14:paraId="5A859E8C">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3D2EA55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40E454F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43B5901B">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0.</w:t>
            </w:r>
            <w:r>
              <w:rPr>
                <w:rFonts w:hint="eastAsia" w:ascii="Arial" w:hAnsi="Arial" w:eastAsia="宋体" w:cs="Arial"/>
                <w:i w:val="0"/>
                <w:iCs w:val="0"/>
                <w:color w:val="000000"/>
                <w:kern w:val="0"/>
                <w:sz w:val="21"/>
                <w:szCs w:val="21"/>
                <w:u w:val="none"/>
                <w:lang w:val="en-US" w:eastAsia="zh-CN" w:bidi="ar"/>
              </w:rPr>
              <w:t>012</w:t>
            </w:r>
          </w:p>
        </w:tc>
        <w:tc>
          <w:tcPr>
            <w:tcW w:w="1533" w:type="dxa"/>
            <w:vAlign w:val="center"/>
          </w:tcPr>
          <w:p w14:paraId="60B2B4D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209A0D9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012</w:t>
            </w:r>
          </w:p>
        </w:tc>
        <w:tc>
          <w:tcPr>
            <w:tcW w:w="1484" w:type="dxa"/>
            <w:shd w:val="clear" w:color="auto" w:fill="auto"/>
            <w:vAlign w:val="center"/>
          </w:tcPr>
          <w:p w14:paraId="7CEE5E1C">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w:t>
            </w: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012</w:t>
            </w:r>
          </w:p>
        </w:tc>
      </w:tr>
      <w:tr w14:paraId="37331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44733E1F">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shd w:val="clear" w:color="auto" w:fill="auto"/>
            <w:vAlign w:val="center"/>
          </w:tcPr>
          <w:p w14:paraId="2179AD5F">
            <w:pPr>
              <w:keepNext w:val="0"/>
              <w:keepLines w:val="0"/>
              <w:suppressLineNumbers w:val="0"/>
              <w:spacing w:before="0" w:beforeAutospacing="0" w:after="0" w:afterAutospacing="0" w:line="280" w:lineRule="exact"/>
              <w:ind w:left="0" w:right="0"/>
              <w:jc w:val="center"/>
              <w:rPr>
                <w:rFonts w:hint="default" w:ascii="Arial" w:hAnsi="Arial" w:eastAsia="宋体" w:cs="Arial"/>
                <w:color w:val="auto"/>
                <w:kern w:val="0"/>
                <w:sz w:val="21"/>
                <w:szCs w:val="21"/>
                <w:lang w:val="en-US" w:eastAsia="zh-CN" w:bidi="ar-SA"/>
              </w:rPr>
            </w:pPr>
            <w:r>
              <w:rPr>
                <w:rFonts w:hint="default" w:ascii="Arial" w:hAnsi="Arial" w:eastAsia="宋体" w:cs="Arial"/>
                <w:color w:val="auto"/>
                <w:kern w:val="0"/>
                <w:szCs w:val="21"/>
              </w:rPr>
              <w:t>氨氮</w:t>
            </w:r>
          </w:p>
        </w:tc>
        <w:tc>
          <w:tcPr>
            <w:tcW w:w="1530" w:type="dxa"/>
            <w:shd w:val="clear" w:color="auto" w:fill="auto"/>
            <w:vAlign w:val="center"/>
          </w:tcPr>
          <w:p w14:paraId="632AB259">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56D3970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761FF22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5D747CDA">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000000"/>
                <w:kern w:val="0"/>
                <w:sz w:val="21"/>
                <w:szCs w:val="21"/>
                <w:u w:val="none"/>
                <w:lang w:val="en-US" w:eastAsia="zh-CN" w:bidi="ar"/>
              </w:rPr>
              <w:t>0.0</w:t>
            </w:r>
            <w:r>
              <w:rPr>
                <w:rFonts w:hint="eastAsia" w:ascii="Arial" w:hAnsi="Arial" w:eastAsia="宋体" w:cs="Arial"/>
                <w:i w:val="0"/>
                <w:iCs w:val="0"/>
                <w:color w:val="000000"/>
                <w:kern w:val="0"/>
                <w:sz w:val="21"/>
                <w:szCs w:val="21"/>
                <w:u w:val="none"/>
                <w:lang w:val="en-US" w:eastAsia="zh-CN" w:bidi="ar"/>
              </w:rPr>
              <w:t>01</w:t>
            </w:r>
          </w:p>
        </w:tc>
        <w:tc>
          <w:tcPr>
            <w:tcW w:w="1533" w:type="dxa"/>
            <w:vAlign w:val="center"/>
          </w:tcPr>
          <w:p w14:paraId="54C4CE0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7B1655E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0.0</w:t>
            </w:r>
            <w:r>
              <w:rPr>
                <w:rFonts w:hint="eastAsia" w:ascii="Arial" w:hAnsi="Arial" w:eastAsia="宋体" w:cs="Arial"/>
                <w:i w:val="0"/>
                <w:iCs w:val="0"/>
                <w:color w:val="auto"/>
                <w:kern w:val="0"/>
                <w:sz w:val="21"/>
                <w:szCs w:val="21"/>
                <w:u w:val="none"/>
                <w:lang w:val="en-US" w:eastAsia="zh-CN" w:bidi="ar"/>
              </w:rPr>
              <w:t>01</w:t>
            </w:r>
          </w:p>
        </w:tc>
        <w:tc>
          <w:tcPr>
            <w:tcW w:w="1484" w:type="dxa"/>
            <w:shd w:val="clear" w:color="auto" w:fill="auto"/>
            <w:vAlign w:val="center"/>
          </w:tcPr>
          <w:p w14:paraId="2F63CD48">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0.0</w:t>
            </w:r>
            <w:r>
              <w:rPr>
                <w:rFonts w:hint="eastAsia" w:ascii="Arial" w:hAnsi="Arial" w:eastAsia="宋体" w:cs="Arial"/>
                <w:i w:val="0"/>
                <w:iCs w:val="0"/>
                <w:color w:val="auto"/>
                <w:kern w:val="0"/>
                <w:sz w:val="21"/>
                <w:szCs w:val="21"/>
                <w:u w:val="none"/>
                <w:lang w:val="en-US" w:eastAsia="zh-CN" w:bidi="ar"/>
              </w:rPr>
              <w:t>01</w:t>
            </w:r>
          </w:p>
        </w:tc>
      </w:tr>
      <w:tr w14:paraId="4049E3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Align w:val="center"/>
          </w:tcPr>
          <w:p w14:paraId="41A1C370">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lang w:val="en-US" w:eastAsia="zh-CN"/>
              </w:rPr>
            </w:pPr>
            <w:r>
              <w:rPr>
                <w:rFonts w:hint="default" w:ascii="Arial" w:hAnsi="Arial" w:eastAsia="宋体" w:cs="Arial"/>
                <w:snapToGrid w:val="0"/>
                <w:kern w:val="21"/>
                <w:szCs w:val="21"/>
                <w:lang w:val="en-US" w:eastAsia="zh-CN"/>
              </w:rPr>
              <w:t>废气</w:t>
            </w:r>
          </w:p>
        </w:tc>
        <w:tc>
          <w:tcPr>
            <w:tcW w:w="1701" w:type="dxa"/>
            <w:vAlign w:val="center"/>
          </w:tcPr>
          <w:p w14:paraId="216559C9">
            <w:pPr>
              <w:keepNext w:val="0"/>
              <w:keepLines w:val="0"/>
              <w:suppressLineNumbers w:val="0"/>
              <w:snapToGrid w:val="0"/>
              <w:spacing w:before="0" w:beforeAutospacing="0" w:after="0" w:afterAutospacing="0"/>
              <w:ind w:left="0" w:right="0"/>
              <w:jc w:val="center"/>
              <w:rPr>
                <w:rFonts w:hint="default" w:ascii="Arial" w:hAnsi="Arial" w:eastAsia="宋体" w:cs="Arial"/>
                <w:snapToGrid w:val="0"/>
                <w:color w:val="auto"/>
                <w:kern w:val="21"/>
                <w:szCs w:val="21"/>
                <w:lang w:val="en-US" w:eastAsia="zh-CN"/>
              </w:rPr>
            </w:pPr>
            <w:r>
              <w:rPr>
                <w:rFonts w:hint="default" w:ascii="Arial" w:hAnsi="Arial" w:eastAsia="宋体" w:cs="Arial"/>
                <w:kern w:val="0"/>
                <w:sz w:val="18"/>
                <w:szCs w:val="18"/>
              </w:rPr>
              <w:t>颗粒物</w:t>
            </w:r>
          </w:p>
        </w:tc>
        <w:tc>
          <w:tcPr>
            <w:tcW w:w="1530" w:type="dxa"/>
            <w:vAlign w:val="center"/>
          </w:tcPr>
          <w:p w14:paraId="4263337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679EA9D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1E4F6DC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6A193A7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0.378</w:t>
            </w:r>
          </w:p>
        </w:tc>
        <w:tc>
          <w:tcPr>
            <w:tcW w:w="1533" w:type="dxa"/>
            <w:vAlign w:val="center"/>
          </w:tcPr>
          <w:p w14:paraId="2F4FD79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642E170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0.378</w:t>
            </w:r>
          </w:p>
        </w:tc>
        <w:tc>
          <w:tcPr>
            <w:tcW w:w="1484" w:type="dxa"/>
            <w:shd w:val="clear" w:color="auto" w:fill="auto"/>
            <w:vAlign w:val="center"/>
          </w:tcPr>
          <w:p w14:paraId="59811179">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+0.378</w:t>
            </w:r>
          </w:p>
        </w:tc>
      </w:tr>
      <w:tr w14:paraId="37091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restart"/>
            <w:vAlign w:val="center"/>
          </w:tcPr>
          <w:p w14:paraId="2BB2A0EF">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r>
              <w:rPr>
                <w:rFonts w:hint="default" w:ascii="Arial" w:hAnsi="Arial" w:eastAsia="宋体" w:cs="Arial"/>
                <w:snapToGrid w:val="0"/>
                <w:kern w:val="21"/>
                <w:szCs w:val="21"/>
              </w:rPr>
              <w:t>一般工业固体废物</w:t>
            </w:r>
          </w:p>
        </w:tc>
        <w:tc>
          <w:tcPr>
            <w:tcW w:w="1701" w:type="dxa"/>
            <w:vAlign w:val="center"/>
          </w:tcPr>
          <w:p w14:paraId="4DFA5382">
            <w:pPr>
              <w:keepNext w:val="0"/>
              <w:keepLines w:val="0"/>
              <w:suppressLineNumbers w:val="0"/>
              <w:spacing w:before="0" w:beforeAutospacing="0" w:after="0" w:afterAutospacing="0"/>
              <w:ind w:left="0" w:leftChars="0" w:right="0" w:rightChars="0"/>
              <w:jc w:val="center"/>
              <w:rPr>
                <w:rFonts w:hint="default" w:ascii="Arial" w:hAnsi="Arial" w:eastAsia="宋体" w:cs="Arial"/>
                <w:snapToGrid w:val="0"/>
                <w:color w:val="auto"/>
                <w:kern w:val="21"/>
                <w:szCs w:val="21"/>
              </w:rPr>
            </w:pPr>
            <w:r>
              <w:rPr>
                <w:rFonts w:hint="default" w:ascii="Arial" w:hAnsi="Arial" w:eastAsia="宋体" w:cs="Arial"/>
                <w:kern w:val="2"/>
                <w:sz w:val="21"/>
                <w:szCs w:val="21"/>
                <w:lang w:val="en-US" w:eastAsia="zh-CN" w:bidi="ar-SA"/>
              </w:rPr>
              <w:t>废一般包装材料</w:t>
            </w:r>
          </w:p>
        </w:tc>
        <w:tc>
          <w:tcPr>
            <w:tcW w:w="1530" w:type="dxa"/>
            <w:vAlign w:val="center"/>
          </w:tcPr>
          <w:p w14:paraId="11431C62">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0E90BB4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6DDFA07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55560BB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1</w:t>
            </w:r>
            <w:r>
              <w:rPr>
                <w:rFonts w:hint="default" w:ascii="Arial" w:hAnsi="Arial" w:eastAsia="宋体" w:cs="Arial"/>
                <w:i w:val="0"/>
                <w:iCs w:val="0"/>
                <w:color w:val="auto"/>
                <w:kern w:val="0"/>
                <w:sz w:val="21"/>
                <w:szCs w:val="21"/>
                <w:u w:val="none"/>
                <w:lang w:val="en-US" w:eastAsia="zh-CN" w:bidi="ar"/>
              </w:rPr>
              <w:t>）</w:t>
            </w:r>
          </w:p>
        </w:tc>
        <w:tc>
          <w:tcPr>
            <w:tcW w:w="1533" w:type="dxa"/>
            <w:vAlign w:val="center"/>
          </w:tcPr>
          <w:p w14:paraId="10DF47D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62FB6189">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1</w:t>
            </w:r>
            <w:r>
              <w:rPr>
                <w:rFonts w:hint="default" w:ascii="Arial" w:hAnsi="Arial" w:eastAsia="宋体" w:cs="Arial"/>
                <w:i w:val="0"/>
                <w:iCs w:val="0"/>
                <w:color w:val="auto"/>
                <w:kern w:val="0"/>
                <w:sz w:val="21"/>
                <w:szCs w:val="21"/>
                <w:u w:val="none"/>
                <w:lang w:val="en-US" w:eastAsia="zh-CN" w:bidi="ar"/>
              </w:rPr>
              <w:t>）</w:t>
            </w:r>
          </w:p>
        </w:tc>
        <w:tc>
          <w:tcPr>
            <w:tcW w:w="1484" w:type="dxa"/>
            <w:vAlign w:val="center"/>
          </w:tcPr>
          <w:p w14:paraId="60409C1A">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1</w:t>
            </w:r>
            <w:r>
              <w:rPr>
                <w:rFonts w:hint="default" w:ascii="Arial" w:hAnsi="Arial" w:eastAsia="宋体" w:cs="Arial"/>
                <w:i w:val="0"/>
                <w:iCs w:val="0"/>
                <w:color w:val="auto"/>
                <w:kern w:val="0"/>
                <w:sz w:val="21"/>
                <w:szCs w:val="21"/>
                <w:u w:val="none"/>
                <w:lang w:val="en-US" w:eastAsia="zh-CN" w:bidi="ar"/>
              </w:rPr>
              <w:t>）</w:t>
            </w:r>
          </w:p>
        </w:tc>
      </w:tr>
      <w:tr w14:paraId="1E643D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556BC0EE">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p>
        </w:tc>
        <w:tc>
          <w:tcPr>
            <w:tcW w:w="1701" w:type="dxa"/>
            <w:vAlign w:val="center"/>
          </w:tcPr>
          <w:p w14:paraId="21EE3D20">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szCs w:val="21"/>
              </w:rPr>
            </w:pPr>
            <w:r>
              <w:rPr>
                <w:rFonts w:hint="default" w:ascii="Arial" w:hAnsi="Arial" w:eastAsia="宋体" w:cs="Arial"/>
                <w:kern w:val="2"/>
                <w:sz w:val="21"/>
                <w:szCs w:val="21"/>
                <w:lang w:val="en-US" w:eastAsia="zh-CN" w:bidi="ar-SA"/>
              </w:rPr>
              <w:t>废金属</w:t>
            </w:r>
          </w:p>
        </w:tc>
        <w:tc>
          <w:tcPr>
            <w:tcW w:w="1530" w:type="dxa"/>
            <w:vAlign w:val="center"/>
          </w:tcPr>
          <w:p w14:paraId="4B8939C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2179B0E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5B508AE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0FDE97A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310</w:t>
            </w:r>
            <w:r>
              <w:rPr>
                <w:rFonts w:hint="default" w:ascii="Arial" w:hAnsi="Arial" w:eastAsia="宋体" w:cs="Arial"/>
                <w:i w:val="0"/>
                <w:iCs w:val="0"/>
                <w:color w:val="auto"/>
                <w:kern w:val="0"/>
                <w:sz w:val="21"/>
                <w:szCs w:val="21"/>
                <w:u w:val="none"/>
                <w:lang w:val="en-US" w:eastAsia="zh-CN" w:bidi="ar"/>
              </w:rPr>
              <w:t>）</w:t>
            </w:r>
          </w:p>
        </w:tc>
        <w:tc>
          <w:tcPr>
            <w:tcW w:w="1533" w:type="dxa"/>
            <w:vAlign w:val="center"/>
          </w:tcPr>
          <w:p w14:paraId="3D208A5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5F6E2714">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310</w:t>
            </w:r>
            <w:r>
              <w:rPr>
                <w:rFonts w:hint="default" w:ascii="Arial" w:hAnsi="Arial" w:eastAsia="宋体" w:cs="Arial"/>
                <w:i w:val="0"/>
                <w:iCs w:val="0"/>
                <w:color w:val="auto"/>
                <w:kern w:val="0"/>
                <w:sz w:val="21"/>
                <w:szCs w:val="21"/>
                <w:u w:val="none"/>
                <w:lang w:val="en-US" w:eastAsia="zh-CN" w:bidi="ar"/>
              </w:rPr>
              <w:t>）</w:t>
            </w:r>
          </w:p>
        </w:tc>
        <w:tc>
          <w:tcPr>
            <w:tcW w:w="1484" w:type="dxa"/>
            <w:vAlign w:val="center"/>
          </w:tcPr>
          <w:p w14:paraId="2F583A9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310</w:t>
            </w:r>
            <w:r>
              <w:rPr>
                <w:rFonts w:hint="default" w:ascii="Arial" w:hAnsi="Arial" w:eastAsia="宋体" w:cs="Arial"/>
                <w:i w:val="0"/>
                <w:iCs w:val="0"/>
                <w:color w:val="auto"/>
                <w:kern w:val="0"/>
                <w:sz w:val="21"/>
                <w:szCs w:val="21"/>
                <w:u w:val="none"/>
                <w:lang w:val="en-US" w:eastAsia="zh-CN" w:bidi="ar"/>
              </w:rPr>
              <w:t>）</w:t>
            </w:r>
          </w:p>
        </w:tc>
      </w:tr>
      <w:tr w14:paraId="4B7EE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0D45750B">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p>
        </w:tc>
        <w:tc>
          <w:tcPr>
            <w:tcW w:w="1701" w:type="dxa"/>
            <w:vAlign w:val="center"/>
          </w:tcPr>
          <w:p w14:paraId="35FCE7E4">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default" w:ascii="Arial" w:hAnsi="Arial" w:eastAsia="宋体" w:cs="Arial"/>
                <w:kern w:val="2"/>
                <w:sz w:val="21"/>
                <w:szCs w:val="21"/>
                <w:lang w:val="en-US" w:eastAsia="zh-CN" w:bidi="ar-SA"/>
              </w:rPr>
              <w:t>布袋收尘</w:t>
            </w:r>
          </w:p>
        </w:tc>
        <w:tc>
          <w:tcPr>
            <w:tcW w:w="1530" w:type="dxa"/>
            <w:vAlign w:val="center"/>
          </w:tcPr>
          <w:p w14:paraId="61D4DC9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20AA281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24513F2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7A851DB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9.17</w:t>
            </w:r>
            <w:r>
              <w:rPr>
                <w:rFonts w:hint="default" w:ascii="Arial" w:hAnsi="Arial" w:eastAsia="宋体" w:cs="Arial"/>
                <w:i w:val="0"/>
                <w:iCs w:val="0"/>
                <w:color w:val="auto"/>
                <w:kern w:val="0"/>
                <w:sz w:val="21"/>
                <w:szCs w:val="21"/>
                <w:u w:val="none"/>
                <w:lang w:val="en-US" w:eastAsia="zh-CN" w:bidi="ar"/>
              </w:rPr>
              <w:t>）</w:t>
            </w:r>
          </w:p>
        </w:tc>
        <w:tc>
          <w:tcPr>
            <w:tcW w:w="1533" w:type="dxa"/>
            <w:vAlign w:val="center"/>
          </w:tcPr>
          <w:p w14:paraId="5F8AFCC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18E810E1">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9.17</w:t>
            </w:r>
            <w:r>
              <w:rPr>
                <w:rFonts w:hint="default" w:ascii="Arial" w:hAnsi="Arial" w:eastAsia="宋体" w:cs="Arial"/>
                <w:i w:val="0"/>
                <w:iCs w:val="0"/>
                <w:color w:val="auto"/>
                <w:kern w:val="0"/>
                <w:sz w:val="21"/>
                <w:szCs w:val="21"/>
                <w:u w:val="none"/>
                <w:lang w:val="en-US" w:eastAsia="zh-CN" w:bidi="ar"/>
              </w:rPr>
              <w:t>）</w:t>
            </w:r>
          </w:p>
        </w:tc>
        <w:tc>
          <w:tcPr>
            <w:tcW w:w="1484" w:type="dxa"/>
            <w:vAlign w:val="center"/>
          </w:tcPr>
          <w:p w14:paraId="6794693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7.65</w:t>
            </w:r>
            <w:r>
              <w:rPr>
                <w:rFonts w:hint="default" w:ascii="Arial" w:hAnsi="Arial" w:eastAsia="宋体" w:cs="Arial"/>
                <w:i w:val="0"/>
                <w:iCs w:val="0"/>
                <w:color w:val="auto"/>
                <w:kern w:val="0"/>
                <w:sz w:val="21"/>
                <w:szCs w:val="21"/>
                <w:u w:val="none"/>
                <w:lang w:val="en-US" w:eastAsia="zh-CN" w:bidi="ar"/>
              </w:rPr>
              <w:t>）</w:t>
            </w:r>
          </w:p>
        </w:tc>
      </w:tr>
      <w:tr w14:paraId="304CC7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3BD93F59">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p>
        </w:tc>
        <w:tc>
          <w:tcPr>
            <w:tcW w:w="1701" w:type="dxa"/>
            <w:vAlign w:val="center"/>
          </w:tcPr>
          <w:p w14:paraId="5D486673">
            <w:pPr>
              <w:keepNext w:val="0"/>
              <w:keepLines w:val="0"/>
              <w:suppressLineNumbers w:val="0"/>
              <w:spacing w:before="0" w:beforeAutospacing="0" w:after="0" w:afterAutospacing="0"/>
              <w:ind w:left="0" w:leftChars="0" w:right="0" w:rightChars="0"/>
              <w:jc w:val="center"/>
              <w:rPr>
                <w:rFonts w:hint="default" w:ascii="Arial" w:hAnsi="Arial" w:eastAsia="宋体" w:cs="Arial"/>
                <w:color w:val="auto"/>
                <w:kern w:val="2"/>
                <w:sz w:val="21"/>
                <w:szCs w:val="21"/>
                <w:lang w:val="en-US" w:eastAsia="zh-CN" w:bidi="ar-SA"/>
              </w:rPr>
            </w:pPr>
            <w:r>
              <w:rPr>
                <w:rFonts w:hint="default" w:ascii="Arial" w:hAnsi="Arial" w:eastAsia="宋体" w:cs="Arial"/>
                <w:kern w:val="2"/>
                <w:sz w:val="21"/>
                <w:szCs w:val="21"/>
                <w:lang w:val="en-US" w:eastAsia="zh-CN" w:bidi="ar-SA"/>
              </w:rPr>
              <w:t>废钢丸</w:t>
            </w:r>
          </w:p>
        </w:tc>
        <w:tc>
          <w:tcPr>
            <w:tcW w:w="1530" w:type="dxa"/>
            <w:vAlign w:val="center"/>
          </w:tcPr>
          <w:p w14:paraId="039FB51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0753D83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53EB343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57C331E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0（8）</w:t>
            </w:r>
          </w:p>
        </w:tc>
        <w:tc>
          <w:tcPr>
            <w:tcW w:w="1533" w:type="dxa"/>
            <w:vAlign w:val="center"/>
          </w:tcPr>
          <w:p w14:paraId="1BE6F4F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6BEEA25D">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0（8）</w:t>
            </w:r>
          </w:p>
        </w:tc>
        <w:tc>
          <w:tcPr>
            <w:tcW w:w="1484" w:type="dxa"/>
            <w:vAlign w:val="center"/>
          </w:tcPr>
          <w:p w14:paraId="232FF5C2">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0（+8）</w:t>
            </w:r>
          </w:p>
        </w:tc>
      </w:tr>
      <w:tr w14:paraId="4B0F8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6164FEA7">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p>
        </w:tc>
        <w:tc>
          <w:tcPr>
            <w:tcW w:w="1701" w:type="dxa"/>
            <w:vAlign w:val="center"/>
          </w:tcPr>
          <w:p w14:paraId="01F5313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光饰机清灰</w:t>
            </w:r>
          </w:p>
        </w:tc>
        <w:tc>
          <w:tcPr>
            <w:tcW w:w="1530" w:type="dxa"/>
            <w:vAlign w:val="center"/>
          </w:tcPr>
          <w:p w14:paraId="098EE94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12DFDB1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6F85793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0F2D016B">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0（4.25）</w:t>
            </w:r>
          </w:p>
        </w:tc>
        <w:tc>
          <w:tcPr>
            <w:tcW w:w="1533" w:type="dxa"/>
            <w:vAlign w:val="center"/>
          </w:tcPr>
          <w:p w14:paraId="5F258121">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1986A3F1">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0（4.25）</w:t>
            </w:r>
          </w:p>
        </w:tc>
        <w:tc>
          <w:tcPr>
            <w:tcW w:w="1484" w:type="dxa"/>
            <w:vAlign w:val="center"/>
          </w:tcPr>
          <w:p w14:paraId="0B8AC643">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0（+4.25）</w:t>
            </w:r>
          </w:p>
        </w:tc>
      </w:tr>
      <w:tr w14:paraId="7972F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1DE195F7">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p>
        </w:tc>
        <w:tc>
          <w:tcPr>
            <w:tcW w:w="1701" w:type="dxa"/>
            <w:vAlign w:val="center"/>
          </w:tcPr>
          <w:p w14:paraId="2AB63B7C">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废磨料</w:t>
            </w:r>
          </w:p>
        </w:tc>
        <w:tc>
          <w:tcPr>
            <w:tcW w:w="1530" w:type="dxa"/>
            <w:vAlign w:val="center"/>
          </w:tcPr>
          <w:p w14:paraId="1A4D0D7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7404C61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26A990B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21EEB9D2">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0（1）</w:t>
            </w:r>
          </w:p>
        </w:tc>
        <w:tc>
          <w:tcPr>
            <w:tcW w:w="1533" w:type="dxa"/>
            <w:vAlign w:val="center"/>
          </w:tcPr>
          <w:p w14:paraId="4905F1F6">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4E151F2E">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0（1）</w:t>
            </w:r>
          </w:p>
        </w:tc>
        <w:tc>
          <w:tcPr>
            <w:tcW w:w="1484" w:type="dxa"/>
            <w:vAlign w:val="center"/>
          </w:tcPr>
          <w:p w14:paraId="756A8D46">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i w:val="0"/>
                <w:iCs w:val="0"/>
                <w:color w:val="auto"/>
                <w:kern w:val="0"/>
                <w:sz w:val="21"/>
                <w:szCs w:val="21"/>
                <w:u w:val="none"/>
                <w:lang w:val="en-US" w:eastAsia="zh-CN" w:bidi="ar"/>
              </w:rPr>
            </w:pPr>
            <w:r>
              <w:rPr>
                <w:rFonts w:hint="eastAsia" w:ascii="Arial" w:hAnsi="Arial" w:eastAsia="宋体" w:cs="Arial"/>
                <w:i w:val="0"/>
                <w:iCs w:val="0"/>
                <w:color w:val="auto"/>
                <w:kern w:val="0"/>
                <w:sz w:val="21"/>
                <w:szCs w:val="21"/>
                <w:u w:val="none"/>
                <w:lang w:val="en-US" w:eastAsia="zh-CN" w:bidi="ar"/>
              </w:rPr>
              <w:t>0（+1）</w:t>
            </w:r>
          </w:p>
        </w:tc>
      </w:tr>
      <w:tr w14:paraId="4394A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777D2B2B">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vAlign w:val="center"/>
          </w:tcPr>
          <w:p w14:paraId="543B4DDF">
            <w:pPr>
              <w:keepNext w:val="0"/>
              <w:keepLines w:val="0"/>
              <w:suppressLineNumbers w:val="0"/>
              <w:spacing w:before="0" w:beforeAutospacing="0" w:after="0" w:afterAutospacing="0"/>
              <w:ind w:left="0" w:right="0"/>
              <w:jc w:val="center"/>
              <w:rPr>
                <w:rFonts w:hint="default" w:ascii="Arial" w:hAnsi="Arial" w:eastAsia="宋体" w:cs="Arial"/>
                <w:szCs w:val="21"/>
              </w:rPr>
            </w:pPr>
            <w:r>
              <w:rPr>
                <w:rFonts w:hint="default" w:ascii="Arial" w:hAnsi="Arial" w:eastAsia="宋体" w:cs="Arial"/>
                <w:bCs/>
                <w:szCs w:val="21"/>
              </w:rPr>
              <w:t>生活垃圾</w:t>
            </w:r>
          </w:p>
        </w:tc>
        <w:tc>
          <w:tcPr>
            <w:tcW w:w="1530" w:type="dxa"/>
            <w:vAlign w:val="center"/>
          </w:tcPr>
          <w:p w14:paraId="1A9B2411">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vAlign w:val="center"/>
          </w:tcPr>
          <w:p w14:paraId="425DAEF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vAlign w:val="center"/>
          </w:tcPr>
          <w:p w14:paraId="3C67898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vAlign w:val="center"/>
          </w:tcPr>
          <w:p w14:paraId="7045387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w:t>
            </w:r>
          </w:p>
        </w:tc>
        <w:tc>
          <w:tcPr>
            <w:tcW w:w="1533" w:type="dxa"/>
            <w:vAlign w:val="center"/>
          </w:tcPr>
          <w:p w14:paraId="2010680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vAlign w:val="center"/>
          </w:tcPr>
          <w:p w14:paraId="183F0DD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w:t>
            </w:r>
            <w:r>
              <w:rPr>
                <w:rFonts w:hint="default" w:ascii="Arial" w:hAnsi="Arial" w:eastAsia="宋体" w:cs="Arial"/>
                <w:i w:val="0"/>
                <w:iCs w:val="0"/>
                <w:color w:val="auto"/>
                <w:kern w:val="0"/>
                <w:sz w:val="21"/>
                <w:szCs w:val="21"/>
                <w:u w:val="none"/>
                <w:lang w:val="en-US" w:eastAsia="zh-CN" w:bidi="ar"/>
              </w:rPr>
              <w:t>）</w:t>
            </w:r>
          </w:p>
        </w:tc>
        <w:tc>
          <w:tcPr>
            <w:tcW w:w="1484" w:type="dxa"/>
            <w:vAlign w:val="center"/>
          </w:tcPr>
          <w:p w14:paraId="5D45B6C7">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w:t>
            </w:r>
            <w:r>
              <w:rPr>
                <w:rFonts w:hint="default" w:ascii="Arial" w:hAnsi="Arial" w:eastAsia="宋体" w:cs="Arial"/>
                <w:i w:val="0"/>
                <w:iCs w:val="0"/>
                <w:color w:val="auto"/>
                <w:kern w:val="0"/>
                <w:sz w:val="21"/>
                <w:szCs w:val="21"/>
                <w:u w:val="none"/>
                <w:lang w:val="en-US" w:eastAsia="zh-CN" w:bidi="ar"/>
              </w:rPr>
              <w:t>）</w:t>
            </w:r>
          </w:p>
        </w:tc>
      </w:tr>
      <w:tr w14:paraId="487814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restart"/>
            <w:vAlign w:val="center"/>
          </w:tcPr>
          <w:p w14:paraId="5647C6EA">
            <w:pPr>
              <w:pStyle w:val="88"/>
              <w:keepNext w:val="0"/>
              <w:keepLines w:val="0"/>
              <w:suppressLineNumbers w:val="0"/>
              <w:spacing w:before="34" w:beforeAutospacing="0" w:after="34" w:afterAutospacing="0" w:line="240" w:lineRule="auto"/>
              <w:ind w:left="0" w:right="0"/>
              <w:rPr>
                <w:rFonts w:hint="default" w:ascii="Arial" w:hAnsi="Arial" w:eastAsia="宋体" w:cs="Arial"/>
                <w:snapToGrid w:val="0"/>
                <w:kern w:val="21"/>
                <w:szCs w:val="21"/>
              </w:rPr>
            </w:pPr>
            <w:r>
              <w:rPr>
                <w:rFonts w:hint="default" w:ascii="Arial" w:hAnsi="Arial" w:eastAsia="宋体" w:cs="Arial"/>
                <w:snapToGrid w:val="0"/>
                <w:kern w:val="21"/>
                <w:szCs w:val="21"/>
              </w:rPr>
              <w:t>危险废物</w:t>
            </w:r>
          </w:p>
        </w:tc>
        <w:tc>
          <w:tcPr>
            <w:tcW w:w="1701" w:type="dxa"/>
            <w:shd w:val="clear" w:color="auto" w:fill="auto"/>
            <w:vAlign w:val="center"/>
          </w:tcPr>
          <w:p w14:paraId="0EE13A5D">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废含油金属屑</w:t>
            </w:r>
          </w:p>
        </w:tc>
        <w:tc>
          <w:tcPr>
            <w:tcW w:w="1530" w:type="dxa"/>
            <w:shd w:val="clear" w:color="auto" w:fill="auto"/>
            <w:vAlign w:val="center"/>
          </w:tcPr>
          <w:p w14:paraId="44F8549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1DD4C74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shd w:val="clear" w:color="auto" w:fill="auto"/>
            <w:vAlign w:val="center"/>
          </w:tcPr>
          <w:p w14:paraId="084A1F6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shd w:val="clear" w:color="auto" w:fill="auto"/>
            <w:vAlign w:val="center"/>
          </w:tcPr>
          <w:p w14:paraId="49E3C21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8</w:t>
            </w:r>
            <w:r>
              <w:rPr>
                <w:rFonts w:hint="default" w:ascii="Arial" w:hAnsi="Arial" w:eastAsia="宋体" w:cs="Arial"/>
                <w:i w:val="0"/>
                <w:iCs w:val="0"/>
                <w:color w:val="auto"/>
                <w:kern w:val="0"/>
                <w:sz w:val="21"/>
                <w:szCs w:val="21"/>
                <w:u w:val="none"/>
                <w:lang w:val="en-US" w:eastAsia="zh-CN" w:bidi="ar"/>
              </w:rPr>
              <w:t>）</w:t>
            </w:r>
          </w:p>
        </w:tc>
        <w:tc>
          <w:tcPr>
            <w:tcW w:w="1533" w:type="dxa"/>
            <w:shd w:val="clear" w:color="auto" w:fill="auto"/>
            <w:vAlign w:val="center"/>
          </w:tcPr>
          <w:p w14:paraId="29DA073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2AFF1E35">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8</w:t>
            </w:r>
            <w:r>
              <w:rPr>
                <w:rFonts w:hint="default" w:ascii="Arial" w:hAnsi="Arial" w:eastAsia="宋体" w:cs="Arial"/>
                <w:i w:val="0"/>
                <w:iCs w:val="0"/>
                <w:color w:val="auto"/>
                <w:kern w:val="0"/>
                <w:sz w:val="21"/>
                <w:szCs w:val="21"/>
                <w:u w:val="none"/>
                <w:lang w:val="en-US" w:eastAsia="zh-CN" w:bidi="ar"/>
              </w:rPr>
              <w:t>）</w:t>
            </w:r>
          </w:p>
        </w:tc>
        <w:tc>
          <w:tcPr>
            <w:tcW w:w="1484" w:type="dxa"/>
            <w:shd w:val="clear" w:color="auto" w:fill="auto"/>
            <w:vAlign w:val="center"/>
          </w:tcPr>
          <w:p w14:paraId="210FB72A">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+8</w:t>
            </w:r>
            <w:r>
              <w:rPr>
                <w:rFonts w:hint="default" w:ascii="Arial" w:hAnsi="Arial" w:eastAsia="宋体" w:cs="Arial"/>
                <w:i w:val="0"/>
                <w:iCs w:val="0"/>
                <w:color w:val="auto"/>
                <w:kern w:val="0"/>
                <w:sz w:val="21"/>
                <w:szCs w:val="21"/>
                <w:u w:val="none"/>
                <w:lang w:val="en-US" w:eastAsia="zh-CN" w:bidi="ar"/>
              </w:rPr>
              <w:t>）</w:t>
            </w:r>
          </w:p>
        </w:tc>
      </w:tr>
      <w:tr w14:paraId="369D73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458FF2BD">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shd w:val="clear" w:color="auto" w:fill="auto"/>
            <w:vAlign w:val="center"/>
          </w:tcPr>
          <w:p w14:paraId="79886C52">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废切削液</w:t>
            </w:r>
          </w:p>
        </w:tc>
        <w:tc>
          <w:tcPr>
            <w:tcW w:w="1530" w:type="dxa"/>
            <w:shd w:val="clear" w:color="auto" w:fill="auto"/>
            <w:vAlign w:val="center"/>
          </w:tcPr>
          <w:p w14:paraId="3548E73D">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485B7E3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shd w:val="clear" w:color="auto" w:fill="auto"/>
            <w:vAlign w:val="center"/>
          </w:tcPr>
          <w:p w14:paraId="637574A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shd w:val="clear" w:color="auto" w:fill="auto"/>
            <w:vAlign w:val="center"/>
          </w:tcPr>
          <w:p w14:paraId="765F67E7">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3</w:t>
            </w:r>
            <w:r>
              <w:rPr>
                <w:rFonts w:hint="default" w:ascii="Arial" w:hAnsi="Arial" w:eastAsia="宋体" w:cs="Arial"/>
                <w:i w:val="0"/>
                <w:iCs w:val="0"/>
                <w:color w:val="auto"/>
                <w:kern w:val="0"/>
                <w:sz w:val="21"/>
                <w:szCs w:val="21"/>
                <w:u w:val="none"/>
                <w:lang w:val="en-US" w:eastAsia="zh-CN" w:bidi="ar"/>
              </w:rPr>
              <w:t>）</w:t>
            </w:r>
          </w:p>
        </w:tc>
        <w:tc>
          <w:tcPr>
            <w:tcW w:w="1533" w:type="dxa"/>
            <w:shd w:val="clear" w:color="auto" w:fill="auto"/>
            <w:vAlign w:val="center"/>
          </w:tcPr>
          <w:p w14:paraId="03B9B13C">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0EE81EE3">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3</w:t>
            </w:r>
            <w:r>
              <w:rPr>
                <w:rFonts w:hint="default" w:ascii="Arial" w:hAnsi="Arial" w:eastAsia="宋体" w:cs="Arial"/>
                <w:i w:val="0"/>
                <w:iCs w:val="0"/>
                <w:color w:val="auto"/>
                <w:kern w:val="0"/>
                <w:sz w:val="21"/>
                <w:szCs w:val="21"/>
                <w:u w:val="none"/>
                <w:lang w:val="en-US" w:eastAsia="zh-CN" w:bidi="ar"/>
              </w:rPr>
              <w:t>）</w:t>
            </w:r>
          </w:p>
        </w:tc>
        <w:tc>
          <w:tcPr>
            <w:tcW w:w="1484" w:type="dxa"/>
            <w:shd w:val="clear" w:color="auto" w:fill="auto"/>
            <w:vAlign w:val="center"/>
          </w:tcPr>
          <w:p w14:paraId="66EDD1A6">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+3</w:t>
            </w:r>
            <w:r>
              <w:rPr>
                <w:rFonts w:hint="default" w:ascii="Arial" w:hAnsi="Arial" w:eastAsia="宋体" w:cs="Arial"/>
                <w:i w:val="0"/>
                <w:iCs w:val="0"/>
                <w:color w:val="auto"/>
                <w:kern w:val="0"/>
                <w:sz w:val="21"/>
                <w:szCs w:val="21"/>
                <w:u w:val="none"/>
                <w:lang w:val="en-US" w:eastAsia="zh-CN" w:bidi="ar"/>
              </w:rPr>
              <w:t>）</w:t>
            </w:r>
          </w:p>
        </w:tc>
      </w:tr>
      <w:tr w14:paraId="4741A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4FE067D9">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shd w:val="clear" w:color="auto" w:fill="auto"/>
            <w:vAlign w:val="center"/>
          </w:tcPr>
          <w:p w14:paraId="4E57256E">
            <w:pPr>
              <w:keepNext w:val="0"/>
              <w:keepLines w:val="0"/>
              <w:suppressLineNumbers w:val="0"/>
              <w:spacing w:before="0" w:beforeAutospacing="0" w:after="0" w:afterAutospacing="0"/>
              <w:ind w:left="0" w:leftChars="0" w:right="0" w:rightChars="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废</w:t>
            </w:r>
            <w:r>
              <w:rPr>
                <w:rFonts w:hint="default" w:ascii="Arial" w:hAnsi="Arial" w:eastAsia="宋体" w:cs="Arial"/>
                <w:sz w:val="21"/>
                <w:szCs w:val="21"/>
                <w:lang w:val="en-US" w:eastAsia="zh-CN"/>
              </w:rPr>
              <w:t>化学品包装</w:t>
            </w:r>
          </w:p>
        </w:tc>
        <w:tc>
          <w:tcPr>
            <w:tcW w:w="1530" w:type="dxa"/>
            <w:shd w:val="clear" w:color="auto" w:fill="auto"/>
            <w:vAlign w:val="center"/>
          </w:tcPr>
          <w:p w14:paraId="5EFB97BF">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06B35100">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shd w:val="clear" w:color="auto" w:fill="auto"/>
            <w:vAlign w:val="center"/>
          </w:tcPr>
          <w:p w14:paraId="40C39AA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shd w:val="clear" w:color="auto" w:fill="auto"/>
            <w:vAlign w:val="center"/>
          </w:tcPr>
          <w:p w14:paraId="33F1DED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0.2</w:t>
            </w:r>
            <w:r>
              <w:rPr>
                <w:rFonts w:hint="default" w:ascii="Arial" w:hAnsi="Arial" w:eastAsia="宋体" w:cs="Arial"/>
                <w:i w:val="0"/>
                <w:iCs w:val="0"/>
                <w:color w:val="auto"/>
                <w:kern w:val="0"/>
                <w:sz w:val="21"/>
                <w:szCs w:val="21"/>
                <w:u w:val="none"/>
                <w:lang w:val="en-US" w:eastAsia="zh-CN" w:bidi="ar"/>
              </w:rPr>
              <w:t>）</w:t>
            </w:r>
          </w:p>
        </w:tc>
        <w:tc>
          <w:tcPr>
            <w:tcW w:w="1533" w:type="dxa"/>
            <w:shd w:val="clear" w:color="auto" w:fill="auto"/>
            <w:vAlign w:val="center"/>
          </w:tcPr>
          <w:p w14:paraId="727A8AEE">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6BCC5DFC">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0.2</w:t>
            </w:r>
            <w:r>
              <w:rPr>
                <w:rFonts w:hint="default" w:ascii="Arial" w:hAnsi="Arial" w:eastAsia="宋体" w:cs="Arial"/>
                <w:i w:val="0"/>
                <w:iCs w:val="0"/>
                <w:color w:val="auto"/>
                <w:kern w:val="0"/>
                <w:sz w:val="21"/>
                <w:szCs w:val="21"/>
                <w:u w:val="none"/>
                <w:lang w:val="en-US" w:eastAsia="zh-CN" w:bidi="ar"/>
              </w:rPr>
              <w:t>）</w:t>
            </w:r>
          </w:p>
        </w:tc>
        <w:tc>
          <w:tcPr>
            <w:tcW w:w="1484" w:type="dxa"/>
            <w:shd w:val="clear" w:color="auto" w:fill="auto"/>
            <w:vAlign w:val="center"/>
          </w:tcPr>
          <w:p w14:paraId="0DB5CCF8">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+0.2</w:t>
            </w:r>
            <w:r>
              <w:rPr>
                <w:rFonts w:hint="default" w:ascii="Arial" w:hAnsi="Arial" w:eastAsia="宋体" w:cs="Arial"/>
                <w:i w:val="0"/>
                <w:iCs w:val="0"/>
                <w:color w:val="auto"/>
                <w:kern w:val="0"/>
                <w:sz w:val="21"/>
                <w:szCs w:val="21"/>
                <w:u w:val="none"/>
                <w:lang w:val="en-US" w:eastAsia="zh-CN" w:bidi="ar"/>
              </w:rPr>
              <w:t>）</w:t>
            </w:r>
          </w:p>
        </w:tc>
      </w:tr>
      <w:tr w14:paraId="5647FC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3CFFC6F6">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shd w:val="clear" w:color="auto" w:fill="auto"/>
            <w:vAlign w:val="center"/>
          </w:tcPr>
          <w:p w14:paraId="4C03A898">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清洗废液</w:t>
            </w:r>
          </w:p>
        </w:tc>
        <w:tc>
          <w:tcPr>
            <w:tcW w:w="1530" w:type="dxa"/>
            <w:shd w:val="clear" w:color="auto" w:fill="auto"/>
            <w:vAlign w:val="center"/>
          </w:tcPr>
          <w:p w14:paraId="3E5E110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4734402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shd w:val="clear" w:color="auto" w:fill="auto"/>
            <w:vAlign w:val="center"/>
          </w:tcPr>
          <w:p w14:paraId="43FBB35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shd w:val="clear" w:color="auto" w:fill="auto"/>
            <w:vAlign w:val="center"/>
          </w:tcPr>
          <w:p w14:paraId="7C69411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w:t>
            </w:r>
            <w:r>
              <w:rPr>
                <w:rFonts w:hint="default" w:ascii="Arial" w:hAnsi="Arial" w:eastAsia="宋体" w:cs="Arial"/>
                <w:i w:val="0"/>
                <w:iCs w:val="0"/>
                <w:color w:val="auto"/>
                <w:kern w:val="0"/>
                <w:sz w:val="21"/>
                <w:szCs w:val="21"/>
                <w:u w:val="none"/>
                <w:lang w:val="en-US" w:eastAsia="zh-CN" w:bidi="ar"/>
              </w:rPr>
              <w:t>）</w:t>
            </w:r>
          </w:p>
        </w:tc>
        <w:tc>
          <w:tcPr>
            <w:tcW w:w="1533" w:type="dxa"/>
            <w:shd w:val="clear" w:color="auto" w:fill="auto"/>
            <w:vAlign w:val="center"/>
          </w:tcPr>
          <w:p w14:paraId="1B38C80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3E87BCA2">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w:t>
            </w:r>
            <w:r>
              <w:rPr>
                <w:rFonts w:hint="default" w:ascii="Arial" w:hAnsi="Arial" w:eastAsia="宋体" w:cs="Arial"/>
                <w:i w:val="0"/>
                <w:iCs w:val="0"/>
                <w:color w:val="auto"/>
                <w:kern w:val="0"/>
                <w:sz w:val="21"/>
                <w:szCs w:val="21"/>
                <w:u w:val="none"/>
                <w:lang w:val="en-US" w:eastAsia="zh-CN" w:bidi="ar"/>
              </w:rPr>
              <w:t>）</w:t>
            </w:r>
          </w:p>
        </w:tc>
        <w:tc>
          <w:tcPr>
            <w:tcW w:w="1484" w:type="dxa"/>
            <w:shd w:val="clear" w:color="auto" w:fill="auto"/>
            <w:vAlign w:val="center"/>
          </w:tcPr>
          <w:p w14:paraId="3544C259">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+9</w:t>
            </w:r>
            <w:r>
              <w:rPr>
                <w:rFonts w:hint="default" w:ascii="Arial" w:hAnsi="Arial" w:eastAsia="宋体" w:cs="Arial"/>
                <w:i w:val="0"/>
                <w:iCs w:val="0"/>
                <w:color w:val="auto"/>
                <w:kern w:val="0"/>
                <w:sz w:val="21"/>
                <w:szCs w:val="21"/>
                <w:u w:val="none"/>
                <w:lang w:val="en-US" w:eastAsia="zh-CN" w:bidi="ar"/>
              </w:rPr>
              <w:t>）</w:t>
            </w:r>
          </w:p>
        </w:tc>
      </w:tr>
      <w:tr w14:paraId="7379E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5" w:type="dxa"/>
            <w:vMerge w:val="continue"/>
            <w:vAlign w:val="center"/>
          </w:tcPr>
          <w:p w14:paraId="64DB7331">
            <w:pPr>
              <w:pStyle w:val="88"/>
              <w:keepNext w:val="0"/>
              <w:keepLines w:val="0"/>
              <w:suppressLineNumbers w:val="0"/>
              <w:spacing w:before="0" w:beforeLines="0" w:beforeAutospacing="0" w:after="0" w:afterLines="0" w:afterAutospacing="0" w:line="240" w:lineRule="auto"/>
              <w:ind w:left="0" w:right="0"/>
              <w:rPr>
                <w:rFonts w:hint="default" w:ascii="Arial" w:hAnsi="Arial" w:eastAsia="宋体" w:cs="Arial"/>
                <w:snapToGrid w:val="0"/>
                <w:kern w:val="21"/>
                <w:szCs w:val="21"/>
              </w:rPr>
            </w:pPr>
          </w:p>
        </w:tc>
        <w:tc>
          <w:tcPr>
            <w:tcW w:w="1701" w:type="dxa"/>
            <w:shd w:val="clear" w:color="auto" w:fill="auto"/>
            <w:vAlign w:val="center"/>
          </w:tcPr>
          <w:p w14:paraId="7C45AA07">
            <w:pPr>
              <w:keepNext w:val="0"/>
              <w:keepLines w:val="0"/>
              <w:suppressLineNumbers w:val="0"/>
              <w:spacing w:before="0" w:beforeAutospacing="0" w:after="0" w:afterAutospacing="0"/>
              <w:ind w:left="0" w:leftChars="0" w:right="0" w:rightChars="0"/>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废探伤液</w:t>
            </w:r>
          </w:p>
        </w:tc>
        <w:tc>
          <w:tcPr>
            <w:tcW w:w="1530" w:type="dxa"/>
            <w:shd w:val="clear" w:color="auto" w:fill="auto"/>
            <w:vAlign w:val="center"/>
          </w:tcPr>
          <w:p w14:paraId="0D6D7FA3">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276" w:type="dxa"/>
            <w:shd w:val="clear" w:color="auto" w:fill="auto"/>
            <w:vAlign w:val="center"/>
          </w:tcPr>
          <w:p w14:paraId="4003C9A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701" w:type="dxa"/>
            <w:shd w:val="clear" w:color="auto" w:fill="auto"/>
            <w:vAlign w:val="center"/>
          </w:tcPr>
          <w:p w14:paraId="1CB24C4B">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59" w:type="dxa"/>
            <w:shd w:val="clear" w:color="auto" w:fill="auto"/>
            <w:vAlign w:val="center"/>
          </w:tcPr>
          <w:p w14:paraId="6D39896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0.5</w:t>
            </w:r>
            <w:r>
              <w:rPr>
                <w:rFonts w:hint="default" w:ascii="Arial" w:hAnsi="Arial" w:eastAsia="宋体" w:cs="Arial"/>
                <w:i w:val="0"/>
                <w:iCs w:val="0"/>
                <w:color w:val="auto"/>
                <w:kern w:val="0"/>
                <w:sz w:val="21"/>
                <w:szCs w:val="21"/>
                <w:u w:val="none"/>
                <w:lang w:val="en-US" w:eastAsia="zh-CN" w:bidi="ar"/>
              </w:rPr>
              <w:t>）</w:t>
            </w:r>
          </w:p>
        </w:tc>
        <w:tc>
          <w:tcPr>
            <w:tcW w:w="1533" w:type="dxa"/>
            <w:shd w:val="clear" w:color="auto" w:fill="auto"/>
            <w:vAlign w:val="center"/>
          </w:tcPr>
          <w:p w14:paraId="65BA65C6">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auto"/>
                <w:kern w:val="0"/>
                <w:sz w:val="21"/>
                <w:szCs w:val="21"/>
                <w:u w:val="none"/>
                <w:lang w:val="en-US" w:eastAsia="zh-CN" w:bidi="ar"/>
              </w:rPr>
            </w:pPr>
          </w:p>
        </w:tc>
        <w:tc>
          <w:tcPr>
            <w:tcW w:w="1529" w:type="dxa"/>
            <w:shd w:val="clear" w:color="auto" w:fill="auto"/>
            <w:vAlign w:val="center"/>
          </w:tcPr>
          <w:p w14:paraId="74AF310A">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0.5</w:t>
            </w:r>
            <w:r>
              <w:rPr>
                <w:rFonts w:hint="default" w:ascii="Arial" w:hAnsi="Arial" w:eastAsia="宋体" w:cs="Arial"/>
                <w:i w:val="0"/>
                <w:iCs w:val="0"/>
                <w:color w:val="auto"/>
                <w:kern w:val="0"/>
                <w:sz w:val="21"/>
                <w:szCs w:val="21"/>
                <w:u w:val="none"/>
                <w:lang w:val="en-US" w:eastAsia="zh-CN" w:bidi="ar"/>
              </w:rPr>
              <w:t>）</w:t>
            </w:r>
          </w:p>
        </w:tc>
        <w:tc>
          <w:tcPr>
            <w:tcW w:w="1484" w:type="dxa"/>
            <w:shd w:val="clear" w:color="auto" w:fill="auto"/>
            <w:vAlign w:val="center"/>
          </w:tcPr>
          <w:p w14:paraId="34C03246">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i w:val="0"/>
                <w:iCs w:val="0"/>
                <w:color w:val="auto"/>
                <w:kern w:val="0"/>
                <w:sz w:val="21"/>
                <w:szCs w:val="21"/>
                <w:u w:val="none"/>
                <w:lang w:val="en-US" w:eastAsia="zh-CN" w:bidi="ar"/>
              </w:rPr>
            </w:pPr>
            <w:r>
              <w:rPr>
                <w:rFonts w:hint="default" w:ascii="Arial" w:hAnsi="Arial" w:eastAsia="宋体" w:cs="Arial"/>
                <w:i w:val="0"/>
                <w:iCs w:val="0"/>
                <w:color w:val="auto"/>
                <w:kern w:val="0"/>
                <w:sz w:val="21"/>
                <w:szCs w:val="21"/>
                <w:u w:val="none"/>
                <w:lang w:val="en-US" w:eastAsia="zh-CN" w:bidi="ar"/>
              </w:rPr>
              <w:t>0（</w:t>
            </w:r>
            <w:r>
              <w:rPr>
                <w:rFonts w:hint="eastAsia" w:ascii="Arial" w:hAnsi="Arial" w:eastAsia="宋体" w:cs="Arial"/>
                <w:i w:val="0"/>
                <w:iCs w:val="0"/>
                <w:color w:val="auto"/>
                <w:kern w:val="0"/>
                <w:sz w:val="21"/>
                <w:szCs w:val="21"/>
                <w:u w:val="none"/>
                <w:lang w:val="en-US" w:eastAsia="zh-CN" w:bidi="ar"/>
              </w:rPr>
              <w:t>+0.5</w:t>
            </w:r>
            <w:r>
              <w:rPr>
                <w:rFonts w:hint="default" w:ascii="Arial" w:hAnsi="Arial" w:eastAsia="宋体" w:cs="Arial"/>
                <w:i w:val="0"/>
                <w:iCs w:val="0"/>
                <w:color w:val="auto"/>
                <w:kern w:val="0"/>
                <w:sz w:val="21"/>
                <w:szCs w:val="21"/>
                <w:u w:val="none"/>
                <w:lang w:val="en-US" w:eastAsia="zh-CN" w:bidi="ar"/>
              </w:rPr>
              <w:t>）</w:t>
            </w:r>
          </w:p>
        </w:tc>
      </w:tr>
    </w:tbl>
    <w:p w14:paraId="4140C5C6">
      <w:pPr>
        <w:pStyle w:val="88"/>
        <w:spacing w:before="272" w:beforeLines="80" w:after="34"/>
        <w:jc w:val="left"/>
        <w:rPr>
          <w:rFonts w:hint="default" w:ascii="Arial" w:hAnsi="Arial" w:eastAsia="宋体" w:cs="Arial"/>
          <w:snapToGrid w:val="0"/>
          <w:spacing w:val="-6"/>
          <w:kern w:val="21"/>
          <w:szCs w:val="21"/>
        </w:rPr>
        <w:sectPr>
          <w:headerReference r:id="rId31" w:type="default"/>
          <w:pgSz w:w="16838" w:h="11906" w:orient="landscape"/>
          <w:pgMar w:top="1287" w:right="1440" w:bottom="1701" w:left="1440" w:header="851" w:footer="992" w:gutter="0"/>
          <w:pgBorders>
            <w:top w:val="none" w:sz="0" w:space="0"/>
            <w:left w:val="none" w:sz="0" w:space="0"/>
            <w:bottom w:val="none" w:sz="0" w:space="0"/>
            <w:right w:val="none" w:sz="0" w:space="0"/>
          </w:pgBorders>
          <w:cols w:space="425" w:num="1" w:sep="1"/>
          <w:docGrid w:type="lines" w:linePitch="340" w:charSpace="0"/>
        </w:sectPr>
      </w:pPr>
      <w:r>
        <w:rPr>
          <w:rFonts w:hint="default" w:ascii="Arial" w:hAnsi="Arial" w:eastAsia="宋体" w:cs="Arial"/>
          <w:snapToGrid w:val="0"/>
          <w:kern w:val="21"/>
          <w:szCs w:val="21"/>
        </w:rPr>
        <w:t>注：</w:t>
      </w:r>
      <w:r>
        <w:rPr>
          <w:rFonts w:hint="default" w:ascii="Arial" w:hAnsi="Arial" w:eastAsia="宋体" w:cs="Arial"/>
          <w:snapToGrid w:val="0"/>
          <w:spacing w:val="-16"/>
          <w:kern w:val="21"/>
          <w:szCs w:val="21"/>
        </w:rPr>
        <w:fldChar w:fldCharType="begin"/>
      </w:r>
      <w:r>
        <w:rPr>
          <w:rFonts w:hint="default" w:ascii="Arial" w:hAnsi="Arial" w:eastAsia="宋体" w:cs="Arial"/>
          <w:snapToGrid w:val="0"/>
          <w:spacing w:val="-16"/>
          <w:kern w:val="21"/>
          <w:szCs w:val="21"/>
        </w:rPr>
        <w:instrText xml:space="preserve"> = 6 \* GB3 \* MERGEFORMAT </w:instrText>
      </w:r>
      <w:r>
        <w:rPr>
          <w:rFonts w:hint="default" w:ascii="Arial" w:hAnsi="Arial" w:eastAsia="宋体" w:cs="Arial"/>
          <w:snapToGrid w:val="0"/>
          <w:spacing w:val="-16"/>
          <w:kern w:val="21"/>
          <w:szCs w:val="21"/>
        </w:rPr>
        <w:fldChar w:fldCharType="separate"/>
      </w:r>
      <w:r>
        <w:rPr>
          <w:rFonts w:hint="default" w:ascii="Arial" w:hAnsi="Arial" w:eastAsia="宋体" w:cs="Arial"/>
          <w:szCs w:val="21"/>
        </w:rPr>
        <w:t>⑥</w:t>
      </w:r>
      <w:r>
        <w:rPr>
          <w:rFonts w:hint="default" w:ascii="Arial" w:hAnsi="Arial" w:eastAsia="宋体" w:cs="Arial"/>
          <w:snapToGrid w:val="0"/>
          <w:spacing w:val="-16"/>
          <w:kern w:val="21"/>
          <w:szCs w:val="21"/>
        </w:rPr>
        <w:fldChar w:fldCharType="end"/>
      </w:r>
      <w:r>
        <w:rPr>
          <w:rFonts w:hint="default" w:ascii="Arial" w:hAnsi="Arial" w:eastAsia="宋体" w:cs="Arial"/>
          <w:snapToGrid w:val="0"/>
          <w:spacing w:val="-16"/>
          <w:kern w:val="21"/>
          <w:szCs w:val="21"/>
        </w:rPr>
        <w:t>=</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1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①</w:t>
      </w:r>
      <w:r>
        <w:rPr>
          <w:rFonts w:hint="default" w:ascii="Arial" w:hAnsi="Arial" w:eastAsia="宋体" w:cs="Arial"/>
          <w:snapToGrid w:val="0"/>
          <w:spacing w:val="-6"/>
          <w:kern w:val="21"/>
          <w:szCs w:val="21"/>
        </w:rPr>
        <w:fldChar w:fldCharType="end"/>
      </w:r>
      <w:r>
        <w:rPr>
          <w:rFonts w:hint="default" w:ascii="Arial" w:hAnsi="Arial" w:eastAsia="宋体" w:cs="Arial"/>
          <w:snapToGrid w:val="0"/>
          <w:spacing w:val="-6"/>
          <w:kern w:val="21"/>
          <w:szCs w:val="21"/>
        </w:rPr>
        <w:t>+</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3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③</w:t>
      </w:r>
      <w:r>
        <w:rPr>
          <w:rFonts w:hint="default" w:ascii="Arial" w:hAnsi="Arial" w:eastAsia="宋体" w:cs="Arial"/>
          <w:snapToGrid w:val="0"/>
          <w:spacing w:val="-6"/>
          <w:kern w:val="21"/>
          <w:szCs w:val="21"/>
        </w:rPr>
        <w:fldChar w:fldCharType="end"/>
      </w:r>
      <w:r>
        <w:rPr>
          <w:rFonts w:hint="default" w:ascii="Arial" w:hAnsi="Arial" w:eastAsia="宋体" w:cs="Arial"/>
          <w:snapToGrid w:val="0"/>
          <w:spacing w:val="-6"/>
          <w:kern w:val="21"/>
          <w:szCs w:val="21"/>
        </w:rPr>
        <w:t>+</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4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④</w:t>
      </w:r>
      <w:r>
        <w:rPr>
          <w:rFonts w:hint="default" w:ascii="Arial" w:hAnsi="Arial" w:eastAsia="宋体" w:cs="Arial"/>
          <w:snapToGrid w:val="0"/>
          <w:spacing w:val="-6"/>
          <w:kern w:val="21"/>
          <w:szCs w:val="21"/>
        </w:rPr>
        <w:fldChar w:fldCharType="end"/>
      </w:r>
      <w:r>
        <w:rPr>
          <w:rFonts w:hint="default" w:ascii="Arial" w:hAnsi="Arial" w:eastAsia="宋体" w:cs="Arial"/>
          <w:snapToGrid w:val="0"/>
          <w:spacing w:val="-6"/>
          <w:kern w:val="21"/>
          <w:szCs w:val="21"/>
        </w:rPr>
        <w:t>-</w:t>
      </w:r>
      <w:r>
        <w:rPr>
          <w:rFonts w:hint="default" w:ascii="Arial" w:hAnsi="Arial" w:eastAsia="宋体" w:cs="Arial"/>
          <w:snapToGrid w:val="0"/>
          <w:spacing w:val="-16"/>
          <w:kern w:val="21"/>
          <w:szCs w:val="21"/>
        </w:rPr>
        <w:fldChar w:fldCharType="begin"/>
      </w:r>
      <w:r>
        <w:rPr>
          <w:rFonts w:hint="default" w:ascii="Arial" w:hAnsi="Arial" w:eastAsia="宋体" w:cs="Arial"/>
          <w:snapToGrid w:val="0"/>
          <w:spacing w:val="-16"/>
          <w:kern w:val="21"/>
          <w:szCs w:val="21"/>
        </w:rPr>
        <w:instrText xml:space="preserve"> = 5 \* GB3 \* MERGEFORMAT </w:instrText>
      </w:r>
      <w:r>
        <w:rPr>
          <w:rFonts w:hint="default" w:ascii="Arial" w:hAnsi="Arial" w:eastAsia="宋体" w:cs="Arial"/>
          <w:snapToGrid w:val="0"/>
          <w:spacing w:val="-16"/>
          <w:kern w:val="21"/>
          <w:szCs w:val="21"/>
        </w:rPr>
        <w:fldChar w:fldCharType="separate"/>
      </w:r>
      <w:r>
        <w:rPr>
          <w:rFonts w:hint="default" w:ascii="Arial" w:hAnsi="Arial" w:eastAsia="宋体" w:cs="Arial"/>
          <w:szCs w:val="21"/>
        </w:rPr>
        <w:t>⑤</w:t>
      </w:r>
      <w:r>
        <w:rPr>
          <w:rFonts w:hint="default" w:ascii="Arial" w:hAnsi="Arial" w:eastAsia="宋体" w:cs="Arial"/>
          <w:snapToGrid w:val="0"/>
          <w:spacing w:val="-16"/>
          <w:kern w:val="21"/>
          <w:szCs w:val="21"/>
        </w:rPr>
        <w:fldChar w:fldCharType="end"/>
      </w:r>
      <w:r>
        <w:rPr>
          <w:rFonts w:hint="default" w:ascii="Arial" w:hAnsi="Arial" w:eastAsia="宋体" w:cs="Arial"/>
          <w:snapToGrid w:val="0"/>
          <w:spacing w:val="-16"/>
          <w:kern w:val="21"/>
          <w:szCs w:val="21"/>
        </w:rPr>
        <w:t>；</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7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⑦</w:t>
      </w:r>
      <w:r>
        <w:rPr>
          <w:rFonts w:hint="default" w:ascii="Arial" w:hAnsi="Arial" w:eastAsia="宋体" w:cs="Arial"/>
          <w:snapToGrid w:val="0"/>
          <w:spacing w:val="-6"/>
          <w:kern w:val="21"/>
          <w:szCs w:val="21"/>
        </w:rPr>
        <w:fldChar w:fldCharType="end"/>
      </w:r>
      <w:r>
        <w:rPr>
          <w:rFonts w:hint="default" w:ascii="Arial" w:hAnsi="Arial" w:eastAsia="宋体" w:cs="Arial"/>
          <w:snapToGrid w:val="0"/>
          <w:spacing w:val="-6"/>
          <w:kern w:val="21"/>
          <w:szCs w:val="21"/>
        </w:rPr>
        <w:t>=</w:t>
      </w:r>
      <w:r>
        <w:rPr>
          <w:rFonts w:hint="default" w:ascii="Arial" w:hAnsi="Arial" w:eastAsia="宋体" w:cs="Arial"/>
          <w:snapToGrid w:val="0"/>
          <w:spacing w:val="-16"/>
          <w:kern w:val="21"/>
          <w:szCs w:val="21"/>
        </w:rPr>
        <w:fldChar w:fldCharType="begin"/>
      </w:r>
      <w:r>
        <w:rPr>
          <w:rFonts w:hint="default" w:ascii="Arial" w:hAnsi="Arial" w:eastAsia="宋体" w:cs="Arial"/>
          <w:snapToGrid w:val="0"/>
          <w:spacing w:val="-16"/>
          <w:kern w:val="21"/>
          <w:szCs w:val="21"/>
        </w:rPr>
        <w:instrText xml:space="preserve"> = 6 \* GB3 \* MERGEFORMAT </w:instrText>
      </w:r>
      <w:r>
        <w:rPr>
          <w:rFonts w:hint="default" w:ascii="Arial" w:hAnsi="Arial" w:eastAsia="宋体" w:cs="Arial"/>
          <w:snapToGrid w:val="0"/>
          <w:spacing w:val="-16"/>
          <w:kern w:val="21"/>
          <w:szCs w:val="21"/>
        </w:rPr>
        <w:fldChar w:fldCharType="separate"/>
      </w:r>
      <w:r>
        <w:rPr>
          <w:rFonts w:hint="default" w:ascii="Arial" w:hAnsi="Arial" w:eastAsia="宋体" w:cs="Arial"/>
          <w:szCs w:val="21"/>
        </w:rPr>
        <w:t>⑥</w:t>
      </w:r>
      <w:r>
        <w:rPr>
          <w:rFonts w:hint="default" w:ascii="Arial" w:hAnsi="Arial" w:eastAsia="宋体" w:cs="Arial"/>
          <w:snapToGrid w:val="0"/>
          <w:spacing w:val="-16"/>
          <w:kern w:val="21"/>
          <w:szCs w:val="21"/>
        </w:rPr>
        <w:fldChar w:fldCharType="end"/>
      </w:r>
      <w:r>
        <w:rPr>
          <w:rFonts w:hint="default" w:ascii="Arial" w:hAnsi="Arial" w:eastAsia="宋体" w:cs="Arial"/>
          <w:snapToGrid w:val="0"/>
          <w:spacing w:val="-16"/>
          <w:kern w:val="21"/>
          <w:szCs w:val="21"/>
        </w:rPr>
        <w:t>-</w:t>
      </w:r>
      <w:r>
        <w:rPr>
          <w:rFonts w:hint="default" w:ascii="Arial" w:hAnsi="Arial" w:eastAsia="宋体" w:cs="Arial"/>
          <w:snapToGrid w:val="0"/>
          <w:spacing w:val="-6"/>
          <w:kern w:val="21"/>
          <w:szCs w:val="21"/>
        </w:rPr>
        <w:fldChar w:fldCharType="begin"/>
      </w:r>
      <w:r>
        <w:rPr>
          <w:rFonts w:hint="default" w:ascii="Arial" w:hAnsi="Arial" w:eastAsia="宋体" w:cs="Arial"/>
          <w:snapToGrid w:val="0"/>
          <w:spacing w:val="-6"/>
          <w:kern w:val="21"/>
          <w:szCs w:val="21"/>
        </w:rPr>
        <w:instrText xml:space="preserve"> = 1 \* GB3 \* MERGEFORMAT </w:instrText>
      </w:r>
      <w:r>
        <w:rPr>
          <w:rFonts w:hint="default" w:ascii="Arial" w:hAnsi="Arial" w:eastAsia="宋体" w:cs="Arial"/>
          <w:snapToGrid w:val="0"/>
          <w:spacing w:val="-6"/>
          <w:kern w:val="21"/>
          <w:szCs w:val="21"/>
        </w:rPr>
        <w:fldChar w:fldCharType="separate"/>
      </w:r>
      <w:r>
        <w:rPr>
          <w:rFonts w:hint="default" w:ascii="Arial" w:hAnsi="Arial" w:eastAsia="宋体" w:cs="Arial"/>
          <w:szCs w:val="21"/>
        </w:rPr>
        <w:t>①</w:t>
      </w:r>
      <w:r>
        <w:rPr>
          <w:rFonts w:hint="default" w:ascii="Arial" w:hAnsi="Arial" w:eastAsia="宋体" w:cs="Arial"/>
          <w:snapToGrid w:val="0"/>
          <w:spacing w:val="-6"/>
          <w:kern w:val="21"/>
          <w:szCs w:val="21"/>
        </w:rPr>
        <w:fldChar w:fldCharType="end"/>
      </w:r>
      <w:r>
        <w:rPr>
          <w:rFonts w:hint="default" w:ascii="Arial" w:hAnsi="Arial" w:eastAsia="宋体" w:cs="Arial"/>
          <w:snapToGrid w:val="0"/>
          <w:spacing w:val="-6"/>
          <w:kern w:val="21"/>
          <w:szCs w:val="21"/>
        </w:rPr>
        <w:t>；</w:t>
      </w:r>
    </w:p>
    <w:p w14:paraId="7D59FC00">
      <w:pPr>
        <w:jc w:val="center"/>
        <w:rPr>
          <w:rFonts w:hint="eastAsia" w:ascii="宋体" w:hAnsi="宋体" w:eastAsia="宋体" w:cs="宋体"/>
          <w:sz w:val="30"/>
          <w:szCs w:val="30"/>
        </w:rPr>
      </w:pPr>
      <w:r>
        <w:rPr>
          <w:rFonts w:hint="eastAsia" w:ascii="宋体" w:hAnsi="宋体" w:eastAsia="宋体" w:cs="宋体"/>
          <w:sz w:val="30"/>
          <w:szCs w:val="30"/>
          <w:lang w:val="en-US" w:eastAsia="zh-CN"/>
        </w:rPr>
        <w:t>附表：</w:t>
      </w:r>
      <w:r>
        <w:rPr>
          <w:rFonts w:hint="eastAsia" w:ascii="宋体" w:hAnsi="宋体" w:eastAsia="宋体" w:cs="宋体"/>
          <w:sz w:val="30"/>
          <w:szCs w:val="30"/>
        </w:rPr>
        <w:t>建设项目碳排放环境影响评价</w:t>
      </w:r>
    </w:p>
    <w:p w14:paraId="5952F586">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1、核算边界</w:t>
      </w:r>
    </w:p>
    <w:p w14:paraId="56219673">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本项目为</w:t>
      </w:r>
      <w:r>
        <w:rPr>
          <w:rFonts w:hint="default" w:ascii="Arial" w:hAnsi="Arial" w:eastAsia="宋体" w:cs="Arial"/>
          <w:sz w:val="24"/>
          <w:szCs w:val="24"/>
          <w:lang w:val="en-US" w:eastAsia="zh-CN"/>
        </w:rPr>
        <w:t>扩建项目</w:t>
      </w:r>
      <w:r>
        <w:rPr>
          <w:rFonts w:hint="default" w:ascii="Arial" w:hAnsi="Arial" w:eastAsia="宋体" w:cs="Arial"/>
          <w:sz w:val="24"/>
          <w:szCs w:val="24"/>
        </w:rPr>
        <w:t>，企业核算边界位于</w:t>
      </w:r>
      <w:r>
        <w:rPr>
          <w:rFonts w:hint="default" w:ascii="Arial" w:hAnsi="Arial" w:eastAsia="宋体" w:cs="Arial"/>
          <w:sz w:val="24"/>
          <w:szCs w:val="24"/>
          <w:lang w:eastAsia="zh-CN"/>
        </w:rPr>
        <w:t>平湖经济技术开发区平善大道4885号内三号楼一层</w:t>
      </w:r>
      <w:r>
        <w:rPr>
          <w:rFonts w:hint="default" w:ascii="Arial" w:hAnsi="Arial" w:eastAsia="宋体" w:cs="Arial"/>
          <w:sz w:val="24"/>
          <w:szCs w:val="24"/>
        </w:rPr>
        <w:t>。</w:t>
      </w:r>
    </w:p>
    <w:p w14:paraId="5CD92133">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企业边界核算范围包括处于其运营控制权下的所有直接生产系统、辅助生产系统、以及直接为生产服务的附属生产系统。生产系统包括主要生产系统、辅助生产系统、以及直接为生产服务的附属生产系统，其中辅助生产系统包括动力、供电、供水、化验、机修、库房、运输等，附属生产系统包括生产指挥系统(厂部)和厂区内为生产服务的部门和单位（如职工食堂等）。</w:t>
      </w:r>
    </w:p>
    <w:p w14:paraId="2628C256">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2、碳排放量核算</w:t>
      </w:r>
    </w:p>
    <w:p w14:paraId="15904BDB">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项目实施后，企业能源消耗情况见表1。</w:t>
      </w:r>
    </w:p>
    <w:p w14:paraId="7F19F828">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表1  项目实施后企业能源消耗情况表</w:t>
      </w:r>
    </w:p>
    <w:tbl>
      <w:tblPr>
        <w:tblStyle w:val="52"/>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76"/>
        <w:gridCol w:w="2681"/>
        <w:gridCol w:w="2947"/>
      </w:tblGrid>
      <w:tr w14:paraId="4555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8" w:type="dxa"/>
            <w:noWrap w:val="0"/>
            <w:vAlign w:val="center"/>
          </w:tcPr>
          <w:p w14:paraId="7B6B92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能源消耗</w:t>
            </w:r>
          </w:p>
        </w:tc>
        <w:tc>
          <w:tcPr>
            <w:tcW w:w="1574" w:type="dxa"/>
            <w:noWrap w:val="0"/>
            <w:vAlign w:val="center"/>
          </w:tcPr>
          <w:p w14:paraId="44D13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w:t>
            </w:r>
          </w:p>
        </w:tc>
        <w:tc>
          <w:tcPr>
            <w:tcW w:w="1730" w:type="dxa"/>
            <w:noWrap w:val="0"/>
            <w:vAlign w:val="center"/>
          </w:tcPr>
          <w:p w14:paraId="4C8C7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项目</w:t>
            </w:r>
            <w:r>
              <w:rPr>
                <w:rFonts w:hint="default" w:ascii="Arial" w:hAnsi="Arial" w:eastAsia="宋体" w:cs="Arial"/>
                <w:sz w:val="21"/>
                <w:szCs w:val="21"/>
                <w:lang w:val="en-US" w:eastAsia="zh-CN"/>
              </w:rPr>
              <w:t>实施后</w:t>
            </w:r>
            <w:r>
              <w:rPr>
                <w:rFonts w:hint="default" w:ascii="Arial" w:hAnsi="Arial" w:eastAsia="宋体" w:cs="Arial"/>
                <w:sz w:val="21"/>
                <w:szCs w:val="21"/>
              </w:rPr>
              <w:t>达产年消耗量</w:t>
            </w:r>
          </w:p>
        </w:tc>
      </w:tr>
      <w:tr w14:paraId="78E0C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8" w:type="dxa"/>
            <w:noWrap w:val="0"/>
            <w:vAlign w:val="center"/>
          </w:tcPr>
          <w:p w14:paraId="3CE226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电力</w:t>
            </w:r>
          </w:p>
        </w:tc>
        <w:tc>
          <w:tcPr>
            <w:tcW w:w="1574" w:type="dxa"/>
            <w:noWrap w:val="0"/>
            <w:vAlign w:val="center"/>
          </w:tcPr>
          <w:p w14:paraId="6B164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万千瓦时</w:t>
            </w:r>
          </w:p>
        </w:tc>
        <w:tc>
          <w:tcPr>
            <w:tcW w:w="1730" w:type="dxa"/>
            <w:noWrap w:val="0"/>
            <w:vAlign w:val="center"/>
          </w:tcPr>
          <w:p w14:paraId="1D066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85</w:t>
            </w:r>
          </w:p>
        </w:tc>
      </w:tr>
      <w:tr w14:paraId="60A59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8" w:type="dxa"/>
            <w:noWrap w:val="0"/>
            <w:vAlign w:val="center"/>
          </w:tcPr>
          <w:p w14:paraId="61D1B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自来水</w:t>
            </w:r>
          </w:p>
        </w:tc>
        <w:tc>
          <w:tcPr>
            <w:tcW w:w="1574" w:type="dxa"/>
            <w:noWrap w:val="0"/>
            <w:vAlign w:val="center"/>
          </w:tcPr>
          <w:p w14:paraId="013FEE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万吨</w:t>
            </w:r>
          </w:p>
        </w:tc>
        <w:tc>
          <w:tcPr>
            <w:tcW w:w="1730" w:type="dxa"/>
            <w:noWrap w:val="0"/>
            <w:vAlign w:val="center"/>
          </w:tcPr>
          <w:p w14:paraId="35DF5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r>
              <w:rPr>
                <w:rFonts w:hint="eastAsia" w:ascii="Arial" w:hAnsi="Arial" w:eastAsia="宋体" w:cs="Arial"/>
                <w:sz w:val="21"/>
                <w:szCs w:val="21"/>
                <w:lang w:val="en-US" w:eastAsia="zh-CN"/>
              </w:rPr>
              <w:t>48</w:t>
            </w:r>
          </w:p>
        </w:tc>
      </w:tr>
      <w:tr w14:paraId="1F471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8" w:type="dxa"/>
            <w:noWrap w:val="0"/>
            <w:vAlign w:val="center"/>
          </w:tcPr>
          <w:p w14:paraId="14B59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天然气</w:t>
            </w:r>
          </w:p>
        </w:tc>
        <w:tc>
          <w:tcPr>
            <w:tcW w:w="1574" w:type="dxa"/>
            <w:noWrap w:val="0"/>
            <w:vAlign w:val="center"/>
          </w:tcPr>
          <w:p w14:paraId="783B74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万立方米</w:t>
            </w:r>
          </w:p>
        </w:tc>
        <w:tc>
          <w:tcPr>
            <w:tcW w:w="1730" w:type="dxa"/>
            <w:noWrap w:val="0"/>
            <w:vAlign w:val="center"/>
          </w:tcPr>
          <w:p w14:paraId="211F9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0</w:t>
            </w:r>
          </w:p>
        </w:tc>
      </w:tr>
    </w:tbl>
    <w:p w14:paraId="635F7B12">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碳排放量及综合能耗折算系数见表2。</w:t>
      </w:r>
    </w:p>
    <w:p w14:paraId="12425FBC">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表2  碳排放量及综合能耗折算系数表</w:t>
      </w:r>
    </w:p>
    <w:tbl>
      <w:tblPr>
        <w:tblStyle w:val="52"/>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2"/>
        <w:gridCol w:w="923"/>
        <w:gridCol w:w="1941"/>
        <w:gridCol w:w="2831"/>
        <w:gridCol w:w="1888"/>
      </w:tblGrid>
      <w:tr w14:paraId="7CC61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1845" w:type="dxa"/>
            <w:gridSpan w:val="2"/>
            <w:vMerge w:val="restart"/>
            <w:noWrap w:val="0"/>
            <w:vAlign w:val="center"/>
          </w:tcPr>
          <w:p w14:paraId="0612D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能源消耗</w:t>
            </w:r>
          </w:p>
        </w:tc>
        <w:tc>
          <w:tcPr>
            <w:tcW w:w="1941" w:type="dxa"/>
            <w:vMerge w:val="restart"/>
            <w:noWrap w:val="0"/>
            <w:vAlign w:val="center"/>
          </w:tcPr>
          <w:p w14:paraId="30753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w:t>
            </w:r>
          </w:p>
        </w:tc>
        <w:tc>
          <w:tcPr>
            <w:tcW w:w="2831" w:type="dxa"/>
            <w:noWrap w:val="0"/>
            <w:vAlign w:val="center"/>
          </w:tcPr>
          <w:p w14:paraId="2A625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折标煤系数</w:t>
            </w:r>
          </w:p>
        </w:tc>
        <w:tc>
          <w:tcPr>
            <w:tcW w:w="1888" w:type="dxa"/>
            <w:noWrap w:val="0"/>
            <w:vAlign w:val="center"/>
          </w:tcPr>
          <w:p w14:paraId="38E18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碳排放系数</w:t>
            </w:r>
          </w:p>
        </w:tc>
      </w:tr>
      <w:tr w14:paraId="48A8E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1845" w:type="dxa"/>
            <w:gridSpan w:val="2"/>
            <w:vMerge w:val="continue"/>
            <w:noWrap w:val="0"/>
            <w:vAlign w:val="center"/>
          </w:tcPr>
          <w:p w14:paraId="0C93E8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941" w:type="dxa"/>
            <w:vMerge w:val="continue"/>
            <w:noWrap w:val="0"/>
            <w:vAlign w:val="center"/>
          </w:tcPr>
          <w:p w14:paraId="3631E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2831" w:type="dxa"/>
            <w:noWrap w:val="0"/>
            <w:vAlign w:val="center"/>
          </w:tcPr>
          <w:p w14:paraId="57D89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吨标煤/吨、万立方米、万千瓦时、百万千焦</w:t>
            </w:r>
          </w:p>
        </w:tc>
        <w:tc>
          <w:tcPr>
            <w:tcW w:w="1888" w:type="dxa"/>
            <w:noWrap w:val="0"/>
            <w:vAlign w:val="center"/>
          </w:tcPr>
          <w:p w14:paraId="72E545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w:t>
            </w:r>
            <w:r>
              <w:rPr>
                <w:rFonts w:hint="default" w:ascii="Arial" w:hAnsi="Arial" w:eastAsia="宋体" w:cs="Arial"/>
                <w:sz w:val="21"/>
                <w:szCs w:val="21"/>
                <w:vertAlign w:val="subscript"/>
              </w:rPr>
              <w:t>2/</w:t>
            </w:r>
            <w:r>
              <w:rPr>
                <w:rFonts w:hint="default" w:ascii="Arial" w:hAnsi="Arial" w:eastAsia="宋体" w:cs="Arial"/>
                <w:sz w:val="21"/>
                <w:szCs w:val="21"/>
              </w:rPr>
              <w:t>吨、万千瓦时、百万千焦</w:t>
            </w:r>
          </w:p>
        </w:tc>
      </w:tr>
      <w:tr w14:paraId="1F7F5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922" w:type="dxa"/>
            <w:vMerge w:val="restart"/>
            <w:noWrap w:val="0"/>
            <w:vAlign w:val="center"/>
          </w:tcPr>
          <w:p w14:paraId="44289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电力</w:t>
            </w:r>
          </w:p>
        </w:tc>
        <w:tc>
          <w:tcPr>
            <w:tcW w:w="923" w:type="dxa"/>
            <w:noWrap w:val="0"/>
            <w:vAlign w:val="center"/>
          </w:tcPr>
          <w:p w14:paraId="7EB4E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当量</w:t>
            </w:r>
          </w:p>
        </w:tc>
        <w:tc>
          <w:tcPr>
            <w:tcW w:w="1941" w:type="dxa"/>
            <w:vMerge w:val="restart"/>
            <w:noWrap w:val="0"/>
            <w:vAlign w:val="center"/>
          </w:tcPr>
          <w:p w14:paraId="4B2F97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万千瓦时</w:t>
            </w:r>
          </w:p>
        </w:tc>
        <w:tc>
          <w:tcPr>
            <w:tcW w:w="2831" w:type="dxa"/>
            <w:noWrap w:val="0"/>
            <w:vAlign w:val="center"/>
          </w:tcPr>
          <w:p w14:paraId="7E4E3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1.2290</w:t>
            </w:r>
          </w:p>
        </w:tc>
        <w:tc>
          <w:tcPr>
            <w:tcW w:w="1888" w:type="dxa"/>
            <w:vMerge w:val="restart"/>
            <w:noWrap w:val="0"/>
            <w:vAlign w:val="center"/>
          </w:tcPr>
          <w:p w14:paraId="4A855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4.974</w:t>
            </w:r>
          </w:p>
        </w:tc>
      </w:tr>
      <w:tr w14:paraId="4424B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922" w:type="dxa"/>
            <w:vMerge w:val="continue"/>
            <w:noWrap w:val="0"/>
            <w:vAlign w:val="center"/>
          </w:tcPr>
          <w:p w14:paraId="1454F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923" w:type="dxa"/>
            <w:noWrap w:val="0"/>
            <w:vAlign w:val="center"/>
          </w:tcPr>
          <w:p w14:paraId="3CD0C4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等价</w:t>
            </w:r>
          </w:p>
        </w:tc>
        <w:tc>
          <w:tcPr>
            <w:tcW w:w="1941" w:type="dxa"/>
            <w:vMerge w:val="continue"/>
            <w:noWrap w:val="0"/>
            <w:vAlign w:val="center"/>
          </w:tcPr>
          <w:p w14:paraId="73A026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2831" w:type="dxa"/>
            <w:noWrap w:val="0"/>
            <w:vAlign w:val="center"/>
          </w:tcPr>
          <w:p w14:paraId="1F0A21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2.8500</w:t>
            </w:r>
          </w:p>
        </w:tc>
        <w:tc>
          <w:tcPr>
            <w:tcW w:w="1888" w:type="dxa"/>
            <w:vMerge w:val="continue"/>
            <w:noWrap w:val="0"/>
            <w:vAlign w:val="center"/>
          </w:tcPr>
          <w:p w14:paraId="5701F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r>
      <w:tr w14:paraId="50A3B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45" w:type="dxa"/>
            <w:gridSpan w:val="2"/>
            <w:noWrap w:val="0"/>
            <w:vAlign w:val="center"/>
          </w:tcPr>
          <w:p w14:paraId="75A42B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自来水</w:t>
            </w:r>
          </w:p>
        </w:tc>
        <w:tc>
          <w:tcPr>
            <w:tcW w:w="1941" w:type="dxa"/>
            <w:noWrap w:val="0"/>
            <w:vAlign w:val="center"/>
          </w:tcPr>
          <w:p w14:paraId="34209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万吨</w:t>
            </w:r>
          </w:p>
        </w:tc>
        <w:tc>
          <w:tcPr>
            <w:tcW w:w="2831" w:type="dxa"/>
            <w:noWrap w:val="0"/>
            <w:vAlign w:val="center"/>
          </w:tcPr>
          <w:p w14:paraId="531F06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2.5710</w:t>
            </w:r>
          </w:p>
        </w:tc>
        <w:tc>
          <w:tcPr>
            <w:tcW w:w="1888" w:type="dxa"/>
            <w:noWrap w:val="0"/>
            <w:vAlign w:val="center"/>
          </w:tcPr>
          <w:p w14:paraId="2CCAB7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w:t>
            </w:r>
          </w:p>
        </w:tc>
      </w:tr>
      <w:tr w14:paraId="6E4A1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45" w:type="dxa"/>
            <w:gridSpan w:val="2"/>
            <w:noWrap w:val="0"/>
            <w:vAlign w:val="center"/>
          </w:tcPr>
          <w:p w14:paraId="4F92A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天然气</w:t>
            </w:r>
          </w:p>
        </w:tc>
        <w:tc>
          <w:tcPr>
            <w:tcW w:w="1941" w:type="dxa"/>
            <w:noWrap w:val="0"/>
            <w:vAlign w:val="center"/>
          </w:tcPr>
          <w:p w14:paraId="671A8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万立方米</w:t>
            </w:r>
          </w:p>
        </w:tc>
        <w:tc>
          <w:tcPr>
            <w:tcW w:w="2831" w:type="dxa"/>
            <w:noWrap w:val="0"/>
            <w:vAlign w:val="center"/>
          </w:tcPr>
          <w:p w14:paraId="6C408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13.300</w:t>
            </w:r>
          </w:p>
        </w:tc>
        <w:tc>
          <w:tcPr>
            <w:tcW w:w="1888" w:type="dxa"/>
            <w:noWrap w:val="0"/>
            <w:vAlign w:val="center"/>
          </w:tcPr>
          <w:p w14:paraId="3F8F3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21.6219</w:t>
            </w:r>
          </w:p>
        </w:tc>
      </w:tr>
    </w:tbl>
    <w:p w14:paraId="0FC86A4B">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项目实施后，企业碳排放与能耗情况汇总见表3。</w:t>
      </w:r>
    </w:p>
    <w:p w14:paraId="201E4663">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表3  项目实施后企业碳排放与能耗情况汇总表</w:t>
      </w:r>
    </w:p>
    <w:tbl>
      <w:tblPr>
        <w:tblStyle w:val="52"/>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39"/>
        <w:gridCol w:w="1918"/>
        <w:gridCol w:w="2947"/>
      </w:tblGrid>
      <w:tr w14:paraId="122EE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36" w:type="dxa"/>
            <w:noWrap w:val="0"/>
            <w:vAlign w:val="center"/>
          </w:tcPr>
          <w:p w14:paraId="7B6FFE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能源消耗</w:t>
            </w:r>
          </w:p>
        </w:tc>
        <w:tc>
          <w:tcPr>
            <w:tcW w:w="1126" w:type="dxa"/>
            <w:noWrap w:val="0"/>
            <w:vAlign w:val="center"/>
          </w:tcPr>
          <w:p w14:paraId="43D5C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w:t>
            </w:r>
          </w:p>
        </w:tc>
        <w:tc>
          <w:tcPr>
            <w:tcW w:w="1730" w:type="dxa"/>
            <w:noWrap w:val="0"/>
            <w:vAlign w:val="center"/>
          </w:tcPr>
          <w:p w14:paraId="571BCF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项目达产情况下</w:t>
            </w:r>
          </w:p>
        </w:tc>
      </w:tr>
      <w:tr w14:paraId="39ABC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36" w:type="dxa"/>
            <w:noWrap w:val="0"/>
            <w:vAlign w:val="center"/>
          </w:tcPr>
          <w:p w14:paraId="3E7DFC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碳排放量</w:t>
            </w:r>
          </w:p>
        </w:tc>
        <w:tc>
          <w:tcPr>
            <w:tcW w:w="1126" w:type="dxa"/>
            <w:noWrap w:val="0"/>
            <w:vAlign w:val="center"/>
          </w:tcPr>
          <w:p w14:paraId="3F468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w:t>
            </w:r>
            <w:r>
              <w:rPr>
                <w:rFonts w:hint="default" w:ascii="Arial" w:hAnsi="Arial" w:eastAsia="宋体" w:cs="Arial"/>
                <w:sz w:val="21"/>
                <w:szCs w:val="21"/>
                <w:vertAlign w:val="subscript"/>
              </w:rPr>
              <w:t>2</w:t>
            </w:r>
          </w:p>
        </w:tc>
        <w:tc>
          <w:tcPr>
            <w:tcW w:w="1730" w:type="dxa"/>
            <w:noWrap w:val="0"/>
            <w:vAlign w:val="center"/>
          </w:tcPr>
          <w:p w14:paraId="018B1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423</w:t>
            </w:r>
          </w:p>
        </w:tc>
      </w:tr>
      <w:tr w14:paraId="49D99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36" w:type="dxa"/>
            <w:noWrap w:val="0"/>
            <w:vAlign w:val="center"/>
          </w:tcPr>
          <w:p w14:paraId="256C3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综合能耗（等价值）</w:t>
            </w:r>
          </w:p>
        </w:tc>
        <w:tc>
          <w:tcPr>
            <w:tcW w:w="1126" w:type="dxa"/>
            <w:noWrap w:val="0"/>
            <w:vAlign w:val="center"/>
          </w:tcPr>
          <w:p w14:paraId="344CCC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w:t>
            </w:r>
          </w:p>
        </w:tc>
        <w:tc>
          <w:tcPr>
            <w:tcW w:w="1730" w:type="dxa"/>
            <w:noWrap w:val="0"/>
            <w:vAlign w:val="center"/>
          </w:tcPr>
          <w:p w14:paraId="751354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243</w:t>
            </w:r>
          </w:p>
        </w:tc>
      </w:tr>
    </w:tbl>
    <w:p w14:paraId="4B57C6FE">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p>
    <w:p w14:paraId="4EE9D72F">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3、企业生产相关数据</w:t>
      </w:r>
    </w:p>
    <w:p w14:paraId="33139B62">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企业生产相关数据见表4~表5。</w:t>
      </w:r>
    </w:p>
    <w:p w14:paraId="1DB9D405">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表4  企业生产相关数据一</w:t>
      </w:r>
    </w:p>
    <w:tbl>
      <w:tblPr>
        <w:tblStyle w:val="5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139"/>
        <w:gridCol w:w="2944"/>
        <w:gridCol w:w="2368"/>
        <w:gridCol w:w="2053"/>
      </w:tblGrid>
      <w:tr w14:paraId="2F3A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0074C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序号</w:t>
            </w:r>
          </w:p>
        </w:tc>
        <w:tc>
          <w:tcPr>
            <w:tcW w:w="2748" w:type="dxa"/>
            <w:tcMar>
              <w:left w:w="57" w:type="dxa"/>
              <w:right w:w="57" w:type="dxa"/>
            </w:tcMar>
            <w:vAlign w:val="center"/>
          </w:tcPr>
          <w:p w14:paraId="2724B1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产品名称</w:t>
            </w:r>
          </w:p>
        </w:tc>
        <w:tc>
          <w:tcPr>
            <w:tcW w:w="2210" w:type="dxa"/>
            <w:vAlign w:val="center"/>
          </w:tcPr>
          <w:p w14:paraId="76B4BC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设计年产量</w:t>
            </w:r>
          </w:p>
        </w:tc>
        <w:tc>
          <w:tcPr>
            <w:tcW w:w="1916" w:type="dxa"/>
            <w:vAlign w:val="center"/>
          </w:tcPr>
          <w:p w14:paraId="2ED64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储运方式</w:t>
            </w:r>
          </w:p>
        </w:tc>
      </w:tr>
      <w:tr w14:paraId="6F19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7B3E8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w:t>
            </w:r>
          </w:p>
        </w:tc>
        <w:tc>
          <w:tcPr>
            <w:tcW w:w="2748" w:type="dxa"/>
            <w:shd w:val="clear" w:color="auto" w:fill="auto"/>
            <w:tcMar>
              <w:left w:w="57" w:type="dxa"/>
              <w:right w:w="57" w:type="dxa"/>
            </w:tcMar>
            <w:vAlign w:val="center"/>
          </w:tcPr>
          <w:p w14:paraId="127E26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GI三销轴</w:t>
            </w:r>
          </w:p>
        </w:tc>
        <w:tc>
          <w:tcPr>
            <w:tcW w:w="2210" w:type="dxa"/>
            <w:vAlign w:val="center"/>
          </w:tcPr>
          <w:p w14:paraId="2020E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100万只</w:t>
            </w:r>
          </w:p>
        </w:tc>
        <w:tc>
          <w:tcPr>
            <w:tcW w:w="1916" w:type="dxa"/>
            <w:vAlign w:val="center"/>
          </w:tcPr>
          <w:p w14:paraId="44A2D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38A8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61ED7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2</w:t>
            </w:r>
          </w:p>
        </w:tc>
        <w:tc>
          <w:tcPr>
            <w:tcW w:w="2748" w:type="dxa"/>
            <w:shd w:val="clear" w:color="auto" w:fill="auto"/>
            <w:tcMar>
              <w:left w:w="57" w:type="dxa"/>
              <w:right w:w="57" w:type="dxa"/>
            </w:tcMar>
            <w:vAlign w:val="center"/>
          </w:tcPr>
          <w:p w14:paraId="3119EE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GI三销节</w:t>
            </w:r>
          </w:p>
        </w:tc>
        <w:tc>
          <w:tcPr>
            <w:tcW w:w="2210" w:type="dxa"/>
            <w:vAlign w:val="center"/>
          </w:tcPr>
          <w:p w14:paraId="6618D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300万只</w:t>
            </w:r>
          </w:p>
        </w:tc>
        <w:tc>
          <w:tcPr>
            <w:tcW w:w="1916" w:type="dxa"/>
            <w:vAlign w:val="center"/>
          </w:tcPr>
          <w:p w14:paraId="4C80AF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0AE3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76D33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3</w:t>
            </w:r>
          </w:p>
        </w:tc>
        <w:tc>
          <w:tcPr>
            <w:tcW w:w="2748" w:type="dxa"/>
            <w:shd w:val="clear" w:color="auto" w:fill="auto"/>
            <w:tcMar>
              <w:left w:w="57" w:type="dxa"/>
              <w:right w:w="57" w:type="dxa"/>
            </w:tcMar>
            <w:vAlign w:val="center"/>
          </w:tcPr>
          <w:p w14:paraId="543211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AAR三销轴</w:t>
            </w:r>
          </w:p>
        </w:tc>
        <w:tc>
          <w:tcPr>
            <w:tcW w:w="2210" w:type="dxa"/>
            <w:vAlign w:val="center"/>
          </w:tcPr>
          <w:p w14:paraId="1DB995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100万只</w:t>
            </w:r>
          </w:p>
        </w:tc>
        <w:tc>
          <w:tcPr>
            <w:tcW w:w="1916" w:type="dxa"/>
            <w:vAlign w:val="center"/>
          </w:tcPr>
          <w:p w14:paraId="0BCE9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6987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2027BF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4</w:t>
            </w:r>
          </w:p>
        </w:tc>
        <w:tc>
          <w:tcPr>
            <w:tcW w:w="2748" w:type="dxa"/>
            <w:shd w:val="clear" w:color="auto" w:fill="auto"/>
            <w:tcMar>
              <w:left w:w="57" w:type="dxa"/>
              <w:right w:w="57" w:type="dxa"/>
            </w:tcMar>
            <w:vAlign w:val="center"/>
          </w:tcPr>
          <w:p w14:paraId="51EA67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AAR三销节</w:t>
            </w:r>
          </w:p>
        </w:tc>
        <w:tc>
          <w:tcPr>
            <w:tcW w:w="2210" w:type="dxa"/>
            <w:vAlign w:val="center"/>
          </w:tcPr>
          <w:p w14:paraId="5351F3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300万只</w:t>
            </w:r>
          </w:p>
        </w:tc>
        <w:tc>
          <w:tcPr>
            <w:tcW w:w="1916" w:type="dxa"/>
            <w:vAlign w:val="center"/>
          </w:tcPr>
          <w:p w14:paraId="58F67D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6860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1063" w:type="dxa"/>
            <w:tcMar>
              <w:left w:w="57" w:type="dxa"/>
              <w:right w:w="57" w:type="dxa"/>
            </w:tcMar>
            <w:vAlign w:val="center"/>
          </w:tcPr>
          <w:p w14:paraId="66C88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5</w:t>
            </w:r>
          </w:p>
        </w:tc>
        <w:tc>
          <w:tcPr>
            <w:tcW w:w="2748" w:type="dxa"/>
            <w:shd w:val="clear" w:color="auto" w:fill="auto"/>
            <w:tcMar>
              <w:left w:w="57" w:type="dxa"/>
              <w:right w:w="57" w:type="dxa"/>
            </w:tcMar>
            <w:vAlign w:val="center"/>
          </w:tcPr>
          <w:p w14:paraId="0B56DE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差速器齿轮</w:t>
            </w:r>
          </w:p>
        </w:tc>
        <w:tc>
          <w:tcPr>
            <w:tcW w:w="2210" w:type="dxa"/>
            <w:vAlign w:val="center"/>
          </w:tcPr>
          <w:p w14:paraId="051554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2</w:t>
            </w:r>
            <w:r>
              <w:rPr>
                <w:rFonts w:hint="default" w:ascii="Arial" w:hAnsi="Arial" w:eastAsia="宋体" w:cs="Arial"/>
                <w:color w:val="000000" w:themeColor="text1"/>
                <w:sz w:val="21"/>
                <w:szCs w:val="21"/>
                <w14:textFill>
                  <w14:solidFill>
                    <w14:schemeClr w14:val="tx1"/>
                  </w14:solidFill>
                </w14:textFill>
              </w:rPr>
              <w:t>00万只</w:t>
            </w:r>
          </w:p>
        </w:tc>
        <w:tc>
          <w:tcPr>
            <w:tcW w:w="1916" w:type="dxa"/>
            <w:vAlign w:val="center"/>
          </w:tcPr>
          <w:p w14:paraId="1BFA7E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kern w:val="0"/>
                <w:sz w:val="21"/>
                <w:szCs w:val="21"/>
                <w:lang w:val="en-US" w:eastAsia="zh-CN"/>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铁框、汽运</w:t>
            </w:r>
          </w:p>
        </w:tc>
      </w:tr>
      <w:tr w14:paraId="5599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3811" w:type="dxa"/>
            <w:gridSpan w:val="2"/>
            <w:tcMar>
              <w:left w:w="57" w:type="dxa"/>
              <w:right w:w="57" w:type="dxa"/>
            </w:tcMar>
            <w:vAlign w:val="center"/>
          </w:tcPr>
          <w:p w14:paraId="168A2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合计</w:t>
            </w:r>
          </w:p>
        </w:tc>
        <w:tc>
          <w:tcPr>
            <w:tcW w:w="2210" w:type="dxa"/>
            <w:vAlign w:val="center"/>
          </w:tcPr>
          <w:p w14:paraId="03A835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1000万只</w:t>
            </w:r>
          </w:p>
        </w:tc>
        <w:tc>
          <w:tcPr>
            <w:tcW w:w="1916" w:type="dxa"/>
            <w:vAlign w:val="center"/>
          </w:tcPr>
          <w:p w14:paraId="3D931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w:t>
            </w:r>
          </w:p>
        </w:tc>
      </w:tr>
    </w:tbl>
    <w:p w14:paraId="47A4D7D9">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p>
    <w:p w14:paraId="57933DED">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表5  企业生产相关数据二</w:t>
      </w:r>
    </w:p>
    <w:tbl>
      <w:tblPr>
        <w:tblStyle w:val="52"/>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63"/>
        <w:gridCol w:w="2275"/>
        <w:gridCol w:w="2727"/>
        <w:gridCol w:w="1739"/>
      </w:tblGrid>
      <w:tr w14:paraId="5DC6E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619" w:type="dxa"/>
            <w:vMerge w:val="restart"/>
            <w:noWrap w:val="0"/>
            <w:vAlign w:val="center"/>
          </w:tcPr>
          <w:p w14:paraId="150621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核算边界</w:t>
            </w:r>
          </w:p>
        </w:tc>
        <w:tc>
          <w:tcPr>
            <w:tcW w:w="2090" w:type="dxa"/>
            <w:noWrap w:val="0"/>
            <w:vAlign w:val="center"/>
          </w:tcPr>
          <w:p w14:paraId="6076E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工业增加值</w:t>
            </w:r>
          </w:p>
        </w:tc>
        <w:tc>
          <w:tcPr>
            <w:tcW w:w="2505" w:type="dxa"/>
            <w:noWrap w:val="0"/>
            <w:vAlign w:val="center"/>
          </w:tcPr>
          <w:p w14:paraId="5E0433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工业总产值</w:t>
            </w:r>
          </w:p>
        </w:tc>
        <w:tc>
          <w:tcPr>
            <w:tcW w:w="1597" w:type="dxa"/>
            <w:noWrap w:val="0"/>
            <w:vAlign w:val="center"/>
          </w:tcPr>
          <w:p w14:paraId="7A637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产品产量</w:t>
            </w:r>
          </w:p>
        </w:tc>
      </w:tr>
      <w:tr w14:paraId="53A8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619" w:type="dxa"/>
            <w:vMerge w:val="continue"/>
            <w:noWrap w:val="0"/>
            <w:vAlign w:val="center"/>
          </w:tcPr>
          <w:p w14:paraId="5B6BD4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2090" w:type="dxa"/>
            <w:noWrap w:val="0"/>
            <w:vAlign w:val="center"/>
          </w:tcPr>
          <w:p w14:paraId="6B293F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万元</w:t>
            </w:r>
          </w:p>
        </w:tc>
        <w:tc>
          <w:tcPr>
            <w:tcW w:w="2505" w:type="dxa"/>
            <w:noWrap w:val="0"/>
            <w:vAlign w:val="center"/>
          </w:tcPr>
          <w:p w14:paraId="3C18C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万元</w:t>
            </w:r>
          </w:p>
        </w:tc>
        <w:tc>
          <w:tcPr>
            <w:tcW w:w="1597" w:type="dxa"/>
            <w:noWrap w:val="0"/>
            <w:vAlign w:val="center"/>
          </w:tcPr>
          <w:p w14:paraId="5AC5E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w:t>
            </w:r>
          </w:p>
        </w:tc>
      </w:tr>
      <w:tr w14:paraId="3DB71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jc w:val="center"/>
        </w:trPr>
        <w:tc>
          <w:tcPr>
            <w:tcW w:w="1619" w:type="dxa"/>
            <w:noWrap w:val="0"/>
            <w:vAlign w:val="center"/>
          </w:tcPr>
          <w:p w14:paraId="2D206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拟实施建设项目</w:t>
            </w:r>
          </w:p>
        </w:tc>
        <w:tc>
          <w:tcPr>
            <w:tcW w:w="2090" w:type="dxa"/>
            <w:noWrap w:val="0"/>
            <w:vAlign w:val="bottom"/>
          </w:tcPr>
          <w:p w14:paraId="7DF7A2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6500</w:t>
            </w:r>
          </w:p>
        </w:tc>
        <w:tc>
          <w:tcPr>
            <w:tcW w:w="2505" w:type="dxa"/>
            <w:noWrap w:val="0"/>
            <w:vAlign w:val="bottom"/>
          </w:tcPr>
          <w:p w14:paraId="6CE70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10000</w:t>
            </w:r>
          </w:p>
        </w:tc>
        <w:tc>
          <w:tcPr>
            <w:tcW w:w="1597" w:type="dxa"/>
            <w:noWrap w:val="0"/>
            <w:vAlign w:val="bottom"/>
          </w:tcPr>
          <w:p w14:paraId="45B788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400</w:t>
            </w:r>
          </w:p>
        </w:tc>
      </w:tr>
    </w:tbl>
    <w:p w14:paraId="21F9BC15">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4、本项目实施后，企业碳排放与能耗情况汇总见表6。</w:t>
      </w:r>
    </w:p>
    <w:p w14:paraId="2E588B62">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表6  项目实施后企业碳排放与能耗情况汇总表</w:t>
      </w:r>
    </w:p>
    <w:tbl>
      <w:tblPr>
        <w:tblStyle w:val="52"/>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3"/>
        <w:gridCol w:w="1349"/>
        <w:gridCol w:w="1888"/>
        <w:gridCol w:w="1730"/>
        <w:gridCol w:w="1625"/>
      </w:tblGrid>
      <w:tr w14:paraId="695A9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913" w:type="dxa"/>
            <w:vMerge w:val="restart"/>
            <w:noWrap w:val="0"/>
            <w:vAlign w:val="center"/>
          </w:tcPr>
          <w:p w14:paraId="00E65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核算边界</w:t>
            </w:r>
          </w:p>
        </w:tc>
        <w:tc>
          <w:tcPr>
            <w:tcW w:w="1349" w:type="dxa"/>
            <w:noWrap w:val="0"/>
            <w:vAlign w:val="center"/>
          </w:tcPr>
          <w:p w14:paraId="11EAD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碳排放量</w:t>
            </w:r>
          </w:p>
        </w:tc>
        <w:tc>
          <w:tcPr>
            <w:tcW w:w="1888" w:type="dxa"/>
            <w:noWrap w:val="0"/>
            <w:vAlign w:val="center"/>
          </w:tcPr>
          <w:p w14:paraId="6CE6D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综合能耗（等价值）</w:t>
            </w:r>
          </w:p>
        </w:tc>
        <w:tc>
          <w:tcPr>
            <w:tcW w:w="1730" w:type="dxa"/>
            <w:noWrap w:val="0"/>
            <w:vAlign w:val="center"/>
          </w:tcPr>
          <w:p w14:paraId="11D6A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单位工业增加值综合能耗</w:t>
            </w:r>
          </w:p>
        </w:tc>
        <w:tc>
          <w:tcPr>
            <w:tcW w:w="1625" w:type="dxa"/>
            <w:noWrap w:val="0"/>
            <w:vAlign w:val="center"/>
          </w:tcPr>
          <w:p w14:paraId="28778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单位工业增加值碳排放</w:t>
            </w:r>
          </w:p>
        </w:tc>
      </w:tr>
      <w:tr w14:paraId="007A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913" w:type="dxa"/>
            <w:vMerge w:val="continue"/>
            <w:noWrap w:val="0"/>
            <w:vAlign w:val="center"/>
          </w:tcPr>
          <w:p w14:paraId="2747D6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349" w:type="dxa"/>
            <w:noWrap w:val="0"/>
            <w:vAlign w:val="center"/>
          </w:tcPr>
          <w:p w14:paraId="3D2757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w:t>
            </w:r>
            <w:r>
              <w:rPr>
                <w:rFonts w:hint="default" w:ascii="Arial" w:hAnsi="Arial" w:eastAsia="宋体" w:cs="Arial"/>
                <w:sz w:val="21"/>
                <w:szCs w:val="21"/>
                <w:vertAlign w:val="subscript"/>
              </w:rPr>
              <w:t>2</w:t>
            </w:r>
          </w:p>
        </w:tc>
        <w:tc>
          <w:tcPr>
            <w:tcW w:w="1888" w:type="dxa"/>
            <w:noWrap w:val="0"/>
            <w:vAlign w:val="center"/>
          </w:tcPr>
          <w:p w14:paraId="4E7641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w:t>
            </w:r>
          </w:p>
        </w:tc>
        <w:tc>
          <w:tcPr>
            <w:tcW w:w="1730" w:type="dxa"/>
            <w:noWrap w:val="0"/>
            <w:vAlign w:val="center"/>
          </w:tcPr>
          <w:p w14:paraId="567A2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吨标煤/万元工业增加值</w:t>
            </w:r>
          </w:p>
        </w:tc>
        <w:tc>
          <w:tcPr>
            <w:tcW w:w="1625" w:type="dxa"/>
            <w:noWrap w:val="0"/>
            <w:vAlign w:val="center"/>
          </w:tcPr>
          <w:p w14:paraId="0FEA9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吨CO2/万元工业增加值</w:t>
            </w:r>
          </w:p>
        </w:tc>
      </w:tr>
      <w:tr w14:paraId="2F611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13" w:type="dxa"/>
            <w:noWrap w:val="0"/>
            <w:vAlign w:val="center"/>
          </w:tcPr>
          <w:p w14:paraId="41233A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拟实施建设项目</w:t>
            </w:r>
          </w:p>
        </w:tc>
        <w:tc>
          <w:tcPr>
            <w:tcW w:w="1349" w:type="dxa"/>
            <w:noWrap w:val="0"/>
            <w:vAlign w:val="bottom"/>
          </w:tcPr>
          <w:p w14:paraId="78FAB9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423</w:t>
            </w:r>
          </w:p>
        </w:tc>
        <w:tc>
          <w:tcPr>
            <w:tcW w:w="1888" w:type="dxa"/>
            <w:noWrap w:val="0"/>
            <w:vAlign w:val="center"/>
          </w:tcPr>
          <w:p w14:paraId="6B209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243</w:t>
            </w:r>
          </w:p>
        </w:tc>
        <w:tc>
          <w:tcPr>
            <w:tcW w:w="1730" w:type="dxa"/>
            <w:noWrap w:val="0"/>
            <w:vAlign w:val="center"/>
          </w:tcPr>
          <w:p w14:paraId="560F6C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0.0</w:t>
            </w:r>
            <w:r>
              <w:rPr>
                <w:rFonts w:hint="eastAsia" w:ascii="Arial" w:hAnsi="Arial" w:eastAsia="宋体" w:cs="Arial"/>
                <w:sz w:val="21"/>
                <w:szCs w:val="21"/>
                <w:lang w:val="en-US" w:eastAsia="zh-CN"/>
              </w:rPr>
              <w:t>4</w:t>
            </w:r>
          </w:p>
        </w:tc>
        <w:tc>
          <w:tcPr>
            <w:tcW w:w="1625" w:type="dxa"/>
            <w:noWrap w:val="0"/>
            <w:vAlign w:val="center"/>
          </w:tcPr>
          <w:p w14:paraId="199701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r>
              <w:rPr>
                <w:rFonts w:hint="eastAsia" w:ascii="Arial" w:hAnsi="Arial" w:eastAsia="宋体" w:cs="Arial"/>
                <w:sz w:val="21"/>
                <w:szCs w:val="21"/>
                <w:lang w:val="en-US" w:eastAsia="zh-CN"/>
              </w:rPr>
              <w:t>07</w:t>
            </w:r>
          </w:p>
        </w:tc>
      </w:tr>
    </w:tbl>
    <w:p w14:paraId="74C3E543">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由上表可见，项目实施后企业单位工业增加值综合能耗为0.</w:t>
      </w:r>
      <w:r>
        <w:rPr>
          <w:rFonts w:hint="eastAsia" w:ascii="Arial" w:hAnsi="Arial" w:eastAsia="宋体" w:cs="Arial"/>
          <w:sz w:val="24"/>
          <w:szCs w:val="24"/>
          <w:lang w:val="en-US" w:eastAsia="zh-CN"/>
        </w:rPr>
        <w:t>04</w:t>
      </w:r>
      <w:r>
        <w:rPr>
          <w:rFonts w:hint="default" w:ascii="Arial" w:hAnsi="Arial" w:eastAsia="宋体" w:cs="Arial"/>
          <w:sz w:val="24"/>
          <w:szCs w:val="24"/>
        </w:rPr>
        <w:t>吨标准煤/万元，符合《浙江省节能降耗和能源资源优化配置“十四五”规划》中“十四五”单位工业增加值能效控制标准0.52吨标准煤/万元的要求。</w:t>
      </w:r>
    </w:p>
    <w:p w14:paraId="2820818C">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5、项目实施后，企业碳排放绩效核算见表7。</w:t>
      </w:r>
    </w:p>
    <w:p w14:paraId="138CD903">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表7  项目实施后企业碳排放绩效核算表</w:t>
      </w:r>
    </w:p>
    <w:tbl>
      <w:tblPr>
        <w:tblStyle w:val="52"/>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8"/>
        <w:gridCol w:w="1364"/>
        <w:gridCol w:w="1888"/>
        <w:gridCol w:w="1730"/>
        <w:gridCol w:w="1625"/>
      </w:tblGrid>
      <w:tr w14:paraId="7B77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898" w:type="dxa"/>
            <w:vMerge w:val="restart"/>
            <w:noWrap w:val="0"/>
            <w:vAlign w:val="center"/>
          </w:tcPr>
          <w:p w14:paraId="7F1F8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核算边界</w:t>
            </w:r>
          </w:p>
        </w:tc>
        <w:tc>
          <w:tcPr>
            <w:tcW w:w="1364" w:type="dxa"/>
            <w:noWrap w:val="0"/>
            <w:vAlign w:val="center"/>
          </w:tcPr>
          <w:p w14:paraId="7C1F7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单位工业增加值碳排放</w:t>
            </w:r>
          </w:p>
        </w:tc>
        <w:tc>
          <w:tcPr>
            <w:tcW w:w="1888" w:type="dxa"/>
            <w:noWrap w:val="0"/>
            <w:vAlign w:val="center"/>
          </w:tcPr>
          <w:p w14:paraId="03727D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单位工业总产值碳排放</w:t>
            </w:r>
          </w:p>
        </w:tc>
        <w:tc>
          <w:tcPr>
            <w:tcW w:w="1730" w:type="dxa"/>
            <w:noWrap w:val="0"/>
            <w:vAlign w:val="center"/>
          </w:tcPr>
          <w:p w14:paraId="50AC7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单位产品碳排放</w:t>
            </w:r>
          </w:p>
        </w:tc>
        <w:tc>
          <w:tcPr>
            <w:tcW w:w="1625" w:type="dxa"/>
            <w:noWrap w:val="0"/>
            <w:vAlign w:val="center"/>
          </w:tcPr>
          <w:p w14:paraId="325251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单位能耗碳排放</w:t>
            </w:r>
          </w:p>
        </w:tc>
      </w:tr>
      <w:tr w14:paraId="208A3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898" w:type="dxa"/>
            <w:vMerge w:val="continue"/>
            <w:noWrap w:val="0"/>
            <w:vAlign w:val="center"/>
          </w:tcPr>
          <w:p w14:paraId="69408C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364" w:type="dxa"/>
            <w:noWrap w:val="0"/>
            <w:vAlign w:val="center"/>
          </w:tcPr>
          <w:p w14:paraId="1E5062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t/万元</w:t>
            </w:r>
          </w:p>
        </w:tc>
        <w:tc>
          <w:tcPr>
            <w:tcW w:w="1888" w:type="dxa"/>
            <w:noWrap w:val="0"/>
            <w:vAlign w:val="center"/>
          </w:tcPr>
          <w:p w14:paraId="4E75B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t/万元</w:t>
            </w:r>
          </w:p>
        </w:tc>
        <w:tc>
          <w:tcPr>
            <w:tcW w:w="1730" w:type="dxa"/>
            <w:noWrap w:val="0"/>
            <w:vAlign w:val="center"/>
          </w:tcPr>
          <w:p w14:paraId="5E2B48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t/t产品</w:t>
            </w:r>
          </w:p>
        </w:tc>
        <w:tc>
          <w:tcPr>
            <w:tcW w:w="1625" w:type="dxa"/>
            <w:noWrap w:val="0"/>
            <w:vAlign w:val="center"/>
          </w:tcPr>
          <w:p w14:paraId="103F88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t/t标煤</w:t>
            </w:r>
          </w:p>
        </w:tc>
      </w:tr>
      <w:tr w14:paraId="74E2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8" w:type="dxa"/>
            <w:noWrap w:val="0"/>
            <w:vAlign w:val="center"/>
          </w:tcPr>
          <w:p w14:paraId="197403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本项目</w:t>
            </w:r>
          </w:p>
        </w:tc>
        <w:tc>
          <w:tcPr>
            <w:tcW w:w="1364" w:type="dxa"/>
            <w:noWrap w:val="0"/>
            <w:vAlign w:val="center"/>
          </w:tcPr>
          <w:p w14:paraId="76A01B1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0.07 </w:t>
            </w:r>
          </w:p>
        </w:tc>
        <w:tc>
          <w:tcPr>
            <w:tcW w:w="1888" w:type="dxa"/>
            <w:noWrap w:val="0"/>
            <w:vAlign w:val="center"/>
          </w:tcPr>
          <w:p w14:paraId="4A948725">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0.04 </w:t>
            </w:r>
          </w:p>
        </w:tc>
        <w:tc>
          <w:tcPr>
            <w:tcW w:w="1730" w:type="dxa"/>
            <w:noWrap w:val="0"/>
            <w:vAlign w:val="center"/>
          </w:tcPr>
          <w:p w14:paraId="75747844">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1.10 </w:t>
            </w:r>
          </w:p>
        </w:tc>
        <w:tc>
          <w:tcPr>
            <w:tcW w:w="1625" w:type="dxa"/>
            <w:noWrap w:val="0"/>
            <w:vAlign w:val="center"/>
          </w:tcPr>
          <w:p w14:paraId="1FD314F9">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sz w:val="21"/>
                <w:szCs w:val="21"/>
              </w:rPr>
            </w:pPr>
            <w:r>
              <w:rPr>
                <w:rFonts w:hint="default" w:ascii="Times New Roman" w:hAnsi="Times New Roman" w:eastAsia="宋体" w:cs="Times New Roman"/>
                <w:i w:val="0"/>
                <w:iCs w:val="0"/>
                <w:color w:val="000000"/>
                <w:kern w:val="0"/>
                <w:sz w:val="21"/>
                <w:szCs w:val="21"/>
                <w:u w:val="none"/>
                <w:lang w:val="en-US" w:eastAsia="zh-CN" w:bidi="ar"/>
              </w:rPr>
              <w:t>0.609</w:t>
            </w:r>
          </w:p>
        </w:tc>
      </w:tr>
    </w:tbl>
    <w:p w14:paraId="063EA0DC">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p>
    <w:p w14:paraId="4004ED6D">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6、项目实施前后，企业二氧化碳排放“三本账”核算见表8。</w:t>
      </w:r>
    </w:p>
    <w:p w14:paraId="1044E7AD">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表8  项目实施后企业二氧化碳排放“三本账”核算表</w:t>
      </w:r>
    </w:p>
    <w:tbl>
      <w:tblPr>
        <w:tblStyle w:val="52"/>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4"/>
        <w:gridCol w:w="1215"/>
        <w:gridCol w:w="1215"/>
        <w:gridCol w:w="1215"/>
        <w:gridCol w:w="1215"/>
        <w:gridCol w:w="1215"/>
        <w:gridCol w:w="1216"/>
      </w:tblGrid>
      <w:tr w14:paraId="2CB5B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4" w:type="dxa"/>
            <w:vMerge w:val="restart"/>
            <w:noWrap w:val="0"/>
            <w:vAlign w:val="center"/>
          </w:tcPr>
          <w:p w14:paraId="41E82A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核算指标</w:t>
            </w:r>
          </w:p>
        </w:tc>
        <w:tc>
          <w:tcPr>
            <w:tcW w:w="2430" w:type="dxa"/>
            <w:gridSpan w:val="2"/>
            <w:noWrap w:val="0"/>
            <w:vAlign w:val="center"/>
          </w:tcPr>
          <w:p w14:paraId="50269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企业现有项目</w:t>
            </w:r>
          </w:p>
        </w:tc>
        <w:tc>
          <w:tcPr>
            <w:tcW w:w="2430" w:type="dxa"/>
            <w:gridSpan w:val="2"/>
            <w:noWrap w:val="0"/>
            <w:vAlign w:val="center"/>
          </w:tcPr>
          <w:p w14:paraId="04CAE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拟实施项目</w:t>
            </w:r>
          </w:p>
        </w:tc>
        <w:tc>
          <w:tcPr>
            <w:tcW w:w="1215" w:type="dxa"/>
            <w:vMerge w:val="restart"/>
            <w:noWrap w:val="0"/>
            <w:vAlign w:val="center"/>
          </w:tcPr>
          <w:p w14:paraId="4CD285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“以新带老”削减量</w:t>
            </w:r>
          </w:p>
        </w:tc>
        <w:tc>
          <w:tcPr>
            <w:tcW w:w="1216" w:type="dxa"/>
            <w:vMerge w:val="restart"/>
            <w:noWrap w:val="0"/>
            <w:vAlign w:val="center"/>
          </w:tcPr>
          <w:p w14:paraId="65DCE6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企业最终排放量</w:t>
            </w:r>
          </w:p>
        </w:tc>
      </w:tr>
      <w:tr w14:paraId="7BB8F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4" w:type="dxa"/>
            <w:vMerge w:val="continue"/>
            <w:noWrap w:val="0"/>
            <w:vAlign w:val="center"/>
          </w:tcPr>
          <w:p w14:paraId="085FE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215" w:type="dxa"/>
            <w:noWrap w:val="0"/>
            <w:vAlign w:val="center"/>
          </w:tcPr>
          <w:p w14:paraId="12E4D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产生量</w:t>
            </w:r>
          </w:p>
        </w:tc>
        <w:tc>
          <w:tcPr>
            <w:tcW w:w="1215" w:type="dxa"/>
            <w:noWrap w:val="0"/>
            <w:vAlign w:val="center"/>
          </w:tcPr>
          <w:p w14:paraId="0D1BF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排放量</w:t>
            </w:r>
          </w:p>
        </w:tc>
        <w:tc>
          <w:tcPr>
            <w:tcW w:w="1215" w:type="dxa"/>
            <w:noWrap w:val="0"/>
            <w:vAlign w:val="center"/>
          </w:tcPr>
          <w:p w14:paraId="0EA6A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产生量</w:t>
            </w:r>
          </w:p>
        </w:tc>
        <w:tc>
          <w:tcPr>
            <w:tcW w:w="1215" w:type="dxa"/>
            <w:noWrap w:val="0"/>
            <w:vAlign w:val="center"/>
          </w:tcPr>
          <w:p w14:paraId="6E29F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排放量</w:t>
            </w:r>
          </w:p>
        </w:tc>
        <w:tc>
          <w:tcPr>
            <w:tcW w:w="1215" w:type="dxa"/>
            <w:vMerge w:val="continue"/>
            <w:noWrap w:val="0"/>
            <w:vAlign w:val="center"/>
          </w:tcPr>
          <w:p w14:paraId="41784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216" w:type="dxa"/>
            <w:vMerge w:val="continue"/>
            <w:noWrap w:val="0"/>
            <w:vAlign w:val="center"/>
          </w:tcPr>
          <w:p w14:paraId="6B1FD3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r>
      <w:tr w14:paraId="41FAE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4" w:type="dxa"/>
            <w:vMerge w:val="continue"/>
            <w:noWrap w:val="0"/>
            <w:vAlign w:val="center"/>
          </w:tcPr>
          <w:p w14:paraId="14F4C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215" w:type="dxa"/>
            <w:noWrap w:val="0"/>
            <w:vAlign w:val="center"/>
          </w:tcPr>
          <w:p w14:paraId="03D5E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2429C3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59668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759C2A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10A69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6" w:type="dxa"/>
            <w:noWrap w:val="0"/>
            <w:vAlign w:val="center"/>
          </w:tcPr>
          <w:p w14:paraId="382EE9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r>
      <w:tr w14:paraId="47590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4" w:type="dxa"/>
            <w:noWrap w:val="0"/>
            <w:vAlign w:val="center"/>
          </w:tcPr>
          <w:p w14:paraId="5B5258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二氧化碳</w:t>
            </w:r>
          </w:p>
        </w:tc>
        <w:tc>
          <w:tcPr>
            <w:tcW w:w="1215" w:type="dxa"/>
            <w:noWrap w:val="0"/>
            <w:vAlign w:val="center"/>
          </w:tcPr>
          <w:p w14:paraId="47C6A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p>
        </w:tc>
        <w:tc>
          <w:tcPr>
            <w:tcW w:w="1215" w:type="dxa"/>
            <w:noWrap w:val="0"/>
            <w:vAlign w:val="center"/>
          </w:tcPr>
          <w:p w14:paraId="775C8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p>
        </w:tc>
        <w:tc>
          <w:tcPr>
            <w:tcW w:w="1215" w:type="dxa"/>
            <w:noWrap w:val="0"/>
            <w:vAlign w:val="center"/>
          </w:tcPr>
          <w:p w14:paraId="67F0BF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423</w:t>
            </w:r>
          </w:p>
        </w:tc>
        <w:tc>
          <w:tcPr>
            <w:tcW w:w="1215" w:type="dxa"/>
            <w:noWrap w:val="0"/>
            <w:vAlign w:val="center"/>
          </w:tcPr>
          <w:p w14:paraId="41163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423</w:t>
            </w:r>
          </w:p>
        </w:tc>
        <w:tc>
          <w:tcPr>
            <w:tcW w:w="1215" w:type="dxa"/>
            <w:noWrap w:val="0"/>
            <w:vAlign w:val="center"/>
          </w:tcPr>
          <w:p w14:paraId="3A766F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p>
        </w:tc>
        <w:tc>
          <w:tcPr>
            <w:tcW w:w="1216" w:type="dxa"/>
            <w:noWrap w:val="0"/>
            <w:vAlign w:val="center"/>
          </w:tcPr>
          <w:p w14:paraId="060E50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423</w:t>
            </w:r>
          </w:p>
        </w:tc>
      </w:tr>
    </w:tbl>
    <w:p w14:paraId="109A5B3C">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p>
    <w:p w14:paraId="637B7496">
      <w:pPr>
        <w:rPr>
          <w:rFonts w:hint="default"/>
        </w:rPr>
      </w:pPr>
    </w:p>
    <w:sectPr>
      <w:pgSz w:w="11906" w:h="16838"/>
      <w:pgMar w:top="1440" w:right="1701" w:bottom="1440" w:left="1287" w:header="851" w:footer="992" w:gutter="0"/>
      <w:pgBorders>
        <w:top w:val="none" w:sz="0" w:space="0"/>
        <w:left w:val="none" w:sz="0" w:space="0"/>
        <w:bottom w:val="none" w:sz="0" w:space="0"/>
        <w:right w:val="none" w:sz="0" w:space="0"/>
      </w:pgBorders>
      <w:cols w:space="720" w:num="1"/>
      <w:docGrid w:type="lines" w:linePitch="3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00000" w:csb1="00000000"/>
  </w:font>
  <w:font w:name="Geneva">
    <w:altName w:val="Arial"/>
    <w:panose1 w:val="00000000000000000000"/>
    <w:charset w:val="00"/>
    <w:family w:val="swiss"/>
    <w:pitch w:val="default"/>
    <w:sig w:usb0="00000000" w:usb1="00000000" w:usb2="00000000" w:usb3="00000000" w:csb0="00000001" w:csb1="00000000"/>
  </w:font>
  <w:font w:name="仿宋体">
    <w:altName w:val="宋体"/>
    <w:panose1 w:val="00000000000000000000"/>
    <w:charset w:val="86"/>
    <w:family w:val="roma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o¨²¨¬.">
    <w:altName w:val="Arial"/>
    <w:panose1 w:val="00000000000000000000"/>
    <w:charset w:val="00"/>
    <w:family w:val="moder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s²Ó©úÅé">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华文仿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方正宋三简体">
    <w:altName w:val="宋体"/>
    <w:panose1 w:val="00000000000000000000"/>
    <w:charset w:val="86"/>
    <w:family w:val="auto"/>
    <w:pitch w:val="default"/>
    <w:sig w:usb0="00000000" w:usb1="00000000" w:usb2="00000010" w:usb3="00000000" w:csb0="00040000" w:csb1="00000000"/>
  </w:font>
  <w:font w:name="TimesNewRoman">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4493890"/>
      <w:docPartObj>
        <w:docPartGallery w:val="autotext"/>
      </w:docPartObj>
    </w:sdtPr>
    <w:sdtContent>
      <w:p w14:paraId="5C52145B">
        <w:pPr>
          <w:pStyle w:val="34"/>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827872260"/>
      <w:docPartObj>
        <w:docPartGallery w:val="autotext"/>
      </w:docPartObj>
    </w:sdtPr>
    <w:sdtEndPr>
      <w:rPr>
        <w:rFonts w:ascii="Times New Roman" w:hAnsi="Times New Roman" w:cs="Times New Roman"/>
        <w:sz w:val="21"/>
        <w:szCs w:val="21"/>
      </w:rPr>
    </w:sdtEndPr>
    <w:sdtContent>
      <w:p w14:paraId="3B61ECEB">
        <w:pPr>
          <w:pStyle w:val="3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29</w:t>
        </w:r>
        <w:r>
          <w:rPr>
            <w:rFonts w:ascii="Times New Roman" w:hAnsi="Times New Roman" w:cs="Times New Roman"/>
            <w:sz w:val="21"/>
            <w:szCs w:val="2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993871477"/>
      <w:docPartObj>
        <w:docPartGallery w:val="autotext"/>
      </w:docPartObj>
    </w:sdtPr>
    <w:sdtEndPr>
      <w:rPr>
        <w:sz w:val="21"/>
        <w:szCs w:val="21"/>
      </w:rPr>
    </w:sdtEndPr>
    <w:sdtContent>
      <w:p w14:paraId="26D3F07D">
        <w:pPr>
          <w:pStyle w:val="34"/>
          <w:jc w:val="center"/>
          <w:rPr>
            <w:sz w:val="21"/>
            <w:szCs w:val="21"/>
          </w:rPr>
        </w:pPr>
        <w:r>
          <w:rPr>
            <w:rFonts w:ascii="Times New Roman" w:hAnsi="Times New Roman" w:eastAsia="宋体" w:cs="Times New Roman"/>
            <w:sz w:val="21"/>
            <w:szCs w:val="21"/>
          </w:rPr>
          <w:fldChar w:fldCharType="begin"/>
        </w:r>
        <w:r>
          <w:rPr>
            <w:rFonts w:ascii="Times New Roman" w:hAnsi="Times New Roman" w:eastAsia="宋体" w:cs="Times New Roman"/>
            <w:sz w:val="21"/>
            <w:szCs w:val="21"/>
          </w:rPr>
          <w:instrText xml:space="preserve">PAGE   \* MERGEFORMAT</w:instrText>
        </w:r>
        <w:r>
          <w:rPr>
            <w:rFonts w:ascii="Times New Roman" w:hAnsi="Times New Roman" w:eastAsia="宋体" w:cs="Times New Roman"/>
            <w:sz w:val="21"/>
            <w:szCs w:val="21"/>
          </w:rPr>
          <w:fldChar w:fldCharType="separate"/>
        </w:r>
        <w:r>
          <w:rPr>
            <w:rFonts w:ascii="Times New Roman" w:hAnsi="Times New Roman" w:eastAsia="宋体" w:cs="Times New Roman"/>
            <w:sz w:val="21"/>
            <w:szCs w:val="21"/>
            <w:lang w:val="zh-CN"/>
          </w:rPr>
          <w:t>64</w:t>
        </w:r>
        <w:r>
          <w:rPr>
            <w:rFonts w:ascii="Times New Roman" w:hAnsi="Times New Roman" w:eastAsia="宋体" w:cs="Times New Roman"/>
            <w:sz w:val="21"/>
            <w:szCs w:val="21"/>
          </w:rPr>
          <w:fldChar w:fldCharType="end"/>
        </w:r>
      </w:p>
    </w:sdtContent>
  </w:sdt>
  <w:p w14:paraId="1BFDD3E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47476668"/>
      <w:docPartObj>
        <w:docPartGallery w:val="autotext"/>
      </w:docPartObj>
    </w:sdtPr>
    <w:sdtEndPr>
      <w:rPr>
        <w:sz w:val="21"/>
        <w:szCs w:val="21"/>
      </w:rPr>
    </w:sdtEndPr>
    <w:sdtContent>
      <w:p w14:paraId="783B6ABE">
        <w:pPr>
          <w:pStyle w:val="34"/>
          <w:jc w:val="center"/>
          <w:rPr>
            <w:sz w:val="21"/>
            <w:szCs w:val="21"/>
          </w:rPr>
        </w:pPr>
        <w:r>
          <w:rPr>
            <w:rFonts w:ascii="Times New Roman" w:hAnsi="Times New Roman" w:eastAsia="宋体" w:cs="Times New Roman"/>
            <w:sz w:val="21"/>
            <w:szCs w:val="21"/>
          </w:rPr>
          <w:fldChar w:fldCharType="begin"/>
        </w:r>
        <w:r>
          <w:rPr>
            <w:rFonts w:ascii="Times New Roman" w:hAnsi="Times New Roman" w:eastAsia="宋体" w:cs="Times New Roman"/>
            <w:sz w:val="21"/>
            <w:szCs w:val="21"/>
          </w:rPr>
          <w:instrText xml:space="preserve">PAGE   \* MERGEFORMAT</w:instrText>
        </w:r>
        <w:r>
          <w:rPr>
            <w:rFonts w:ascii="Times New Roman" w:hAnsi="Times New Roman" w:eastAsia="宋体" w:cs="Times New Roman"/>
            <w:sz w:val="21"/>
            <w:szCs w:val="21"/>
          </w:rPr>
          <w:fldChar w:fldCharType="separate"/>
        </w:r>
        <w:r>
          <w:rPr>
            <w:rFonts w:ascii="Times New Roman" w:hAnsi="Times New Roman" w:eastAsia="宋体" w:cs="Times New Roman"/>
            <w:sz w:val="21"/>
            <w:szCs w:val="21"/>
            <w:lang w:val="zh-CN"/>
          </w:rPr>
          <w:t>64</w:t>
        </w:r>
        <w:r>
          <w:rPr>
            <w:rFonts w:ascii="Times New Roman" w:hAnsi="Times New Roman" w:eastAsia="宋体" w:cs="Times New Roman"/>
            <w:sz w:val="21"/>
            <w:szCs w:val="21"/>
          </w:rPr>
          <w:fldChar w:fldCharType="end"/>
        </w:r>
      </w:p>
    </w:sdtContent>
  </w:sdt>
  <w:p w14:paraId="55A2DE5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31539">
    <w:pPr>
      <w:pStyle w:val="35"/>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54A59">
    <w:pPr>
      <w:pStyle w:val="35"/>
      <w:pBdr>
        <w:bottom w:val="none" w:color="auto" w:sz="0" w:space="0"/>
      </w:pBdr>
      <w:ind w:firstLine="4216" w:firstLineChars="1500"/>
      <w:jc w:val="both"/>
      <w:rPr>
        <w:rFonts w:hint="eastAsia" w:ascii="宋体" w:hAnsi="宋体" w:eastAsia="宋体"/>
        <w:b/>
        <w:bCs/>
        <w:sz w:val="28"/>
        <w:szCs w:val="28"/>
      </w:rPr>
    </w:pPr>
  </w:p>
  <w:p w14:paraId="2426908B">
    <w:pPr>
      <w:pStyle w:val="35"/>
      <w:pBdr>
        <w:bottom w:val="none" w:color="auto" w:sz="0" w:space="0"/>
      </w:pBdr>
      <w:ind w:firstLine="4216" w:firstLineChars="1500"/>
      <w:jc w:val="both"/>
      <w:rPr>
        <w:rFonts w:hint="eastAsia" w:ascii="宋体" w:hAnsi="宋体" w:eastAsia="宋体"/>
        <w:b/>
        <w:bCs/>
        <w:sz w:val="28"/>
        <w:szCs w:val="28"/>
      </w:rPr>
    </w:pPr>
  </w:p>
  <w:p w14:paraId="50F3C7EA">
    <w:pPr>
      <w:pStyle w:val="35"/>
      <w:pBdr>
        <w:bottom w:val="none" w:color="auto" w:sz="0" w:space="0"/>
      </w:pBdr>
      <w:ind w:firstLine="4216" w:firstLineChars="1500"/>
      <w:jc w:val="both"/>
      <w:rPr>
        <w:rFonts w:hint="eastAsia" w:ascii="宋体" w:hAnsi="宋体" w:eastAsia="宋体"/>
        <w:b/>
        <w:bCs/>
        <w:sz w:val="28"/>
        <w:szCs w:val="28"/>
      </w:rPr>
    </w:pPr>
  </w:p>
  <w:p w14:paraId="000D53CF">
    <w:pPr>
      <w:pStyle w:val="35"/>
      <w:pBdr>
        <w:bottom w:val="none" w:color="auto" w:sz="0" w:space="0"/>
      </w:pBdr>
      <w:jc w:val="center"/>
      <w:rPr>
        <w:rFonts w:ascii="宋体" w:hAnsi="宋体" w:eastAsia="宋体"/>
        <w:b/>
        <w:bCs/>
        <w:sz w:val="28"/>
        <w:szCs w:val="28"/>
      </w:rPr>
    </w:pPr>
    <w:r>
      <w:rPr>
        <w:rFonts w:hint="eastAsia" w:ascii="宋体" w:hAnsi="宋体" w:eastAsia="宋体"/>
        <w:b/>
        <w:bCs/>
        <w:sz w:val="28"/>
        <w:szCs w:val="28"/>
      </w:rPr>
      <w:t>二、建设项目工程分析</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D8A19">
    <w:pPr>
      <w:pStyle w:val="35"/>
      <w:pBdr>
        <w:bottom w:val="none" w:color="auto" w:sz="0" w:space="0"/>
      </w:pBdr>
      <w:ind w:firstLine="2700" w:firstLineChars="1500"/>
      <w:jc w:val="both"/>
      <w:rPr>
        <w:rFonts w:ascii="宋体" w:hAnsi="宋体" w:eastAsia="宋体"/>
        <w:b/>
        <w:bCs/>
        <w:sz w:val="28"/>
        <w:szCs w:val="28"/>
      </w:rPr>
    </w:pPr>
    <w:r>
      <mc:AlternateContent>
        <mc:Choice Requires="wps">
          <w:drawing>
            <wp:anchor distT="0" distB="0" distL="114300" distR="114300" simplePos="0" relativeHeight="251674624" behindDoc="0" locked="0" layoutInCell="1" allowOverlap="1">
              <wp:simplePos x="0" y="0"/>
              <wp:positionH relativeFrom="page">
                <wp:posOffset>1009650</wp:posOffset>
              </wp:positionH>
              <wp:positionV relativeFrom="page">
                <wp:posOffset>899795</wp:posOffset>
              </wp:positionV>
              <wp:extent cx="455930" cy="8822690"/>
              <wp:effectExtent l="4445" t="5080" r="15875" b="11430"/>
              <wp:wrapNone/>
              <wp:docPr id="10" name="文本框 4"/>
              <wp:cNvGraphicFramePr/>
              <a:graphic xmlns:a="http://schemas.openxmlformats.org/drawingml/2006/main">
                <a:graphicData uri="http://schemas.microsoft.com/office/word/2010/wordprocessingShape">
                  <wps:wsp>
                    <wps:cNvSpPr txBox="1"/>
                    <wps:spPr>
                      <a:xfrm>
                        <a:off x="0" y="0"/>
                        <a:ext cx="455930" cy="882269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FDC2D30">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与项目有关的原有污染问题</w:t>
                          </w:r>
                        </w:p>
                      </w:txbxContent>
                    </wps:txbx>
                    <wps:bodyPr anchor="ctr" anchorCtr="0" upright="1"/>
                  </wps:wsp>
                </a:graphicData>
              </a:graphic>
            </wp:anchor>
          </w:drawing>
        </mc:Choice>
        <mc:Fallback>
          <w:pict>
            <v:shape id="文本框 4" o:spid="_x0000_s1026" o:spt="202" type="#_x0000_t202" style="position:absolute;left:0pt;margin-left:79.5pt;margin-top:70.85pt;height:694.7pt;width:35.9pt;mso-position-horizontal-relative:page;mso-position-vertical-relative:page;z-index:251674624;v-text-anchor:middle;mso-width-relative:page;mso-height-relative:page;" fillcolor="#FFFFFF" filled="t" stroked="t" coordsize="21600,21600" o:gfxdata="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Owq0H2gAA&#10;AAwBAAAPAAAAAAAAAAEAIAAAACIAAABkcnMvZG93bnJldi54bWxQSwECFAAUAAAACACHTuJAZB6J&#10;WRwCAABSBAAADgAAAAAAAAABACAAAAApAQAAZHJzL2Uyb0RvYy54bWxQSwUGAAAAAAYABgBZAQAA&#10;twUAAAAA&#10;">
              <v:fill on="t" focussize="0,0"/>
              <v:stroke weight="0.5pt" color="#000000" joinstyle="miter"/>
              <v:imagedata o:title=""/>
              <o:lock v:ext="edit" aspectratio="f"/>
              <v:textbox>
                <w:txbxContent>
                  <w:p w14:paraId="4FDC2D30">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与项目有关的原有污染问题</w:t>
                    </w:r>
                  </w:p>
                </w:txbxContent>
              </v:textbox>
            </v:shape>
          </w:pict>
        </mc:Fallback>
      </mc:AlternateContent>
    </w:r>
    <w:r>
      <w:rPr>
        <w:rFonts w:hint="eastAsia" w:ascii="宋体" w:hAnsi="宋体" w:eastAsia="宋体"/>
        <w:b/>
        <w:bCs/>
        <w:sz w:val="28"/>
        <w:szCs w:val="28"/>
      </w:rPr>
      <w:t>二、建设项目工程分析</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72F6A">
    <w:pPr>
      <w:pStyle w:val="35"/>
      <w:pBdr>
        <w:bottom w:val="none" w:color="auto" w:sz="0" w:space="0"/>
      </w:pBdr>
      <w:ind w:firstLine="2700" w:firstLineChars="1500"/>
      <w:jc w:val="both"/>
      <w:rPr>
        <w:rFonts w:ascii="宋体" w:hAnsi="宋体" w:eastAsia="宋体"/>
        <w:b/>
        <w:bCs/>
        <w:sz w:val="28"/>
        <w:szCs w:val="28"/>
      </w:rPr>
    </w:pPr>
    <w:r>
      <mc:AlternateContent>
        <mc:Choice Requires="wps">
          <w:drawing>
            <wp:anchor distT="0" distB="0" distL="114300" distR="114300" simplePos="0" relativeHeight="251667456" behindDoc="0" locked="0" layoutInCell="1" allowOverlap="1">
              <wp:simplePos x="0" y="0"/>
              <wp:positionH relativeFrom="page">
                <wp:posOffset>1009650</wp:posOffset>
              </wp:positionH>
              <wp:positionV relativeFrom="page">
                <wp:posOffset>900430</wp:posOffset>
              </wp:positionV>
              <wp:extent cx="455930" cy="8820785"/>
              <wp:effectExtent l="4445" t="4445" r="15875" b="13970"/>
              <wp:wrapNone/>
              <wp:docPr id="13" name="Text Box 51"/>
              <wp:cNvGraphicFramePr/>
              <a:graphic xmlns:a="http://schemas.openxmlformats.org/drawingml/2006/main">
                <a:graphicData uri="http://schemas.microsoft.com/office/word/2010/wordprocessingShape">
                  <wps:wsp>
                    <wps:cNvSpPr txBox="1"/>
                    <wps:spPr>
                      <a:xfrm>
                        <a:off x="0" y="0"/>
                        <a:ext cx="455930" cy="882078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A39EACD">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区域环境质量现状</w:t>
                          </w:r>
                        </w:p>
                      </w:txbxContent>
                    </wps:txbx>
                    <wps:bodyPr anchor="ctr" anchorCtr="0" upright="1"/>
                  </wps:wsp>
                </a:graphicData>
              </a:graphic>
            </wp:anchor>
          </w:drawing>
        </mc:Choice>
        <mc:Fallback>
          <w:pict>
            <v:shape id="Text Box 51" o:spid="_x0000_s1026" o:spt="202" type="#_x0000_t202" style="position:absolute;left:0pt;margin-left:79.5pt;margin-top:70.9pt;height:694.55pt;width:35.9pt;mso-position-horizontal-relative:page;mso-position-vertical-relative:page;z-index:251667456;v-text-anchor:middle;mso-width-relative:page;mso-height-relative:page;" fillcolor="#FFFFFF" filled="t" stroked="t" coordsize="21600,21600" o:gfxdata="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341LK1wAAAAwBAAAPAAAAAAAAAAEAIAAAACIA&#10;AABkcnMvZG93bnJldi54bWxQSwECFAAUAAAACACHTuJA4ZiA8goCAABSBAAADgAAAAAAAAABACAA&#10;AAAmAQAAZHJzL2Uyb0RvYy54bWxQSwUGAAAAAAYABgBZAQAAogUAAAAA&#10;">
              <v:fill on="t" focussize="0,0"/>
              <v:stroke weight="0.5pt" color="#000000" joinstyle="miter"/>
              <v:imagedata o:title=""/>
              <o:lock v:ext="edit" aspectratio="f"/>
              <v:textbox>
                <w:txbxContent>
                  <w:p w14:paraId="6A39EACD">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区域环境质量现状</w:t>
                    </w:r>
                  </w:p>
                </w:txbxContent>
              </v:textbox>
            </v:shape>
          </w:pict>
        </mc:Fallback>
      </mc:AlternateContent>
    </w:r>
    <w:r>
      <w:rPr>
        <w:rFonts w:hint="eastAsia" w:ascii="宋体" w:hAnsi="宋体" w:eastAsia="宋体"/>
        <w:b/>
        <w:bCs/>
        <w:sz w:val="28"/>
        <w:szCs w:val="28"/>
      </w:rPr>
      <w:t>二、建设项目工程分析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AD5FA">
    <w:pPr>
      <w:pStyle w:val="35"/>
      <w:pBdr>
        <w:bottom w:val="none" w:color="auto" w:sz="0" w:space="0"/>
      </w:pBdr>
      <w:ind w:firstLine="360" w:firstLineChars="200"/>
      <w:jc w:val="both"/>
      <w:rPr>
        <w:rFonts w:ascii="宋体" w:hAnsi="宋体" w:eastAsia="宋体"/>
        <w:b/>
        <w:bCs/>
        <w:sz w:val="28"/>
        <w:szCs w:val="28"/>
      </w:rPr>
    </w:pPr>
    <w:r>
      <mc:AlternateContent>
        <mc:Choice Requires="wps">
          <w:drawing>
            <wp:anchor distT="0" distB="0" distL="114300" distR="114300" simplePos="0" relativeHeight="251660288" behindDoc="0" locked="0" layoutInCell="1" allowOverlap="1">
              <wp:simplePos x="0" y="0"/>
              <wp:positionH relativeFrom="page">
                <wp:posOffset>1009650</wp:posOffset>
              </wp:positionH>
              <wp:positionV relativeFrom="page">
                <wp:posOffset>901700</wp:posOffset>
              </wp:positionV>
              <wp:extent cx="494030" cy="8825230"/>
              <wp:effectExtent l="4445" t="4445" r="15875" b="9525"/>
              <wp:wrapNone/>
              <wp:docPr id="4" name="文本框 6"/>
              <wp:cNvGraphicFramePr/>
              <a:graphic xmlns:a="http://schemas.openxmlformats.org/drawingml/2006/main">
                <a:graphicData uri="http://schemas.microsoft.com/office/word/2010/wordprocessingShape">
                  <wps:wsp>
                    <wps:cNvSpPr txBox="1"/>
                    <wps:spPr>
                      <a:xfrm>
                        <a:off x="0" y="0"/>
                        <a:ext cx="494030" cy="882523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9352B7E">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环境</w:t>
                          </w:r>
                        </w:p>
                        <w:p w14:paraId="00F6B8E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73627C27">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目标</w:t>
                          </w:r>
                        </w:p>
                      </w:txbxContent>
                    </wps:txbx>
                    <wps:bodyPr wrap="square" anchor="ctr" anchorCtr="0" upright="1">
                      <a:noAutofit/>
                    </wps:bodyPr>
                  </wps:wsp>
                </a:graphicData>
              </a:graphic>
            </wp:anchor>
          </w:drawing>
        </mc:Choice>
        <mc:Fallback>
          <w:pict>
            <v:shape id="文本框 6" o:spid="_x0000_s1026" o:spt="202" type="#_x0000_t202" style="position:absolute;left:0pt;margin-left:79.5pt;margin-top:71pt;height:694.9pt;width:38.9pt;mso-position-horizontal-relative:page;mso-position-vertical-relative:page;z-index:251660288;v-text-anchor:middle;mso-width-relative:page;mso-height-relative:page;" fillcolor="#FFFFFF" filled="t" stroked="t" coordsize="21600,21600" o:gfxdata="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T0b5XXAAAADAEAAA8AAAAAAAAAAQAgAAAAIgAAAGRycy9kb3ducmV2LnhtbFBLAQIU&#10;ABQAAAAIAIdO4kB0yv0DLQIAAHkEAAAOAAAAAAAAAAEAIAAAACYBAABkcnMvZTJvRG9jLnhtbFBL&#10;BQYAAAAABgAGAFkBAADFBQAAAAA=&#10;">
              <v:fill on="t" focussize="0,0"/>
              <v:stroke weight="0.5pt" color="#000000" joinstyle="miter"/>
              <v:imagedata o:title=""/>
              <o:lock v:ext="edit" aspectratio="f"/>
              <v:textbox>
                <w:txbxContent>
                  <w:p w14:paraId="19352B7E">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环境</w:t>
                    </w:r>
                  </w:p>
                  <w:p w14:paraId="00F6B8E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73627C27">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目标</w:t>
                    </w:r>
                  </w:p>
                </w:txbxContent>
              </v:textbox>
            </v:shape>
          </w:pict>
        </mc:Fallback>
      </mc:AlternateContent>
    </w:r>
    <w:r>
      <w:rPr>
        <w:rFonts w:hint="eastAsia" w:ascii="宋体" w:hAnsi="宋体" w:eastAsia="宋体"/>
        <w:b/>
        <w:bCs/>
        <w:sz w:val="28"/>
        <w:szCs w:val="28"/>
      </w:rPr>
      <w:t>三、区域环境质量现状、环境保护目标及评价标准</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CC2AB">
    <w:pPr>
      <w:pStyle w:val="35"/>
      <w:pBdr>
        <w:bottom w:val="none" w:color="auto" w:sz="0" w:space="0"/>
      </w:pBdr>
      <w:ind w:firstLine="360" w:firstLineChars="200"/>
      <w:jc w:val="both"/>
      <w:rPr>
        <w:rFonts w:ascii="宋体" w:hAnsi="宋体" w:eastAsia="宋体"/>
        <w:b/>
        <w:bCs/>
        <w:sz w:val="28"/>
        <w:szCs w:val="28"/>
      </w:rPr>
    </w:pPr>
    <w:r>
      <mc:AlternateContent>
        <mc:Choice Requires="wps">
          <w:drawing>
            <wp:anchor distT="0" distB="0" distL="114300" distR="114300" simplePos="0" relativeHeight="251661312" behindDoc="0" locked="0" layoutInCell="1" allowOverlap="1">
              <wp:simplePos x="0" y="0"/>
              <wp:positionH relativeFrom="page">
                <wp:posOffset>1009650</wp:posOffset>
              </wp:positionH>
              <wp:positionV relativeFrom="page">
                <wp:posOffset>901700</wp:posOffset>
              </wp:positionV>
              <wp:extent cx="494030" cy="8816975"/>
              <wp:effectExtent l="4445" t="5080" r="15875" b="17145"/>
              <wp:wrapNone/>
              <wp:docPr id="6" name="文本框 9"/>
              <wp:cNvGraphicFramePr/>
              <a:graphic xmlns:a="http://schemas.openxmlformats.org/drawingml/2006/main">
                <a:graphicData uri="http://schemas.microsoft.com/office/word/2010/wordprocessingShape">
                  <wps:wsp>
                    <wps:cNvSpPr txBox="1"/>
                    <wps:spPr>
                      <a:xfrm>
                        <a:off x="0" y="0"/>
                        <a:ext cx="494030" cy="881697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561A78D">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总量</w:t>
                          </w:r>
                        </w:p>
                        <w:p w14:paraId="57550F2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控制</w:t>
                          </w:r>
                        </w:p>
                        <w:p w14:paraId="320078E8">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指标</w:t>
                          </w:r>
                        </w:p>
                      </w:txbxContent>
                    </wps:txbx>
                    <wps:bodyPr wrap="square" anchor="ctr" anchorCtr="0" upright="1">
                      <a:noAutofit/>
                    </wps:bodyPr>
                  </wps:wsp>
                </a:graphicData>
              </a:graphic>
            </wp:anchor>
          </w:drawing>
        </mc:Choice>
        <mc:Fallback>
          <w:pict>
            <v:shape id="文本框 9" o:spid="_x0000_s1026" o:spt="202" type="#_x0000_t202" style="position:absolute;left:0pt;margin-left:79.5pt;margin-top:71pt;height:694.25pt;width:38.9pt;mso-position-horizontal-relative:page;mso-position-vertical-relative:page;z-index:251661312;v-text-anchor:middle;mso-width-relative:page;mso-height-relative:page;" fillcolor="#FFFFFF" filled="t" stroked="t" coordsize="21600,21600" o:gfxdata="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1fI8fXAAAADAEAAA8AAAAAAAAAAQAgAAAAIgAAAGRycy9kb3ducmV2LnhtbFBLAQIU&#10;ABQAAAAIAIdO4kCmuU6uLQIAAHkEAAAOAAAAAAAAAAEAIAAAACYBAABkcnMvZTJvRG9jLnhtbFBL&#10;BQYAAAAABgAGAFkBAADFBQAAAAA=&#10;">
              <v:fill on="t" focussize="0,0"/>
              <v:stroke weight="0.5pt" color="#000000" joinstyle="miter"/>
              <v:imagedata o:title=""/>
              <o:lock v:ext="edit" aspectratio="f"/>
              <v:textbox>
                <w:txbxContent>
                  <w:p w14:paraId="5561A78D">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总量</w:t>
                    </w:r>
                  </w:p>
                  <w:p w14:paraId="57550F2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控制</w:t>
                    </w:r>
                  </w:p>
                  <w:p w14:paraId="320078E8">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指标</w:t>
                    </w:r>
                  </w:p>
                </w:txbxContent>
              </v:textbox>
            </v:shape>
          </w:pict>
        </mc:Fallback>
      </mc:AlternateContent>
    </w:r>
    <w:r>
      <w:rPr>
        <w:rFonts w:hint="eastAsia" w:ascii="宋体" w:hAnsi="宋体" w:eastAsia="宋体"/>
        <w:b/>
        <w:bCs/>
        <w:sz w:val="28"/>
        <w:szCs w:val="28"/>
      </w:rPr>
      <w:t>三、区域环境质量现状、环境保护目标及评价标准</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196FE">
    <w:pPr>
      <w:pStyle w:val="35"/>
      <w:pBdr>
        <w:bottom w:val="none" w:color="auto" w:sz="0" w:space="0"/>
      </w:pBdr>
      <w:ind w:firstLine="1260" w:firstLineChars="700"/>
      <w:jc w:val="both"/>
      <w:rPr>
        <w:rFonts w:ascii="宋体" w:hAnsi="宋体" w:eastAsia="宋体"/>
        <w:b/>
        <w:bCs/>
        <w:sz w:val="28"/>
        <w:szCs w:val="28"/>
      </w:rPr>
    </w:pPr>
    <w:r>
      <mc:AlternateContent>
        <mc:Choice Requires="wps">
          <w:drawing>
            <wp:anchor distT="0" distB="0" distL="114300" distR="114300" simplePos="0" relativeHeight="251662336" behindDoc="0" locked="0" layoutInCell="1" allowOverlap="1">
              <wp:simplePos x="0" y="0"/>
              <wp:positionH relativeFrom="page">
                <wp:posOffset>1009650</wp:posOffset>
              </wp:positionH>
              <wp:positionV relativeFrom="page">
                <wp:posOffset>901700</wp:posOffset>
              </wp:positionV>
              <wp:extent cx="494030" cy="8825230"/>
              <wp:effectExtent l="4445" t="4445" r="15875" b="9525"/>
              <wp:wrapNone/>
              <wp:docPr id="8" name="文本框 11"/>
              <wp:cNvGraphicFramePr/>
              <a:graphic xmlns:a="http://schemas.openxmlformats.org/drawingml/2006/main">
                <a:graphicData uri="http://schemas.microsoft.com/office/word/2010/wordprocessingShape">
                  <wps:wsp>
                    <wps:cNvSpPr txBox="1"/>
                    <wps:spPr>
                      <a:xfrm>
                        <a:off x="0" y="0"/>
                        <a:ext cx="494030" cy="882523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FDE98AB">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施工</w:t>
                          </w:r>
                        </w:p>
                        <w:p w14:paraId="458BD21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796677A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境保</w:t>
                          </w:r>
                        </w:p>
                        <w:p w14:paraId="35FAD9E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护措</w:t>
                          </w:r>
                        </w:p>
                        <w:p w14:paraId="5A9CC0E9">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施</w:t>
                          </w:r>
                        </w:p>
                      </w:txbxContent>
                    </wps:txbx>
                    <wps:bodyPr wrap="square" anchor="ctr" anchorCtr="0" upright="1">
                      <a:noAutofit/>
                    </wps:bodyPr>
                  </wps:wsp>
                </a:graphicData>
              </a:graphic>
            </wp:anchor>
          </w:drawing>
        </mc:Choice>
        <mc:Fallback>
          <w:pict>
            <v:shape id="文本框 11" o:spid="_x0000_s1026" o:spt="202" type="#_x0000_t202" style="position:absolute;left:0pt;margin-left:79.5pt;margin-top:71pt;height:694.9pt;width:38.9pt;mso-position-horizontal-relative:page;mso-position-vertical-relative:page;z-index:251662336;v-text-anchor:middle;mso-width-relative:page;mso-height-relative:page;" fillcolor="#FFFFFF" filled="t" stroked="t" coordsize="21600,21600" o:gfxdata="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T0b5XXAAAADAEAAA8AAAAAAAAAAQAgAAAAIgAAAGRycy9kb3ducmV2LnhtbFBLAQIU&#10;ABQAAAAIAIdO4kDoPUx2LQIAAHoEAAAOAAAAAAAAAAEAIAAAACYBAABkcnMvZTJvRG9jLnhtbFBL&#10;BQYAAAAABgAGAFkBAADFBQAAAAA=&#10;">
              <v:fill on="t" focussize="0,0"/>
              <v:stroke weight="0.5pt" color="#000000" joinstyle="miter"/>
              <v:imagedata o:title=""/>
              <o:lock v:ext="edit" aspectratio="f"/>
              <v:textbox>
                <w:txbxContent>
                  <w:p w14:paraId="2FDE98AB">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施工</w:t>
                    </w:r>
                  </w:p>
                  <w:p w14:paraId="458BD21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796677A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境保</w:t>
                    </w:r>
                  </w:p>
                  <w:p w14:paraId="35FAD9E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护措</w:t>
                    </w:r>
                  </w:p>
                  <w:p w14:paraId="5A9CC0E9">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施</w:t>
                    </w:r>
                  </w:p>
                </w:txbxContent>
              </v:textbox>
            </v:shape>
          </w:pict>
        </mc:Fallback>
      </mc:AlternateContent>
    </w:r>
    <w:r>
      <w:rPr>
        <w:rFonts w:hint="eastAsia" w:ascii="宋体" w:hAnsi="宋体" w:eastAsia="宋体"/>
        <w:b/>
        <w:bCs/>
        <w:sz w:val="28"/>
        <w:szCs w:val="28"/>
      </w:rPr>
      <w:t>四、主要环境影响和保护措施</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D5F22">
    <w:pPr>
      <w:pStyle w:val="35"/>
      <w:pBdr>
        <w:bottom w:val="none" w:color="auto" w:sz="0" w:space="0"/>
      </w:pBdr>
      <w:ind w:firstLine="2700" w:firstLineChars="1500"/>
      <w:jc w:val="both"/>
      <w:rPr>
        <w:rFonts w:ascii="宋体" w:hAnsi="宋体" w:eastAsia="宋体"/>
        <w:b/>
        <w:bCs/>
        <w:sz w:val="28"/>
        <w:szCs w:val="28"/>
      </w:rPr>
    </w:pPr>
    <w:r>
      <mc:AlternateContent>
        <mc:Choice Requires="wps">
          <w:drawing>
            <wp:anchor distT="0" distB="0" distL="114300" distR="114300" simplePos="0" relativeHeight="251673600" behindDoc="0" locked="0" layoutInCell="1" allowOverlap="1">
              <wp:simplePos x="0" y="0"/>
              <wp:positionH relativeFrom="page">
                <wp:posOffset>1009650</wp:posOffset>
              </wp:positionH>
              <wp:positionV relativeFrom="page">
                <wp:posOffset>900430</wp:posOffset>
              </wp:positionV>
              <wp:extent cx="494030" cy="8825865"/>
              <wp:effectExtent l="4445" t="4445" r="15875" b="8890"/>
              <wp:wrapNone/>
              <wp:docPr id="5" name="文本框 3"/>
              <wp:cNvGraphicFramePr/>
              <a:graphic xmlns:a="http://schemas.openxmlformats.org/drawingml/2006/main">
                <a:graphicData uri="http://schemas.microsoft.com/office/word/2010/wordprocessingShape">
                  <wps:wsp>
                    <wps:cNvSpPr txBox="1"/>
                    <wps:spPr>
                      <a:xfrm>
                        <a:off x="0" y="0"/>
                        <a:ext cx="494030" cy="882586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AFDECA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3890282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10FA550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085D4E1D">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3236D5AE">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77C832A5">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wps:txbx>
                    <wps:bodyPr wrap="square" anchor="ctr" anchorCtr="0" upright="1">
                      <a:noAutofit/>
                    </wps:bodyPr>
                  </wps:wsp>
                </a:graphicData>
              </a:graphic>
            </wp:anchor>
          </w:drawing>
        </mc:Choice>
        <mc:Fallback>
          <w:pict>
            <v:shape id="文本框 3" o:spid="_x0000_s1026" o:spt="202" type="#_x0000_t202" style="position:absolute;left:0pt;margin-left:79.5pt;margin-top:70.9pt;height:694.95pt;width:38.9pt;mso-position-horizontal-relative:page;mso-position-vertical-relative:page;z-index:251673600;v-text-anchor:middle;mso-width-relative:page;mso-height-relative:page;" fillcolor="#FFFFFF" filled="t" stroked="t" coordsize="21600,21600" o:gfxdata="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eECrLXAAAADAEAAA8AAAAAAAAAAQAgAAAAIgAAAGRycy9kb3ducmV2LnhtbFBLAQIU&#10;ABQAAAAIAIdO4kBC9yAtLQIAAHkEAAAOAAAAAAAAAAEAIAAAACYBAABkcnMvZTJvRG9jLnhtbFBL&#10;BQYAAAAABgAGAFkBAADFBQAAAAA=&#10;">
              <v:fill on="t" focussize="0,0"/>
              <v:stroke weight="0.5pt" color="#000000" joinstyle="miter"/>
              <v:imagedata o:title=""/>
              <o:lock v:ext="edit" aspectratio="f"/>
              <v:textbox>
                <w:txbxContent>
                  <w:p w14:paraId="3AFDECA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3890282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10FA550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085D4E1D">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3236D5AE">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77C832A5">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v:textbox>
            </v:shape>
          </w:pict>
        </mc:Fallback>
      </mc:AlternateContent>
    </w:r>
    <w:r>
      <w:rPr>
        <w:rFonts w:hint="eastAsia" w:ascii="宋体" w:hAnsi="宋体" w:eastAsia="宋体"/>
        <w:b/>
        <w:bCs/>
        <w:sz w:val="28"/>
        <w:szCs w:val="28"/>
      </w:rPr>
      <w:t>二、建设项目工程分析</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5D31E">
    <w:pPr>
      <w:pStyle w:val="35"/>
      <w:pBdr>
        <w:bottom w:val="none" w:color="auto" w:sz="0" w:space="0"/>
      </w:pBdr>
      <w:ind w:firstLine="4216" w:firstLineChars="1500"/>
      <w:jc w:val="both"/>
      <w:rPr>
        <w:rFonts w:ascii="宋体" w:hAnsi="宋体" w:eastAsia="宋体"/>
        <w:b/>
        <w:bCs/>
        <w:sz w:val="28"/>
        <w:szCs w:val="28"/>
      </w:rPr>
    </w:pPr>
    <w:r>
      <w:rPr>
        <w:rFonts w:hint="eastAsia" w:ascii="宋体" w:hAnsi="宋体" w:eastAsia="宋体"/>
        <w:b/>
        <w:bCs/>
        <w:sz w:val="28"/>
        <w:szCs w:val="28"/>
      </w:rPr>
      <w:t>二、建设项目工程分析</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85B7A">
    <w:pPr>
      <w:pStyle w:val="35"/>
      <w:pBdr>
        <w:bottom w:val="none" w:color="auto" w:sz="0" w:space="0"/>
      </w:pBdr>
      <w:ind w:firstLine="2700" w:firstLineChars="1500"/>
      <w:jc w:val="both"/>
      <w:rPr>
        <w:rFonts w:ascii="宋体" w:hAnsi="宋体" w:eastAsia="宋体"/>
        <w:b/>
        <w:bCs/>
        <w:sz w:val="28"/>
        <w:szCs w:val="28"/>
      </w:rPr>
    </w:pPr>
    <w:r>
      <mc:AlternateContent>
        <mc:Choice Requires="wps">
          <w:drawing>
            <wp:anchor distT="0" distB="0" distL="114300" distR="114300" simplePos="0" relativeHeight="251668480" behindDoc="0" locked="0" layoutInCell="1" allowOverlap="1">
              <wp:simplePos x="0" y="0"/>
              <wp:positionH relativeFrom="page">
                <wp:posOffset>1009650</wp:posOffset>
              </wp:positionH>
              <wp:positionV relativeFrom="page">
                <wp:posOffset>900430</wp:posOffset>
              </wp:positionV>
              <wp:extent cx="494030" cy="8825865"/>
              <wp:effectExtent l="4445" t="4445" r="15875" b="8890"/>
              <wp:wrapNone/>
              <wp:docPr id="14" name="文本框 224"/>
              <wp:cNvGraphicFramePr/>
              <a:graphic xmlns:a="http://schemas.openxmlformats.org/drawingml/2006/main">
                <a:graphicData uri="http://schemas.microsoft.com/office/word/2010/wordprocessingShape">
                  <wps:wsp>
                    <wps:cNvSpPr txBox="1"/>
                    <wps:spPr>
                      <a:xfrm>
                        <a:off x="0" y="0"/>
                        <a:ext cx="494030" cy="882586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1FF8FB">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7FA0244B">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132032E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4F83FAC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4A5A0A4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08DE2BB7">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wps:txbx>
                    <wps:bodyPr wrap="square" anchor="ctr" anchorCtr="0" upright="1">
                      <a:noAutofit/>
                    </wps:bodyPr>
                  </wps:wsp>
                </a:graphicData>
              </a:graphic>
            </wp:anchor>
          </w:drawing>
        </mc:Choice>
        <mc:Fallback>
          <w:pict>
            <v:shape id="文本框 224" o:spid="_x0000_s1026" o:spt="202" type="#_x0000_t202" style="position:absolute;left:0pt;margin-left:79.5pt;margin-top:70.9pt;height:694.95pt;width:38.9pt;mso-position-horizontal-relative:page;mso-position-vertical-relative:page;z-index:251668480;v-text-anchor:middle;mso-width-relative:page;mso-height-relative:page;" fillcolor="#FFFFFF" filled="t" stroked="t" coordsize="21600,21600" o:gfxdata="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4QKstcAAAAMAQAADwAAAAAAAAABACAAAAAiAAAAZHJzL2Rvd25yZXYueG1sUEsB&#10;AhQAFAAAAAgAh07iQCfmzfYvAgAAfAQAAA4AAAAAAAAAAQAgAAAAJgEAAGRycy9lMm9Eb2MueG1s&#10;UEsFBgAAAAAGAAYAWQEAAMcFAAAAAA==&#10;">
              <v:fill on="t" focussize="0,0"/>
              <v:stroke weight="0.5pt" color="#000000" joinstyle="miter"/>
              <v:imagedata o:title=""/>
              <o:lock v:ext="edit" aspectratio="f"/>
              <v:textbox>
                <w:txbxContent>
                  <w:p w14:paraId="011FF8FB">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7FA0244B">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132032E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4F83FAC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4A5A0A4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08DE2BB7">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v:textbox>
            </v:shape>
          </w:pict>
        </mc:Fallback>
      </mc:AlternateContent>
    </w:r>
    <w:r>
      <w:rPr>
        <w:rFonts w:hint="eastAsia" w:ascii="宋体" w:hAnsi="宋体" w:eastAsia="宋体"/>
        <w:b/>
        <w:bCs/>
        <w:sz w:val="28"/>
        <w:szCs w:val="28"/>
      </w:rPr>
      <w:t>二、建设项目工程分析</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BEC7A">
    <w:pPr>
      <w:pStyle w:val="35"/>
      <w:pBdr>
        <w:bottom w:val="none" w:color="auto" w:sz="0" w:space="0"/>
      </w:pBdr>
      <w:ind w:firstLine="4216" w:firstLineChars="1500"/>
      <w:jc w:val="both"/>
      <w:rPr>
        <w:rFonts w:ascii="宋体" w:hAnsi="宋体" w:eastAsia="宋体"/>
        <w:b/>
        <w:bCs/>
        <w:sz w:val="28"/>
        <w:szCs w:val="28"/>
      </w:rPr>
    </w:pPr>
    <w:r>
      <w:rPr>
        <w:rFonts w:hint="eastAsia" w:ascii="宋体" w:hAnsi="宋体" w:eastAsia="宋体"/>
        <w:b/>
        <w:bCs/>
        <w:sz w:val="28"/>
        <w:szCs w:val="28"/>
      </w:rPr>
      <w:t>二、建设项目工程分析</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7BBC6">
    <w:pPr>
      <w:pStyle w:val="35"/>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66ACD">
    <w:pPr>
      <w:pStyle w:val="35"/>
      <w:pBdr>
        <w:bottom w:val="none" w:color="auto" w:sz="0" w:space="0"/>
      </w:pBdr>
      <w:ind w:firstLine="2700" w:firstLineChars="1500"/>
      <w:jc w:val="both"/>
      <w:rPr>
        <w:rFonts w:ascii="宋体" w:hAnsi="宋体" w:eastAsia="宋体"/>
        <w:b/>
        <w:bCs/>
        <w:sz w:val="28"/>
        <w:szCs w:val="28"/>
      </w:rPr>
    </w:pPr>
    <w:r>
      <mc:AlternateContent>
        <mc:Choice Requires="wps">
          <w:drawing>
            <wp:anchor distT="0" distB="0" distL="114300" distR="114300" simplePos="0" relativeHeight="251670528" behindDoc="0" locked="0" layoutInCell="1" allowOverlap="1">
              <wp:simplePos x="0" y="0"/>
              <wp:positionH relativeFrom="page">
                <wp:posOffset>1009650</wp:posOffset>
              </wp:positionH>
              <wp:positionV relativeFrom="page">
                <wp:posOffset>900430</wp:posOffset>
              </wp:positionV>
              <wp:extent cx="494030" cy="8809990"/>
              <wp:effectExtent l="4445" t="4445" r="15875" b="5715"/>
              <wp:wrapNone/>
              <wp:docPr id="16" name="文本框 17"/>
              <wp:cNvGraphicFramePr/>
              <a:graphic xmlns:a="http://schemas.openxmlformats.org/drawingml/2006/main">
                <a:graphicData uri="http://schemas.microsoft.com/office/word/2010/wordprocessingShape">
                  <wps:wsp>
                    <wps:cNvSpPr txBox="1"/>
                    <wps:spPr>
                      <a:xfrm>
                        <a:off x="0" y="0"/>
                        <a:ext cx="494030" cy="880999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EEC48B8">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3900182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6AE9A479">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6A0FAB6C">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6B079EED">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16C9D727">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wps:txbx>
                    <wps:bodyPr wrap="square" anchor="ctr" anchorCtr="0" upright="1">
                      <a:noAutofit/>
                    </wps:bodyPr>
                  </wps:wsp>
                </a:graphicData>
              </a:graphic>
            </wp:anchor>
          </w:drawing>
        </mc:Choice>
        <mc:Fallback>
          <w:pict>
            <v:shape id="文本框 17" o:spid="_x0000_s1026" o:spt="202" type="#_x0000_t202" style="position:absolute;left:0pt;margin-left:79.5pt;margin-top:70.9pt;height:693.7pt;width:38.9pt;mso-position-horizontal-relative:page;mso-position-vertical-relative:page;z-index:251670528;v-text-anchor:middle;mso-width-relative:page;mso-height-relative:page;" fillcolor="#FFFFFF" filled="t" stroked="t" coordsize="21600,21600" o:gfxdata="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FcgY7XAAAADAEAAA8AAAAAAAAAAQAgAAAAIgAAAGRycy9kb3ducmV2LnhtbFBL&#10;AQIUABQAAAAIAIdO4kA7qOjyMAIAAHsEAAAOAAAAAAAAAAEAIAAAACYBAABkcnMvZTJvRG9jLnht&#10;bFBLBQYAAAAABgAGAFkBAADIBQAAAAA=&#10;">
              <v:fill on="t" focussize="0,0"/>
              <v:stroke weight="0.5pt" color="#000000" joinstyle="miter"/>
              <v:imagedata o:title=""/>
              <o:lock v:ext="edit" aspectratio="f"/>
              <v:textbox>
                <w:txbxContent>
                  <w:p w14:paraId="2EEC48B8">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39001824">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6AE9A479">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6A0FAB6C">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6B079EED">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16C9D727">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v:textbox>
            </v:shape>
          </w:pict>
        </mc:Fallback>
      </mc:AlternateContent>
    </w:r>
    <w:r>
      <w:rPr>
        <w:rFonts w:hint="eastAsia" w:ascii="宋体" w:hAnsi="宋体" w:eastAsia="宋体"/>
        <w:b/>
        <w:bCs/>
        <w:sz w:val="28"/>
        <w:szCs w:val="28"/>
      </w:rPr>
      <w:t>二、建设项目工程分析</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103FF">
    <w:pPr>
      <w:pStyle w:val="35"/>
      <w:pBdr>
        <w:bottom w:val="none" w:color="auto" w:sz="0" w:space="0"/>
      </w:pBdr>
      <w:rPr>
        <w:rFonts w:ascii="宋体" w:hAnsi="宋体" w:eastAsia="宋体"/>
        <w:b/>
        <w:bCs/>
        <w:sz w:val="28"/>
        <w:szCs w:val="28"/>
      </w:rPr>
    </w:pPr>
    <w:r>
      <w:rPr>
        <w:rFonts w:hint="eastAsia" w:ascii="宋体" w:hAnsi="宋体" w:eastAsia="宋体"/>
        <w:b/>
        <w:bCs/>
        <w:sz w:val="28"/>
        <w:szCs w:val="28"/>
      </w:rPr>
      <w:t>二、建设项目工程分析</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0DC0">
    <w:pPr>
      <w:pStyle w:val="35"/>
      <w:pBdr>
        <w:bottom w:val="none" w:color="auto" w:sz="0" w:space="0"/>
      </w:pBdr>
      <w:ind w:firstLine="1260" w:firstLineChars="700"/>
      <w:jc w:val="both"/>
      <w:rPr>
        <w:rFonts w:ascii="宋体" w:hAnsi="宋体" w:eastAsia="宋体"/>
        <w:b/>
        <w:bCs/>
        <w:sz w:val="28"/>
        <w:szCs w:val="28"/>
      </w:rPr>
    </w:pPr>
    <w:r>
      <mc:AlternateContent>
        <mc:Choice Requires="wps">
          <w:drawing>
            <wp:anchor distT="0" distB="0" distL="114300" distR="114300" simplePos="0" relativeHeight="251663360" behindDoc="0" locked="0" layoutInCell="1" allowOverlap="1">
              <wp:simplePos x="0" y="0"/>
              <wp:positionH relativeFrom="page">
                <wp:posOffset>1009650</wp:posOffset>
              </wp:positionH>
              <wp:positionV relativeFrom="page">
                <wp:posOffset>901700</wp:posOffset>
              </wp:positionV>
              <wp:extent cx="494030" cy="8816975"/>
              <wp:effectExtent l="4445" t="5080" r="15875" b="17145"/>
              <wp:wrapNone/>
              <wp:docPr id="9" name="文本框 12"/>
              <wp:cNvGraphicFramePr/>
              <a:graphic xmlns:a="http://schemas.openxmlformats.org/drawingml/2006/main">
                <a:graphicData uri="http://schemas.microsoft.com/office/word/2010/wordprocessingShape">
                  <wps:wsp>
                    <wps:cNvSpPr txBox="1"/>
                    <wps:spPr>
                      <a:xfrm>
                        <a:off x="0" y="0"/>
                        <a:ext cx="494030" cy="881697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040661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45D68F7F">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6FB66AD9">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7C5ADF88">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74CB44E0">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5ADAFFF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wps:txbx>
                    <wps:bodyPr wrap="square" anchor="ctr" anchorCtr="0" upright="1">
                      <a:noAutofit/>
                    </wps:bodyPr>
                  </wps:wsp>
                </a:graphicData>
              </a:graphic>
            </wp:anchor>
          </w:drawing>
        </mc:Choice>
        <mc:Fallback>
          <w:pict>
            <v:shape id="文本框 12" o:spid="_x0000_s1026" o:spt="202" type="#_x0000_t202" style="position:absolute;left:0pt;margin-left:79.5pt;margin-top:71pt;height:694.25pt;width:38.9pt;mso-position-horizontal-relative:page;mso-position-vertical-relative:page;z-index:251663360;v-text-anchor:middle;mso-width-relative:page;mso-height-relative:page;" fillcolor="#FFFFFF" filled="t" stroked="t" coordsize="21600,21600" o:gfxdata="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V8jx9cAAAAMAQAADwAAAAAAAAABACAAAAAiAAAAZHJzL2Rvd25yZXYueG1sUEsB&#10;AhQAFAAAAAgAh07iQI612XwvAgAAegQAAA4AAAAAAAAAAQAgAAAAJgEAAGRycy9lMm9Eb2MueG1s&#10;UEsFBgAAAAAGAAYAWQEAAMcFAAAAAA==&#10;">
              <v:fill on="t" focussize="0,0"/>
              <v:stroke weight="0.5pt" color="#000000" joinstyle="miter"/>
              <v:imagedata o:title=""/>
              <o:lock v:ext="edit" aspectratio="f"/>
              <v:textbox>
                <w:txbxContent>
                  <w:p w14:paraId="70406612">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运营</w:t>
                    </w:r>
                  </w:p>
                  <w:p w14:paraId="45D68F7F">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期环</w:t>
                    </w:r>
                  </w:p>
                  <w:p w14:paraId="6FB66AD9">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境影</w:t>
                    </w:r>
                  </w:p>
                  <w:p w14:paraId="7C5ADF88">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响和</w:t>
                    </w:r>
                  </w:p>
                  <w:p w14:paraId="74CB44E0">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保护</w:t>
                    </w:r>
                  </w:p>
                  <w:p w14:paraId="5ADAFFF3">
                    <w:pPr>
                      <w:pStyle w:val="35"/>
                      <w:pBdr>
                        <w:bottom w:val="none" w:color="auto" w:sz="0" w:space="0"/>
                      </w:pBdr>
                      <w:rPr>
                        <w:rFonts w:ascii="宋体" w:hAnsi="宋体" w:eastAsia="宋体"/>
                        <w:bCs/>
                        <w:color w:val="000000" w:themeColor="text1"/>
                        <w:sz w:val="24"/>
                        <w:szCs w:val="24"/>
                        <w14:textFill>
                          <w14:solidFill>
                            <w14:schemeClr w14:val="tx1"/>
                          </w14:solidFill>
                        </w14:textFill>
                      </w:rPr>
                    </w:pPr>
                    <w:r>
                      <w:rPr>
                        <w:rFonts w:hint="eastAsia" w:ascii="宋体" w:hAnsi="宋体" w:eastAsia="宋体"/>
                        <w:bCs/>
                        <w:color w:val="000000" w:themeColor="text1"/>
                        <w:sz w:val="24"/>
                        <w:szCs w:val="24"/>
                        <w14:textFill>
                          <w14:solidFill>
                            <w14:schemeClr w14:val="tx1"/>
                          </w14:solidFill>
                        </w14:textFill>
                      </w:rPr>
                      <w:t>措施</w:t>
                    </w:r>
                  </w:p>
                </w:txbxContent>
              </v:textbox>
            </v:shape>
          </w:pict>
        </mc:Fallback>
      </mc:AlternateContent>
    </w:r>
    <w:r>
      <w:rPr>
        <w:rFonts w:hint="eastAsia" w:ascii="宋体" w:hAnsi="宋体" w:eastAsia="宋体"/>
        <w:b/>
        <w:bCs/>
        <w:sz w:val="28"/>
        <w:szCs w:val="28"/>
      </w:rPr>
      <w:t>四、主要环境影响和保护措施</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92775">
    <w:pPr>
      <w:pStyle w:val="35"/>
      <w:pBdr>
        <w:bottom w:val="none" w:color="auto" w:sz="0" w:space="0"/>
      </w:pBdr>
      <w:rPr>
        <w:rFonts w:ascii="宋体" w:hAnsi="宋体" w:eastAsia="宋体"/>
        <w:b/>
        <w:bCs/>
        <w:sz w:val="28"/>
        <w:szCs w:val="28"/>
      </w:rPr>
    </w:pPr>
    <w:r>
      <w:rPr>
        <w:rFonts w:hint="eastAsia" w:ascii="宋体" w:hAnsi="宋体" w:eastAsia="宋体"/>
        <w:b/>
        <w:bCs/>
        <w:sz w:val="28"/>
        <w:szCs w:val="28"/>
      </w:rPr>
      <w:t>五、环境保护措施监督清单</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B3B6">
    <w:pPr>
      <w:pStyle w:val="35"/>
      <w:pBdr>
        <w:bottom w:val="none" w:color="auto" w:sz="0" w:space="0"/>
      </w:pBdr>
      <w:rPr>
        <w:rFonts w:ascii="宋体" w:hAnsi="宋体" w:eastAsia="宋体"/>
        <w:b/>
        <w:bCs/>
        <w:sz w:val="28"/>
        <w:szCs w:val="28"/>
      </w:rPr>
    </w:pPr>
    <w:r>
      <w:rPr>
        <w:rFonts w:hint="eastAsia" w:ascii="宋体" w:hAnsi="宋体" w:eastAsia="宋体"/>
        <w:b/>
        <w:bCs/>
        <w:sz w:val="28"/>
        <w:szCs w:val="28"/>
      </w:rPr>
      <w:t>六、结论</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3755">
    <w:pPr>
      <w:pStyle w:val="35"/>
      <w:pBdr>
        <w:bottom w:val="none" w:color="auto" w:sz="0" w:space="0"/>
      </w:pBdr>
      <w:rPr>
        <w:rFonts w:ascii="宋体" w:hAnsi="宋体" w:eastAsia="宋体"/>
        <w:b/>
        <w:bCs/>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5CEB7">
    <w:pPr>
      <w:pStyle w:val="35"/>
      <w:pBdr>
        <w:bottom w:val="none" w:color="auto" w:sz="0" w:space="0"/>
      </w:pBdr>
      <w:rPr>
        <w:rFonts w:ascii="宋体" w:hAnsi="宋体" w:eastAsia="宋体"/>
        <w:b/>
        <w:bCs/>
        <w:sz w:val="28"/>
        <w:szCs w:val="28"/>
      </w:rPr>
    </w:pPr>
    <w:r>
      <w:rPr>
        <w:rFonts w:hint="eastAsia" w:ascii="宋体" w:hAnsi="宋体" w:eastAsia="宋体"/>
        <w:b/>
        <w:bCs/>
        <w:sz w:val="28"/>
        <w:szCs w:val="28"/>
      </w:rPr>
      <w:t>一、建设项目基本情况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F123">
    <w:pPr>
      <w:pStyle w:val="3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ascii="宋体" w:hAnsi="宋体" w:eastAsia="宋体"/>
        <w:b/>
        <w:bCs/>
        <w:sz w:val="28"/>
        <w:szCs w:val="28"/>
        <w:lang w:val="en-US" w:eastAsia="zh-CN"/>
      </w:rPr>
    </w:pPr>
    <w:r>
      <w:rPr>
        <w:rFonts w:hint="eastAsia" w:ascii="宋体" w:hAnsi="宋体" w:eastAsia="宋体"/>
        <w:b/>
        <w:bCs/>
        <w:sz w:val="28"/>
        <w:szCs w:val="28"/>
      </w:rPr>
      <mc:AlternateContent>
        <mc:Choice Requires="wps">
          <w:drawing>
            <wp:anchor distT="0" distB="0" distL="114300" distR="114300" simplePos="0" relativeHeight="251669504" behindDoc="0" locked="0" layoutInCell="1" allowOverlap="1">
              <wp:simplePos x="0" y="0"/>
              <wp:positionH relativeFrom="page">
                <wp:posOffset>1009650</wp:posOffset>
              </wp:positionH>
              <wp:positionV relativeFrom="page">
                <wp:posOffset>900430</wp:posOffset>
              </wp:positionV>
              <wp:extent cx="490855" cy="8896985"/>
              <wp:effectExtent l="4445" t="4445" r="19050" b="13970"/>
              <wp:wrapNone/>
              <wp:docPr id="15" name="文本框 16"/>
              <wp:cNvGraphicFramePr/>
              <a:graphic xmlns:a="http://schemas.openxmlformats.org/drawingml/2006/main">
                <a:graphicData uri="http://schemas.microsoft.com/office/word/2010/wordprocessingShape">
                  <wps:wsp>
                    <wps:cNvSpPr txBox="1"/>
                    <wps:spPr>
                      <a:xfrm>
                        <a:off x="0" y="0"/>
                        <a:ext cx="490855" cy="889698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C40E36D">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规划</w:t>
                          </w:r>
                        </w:p>
                        <w:p w14:paraId="494687B4">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及规</w:t>
                          </w:r>
                        </w:p>
                        <w:p w14:paraId="51F11274">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划环</w:t>
                          </w:r>
                        </w:p>
                        <w:p w14:paraId="5DEBA146">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4FAD057A">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响评</w:t>
                          </w:r>
                        </w:p>
                        <w:p w14:paraId="2C190CDC">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价符</w:t>
                          </w:r>
                        </w:p>
                        <w:p w14:paraId="6785880C">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合性</w:t>
                          </w:r>
                        </w:p>
                        <w:p w14:paraId="416B0C86">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分析</w:t>
                          </w:r>
                        </w:p>
                        <w:p w14:paraId="05DCCF96">
                          <w:pPr>
                            <w:pStyle w:val="35"/>
                            <w:pBdr>
                              <w:bottom w:val="none" w:color="auto" w:sz="0" w:space="0"/>
                            </w:pBdr>
                            <w:rPr>
                              <w:rFonts w:ascii="宋体" w:hAnsi="宋体" w:eastAsia="宋体"/>
                              <w:bCs/>
                              <w:color w:val="000000" w:themeColor="text1"/>
                              <w:sz w:val="24"/>
                              <w:szCs w:val="24"/>
                              <w14:textFill>
                                <w14:solidFill>
                                  <w14:schemeClr w14:val="tx1"/>
                                </w14:solidFill>
                              </w14:textFill>
                            </w:rPr>
                          </w:pPr>
                        </w:p>
                      </w:txbxContent>
                    </wps:txbx>
                    <wps:bodyPr anchor="ctr" anchorCtr="0" upright="1"/>
                  </wps:wsp>
                </a:graphicData>
              </a:graphic>
            </wp:anchor>
          </w:drawing>
        </mc:Choice>
        <mc:Fallback>
          <w:pict>
            <v:shape id="文本框 16" o:spid="_x0000_s1026" o:spt="202" type="#_x0000_t202" style="position:absolute;left:0pt;margin-left:79.5pt;margin-top:70.9pt;height:700.55pt;width:38.65pt;mso-position-horizontal-relative:page;mso-position-vertical-relative:page;z-index:251669504;v-text-anchor:middle;mso-width-relative:page;mso-height-relative:page;" fillcolor="#FFFFFF" filled="t" stroked="t" coordsize="21600,21600" o:gfxdata="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nfft69oAAAAM&#10;AQAADwAAAAAAAAABACAAAAAiAAAAZHJzL2Rvd25yZXYueG1sUEsBAhQAFAAAAAgAh07iQDCzusoa&#10;AgAAUwQAAA4AAAAAAAAAAQAgAAAAKQEAAGRycy9lMm9Eb2MueG1sUEsFBgAAAAAGAAYAWQEAALUF&#10;AAAAAA==&#10;">
              <v:fill on="t" focussize="0,0"/>
              <v:stroke weight="0.5pt" color="#000000" joinstyle="miter"/>
              <v:imagedata o:title=""/>
              <o:lock v:ext="edit" aspectratio="f"/>
              <v:textbox>
                <w:txbxContent>
                  <w:p w14:paraId="2C40E36D">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规划</w:t>
                    </w:r>
                  </w:p>
                  <w:p w14:paraId="494687B4">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及规</w:t>
                    </w:r>
                  </w:p>
                  <w:p w14:paraId="51F11274">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划环</w:t>
                    </w:r>
                  </w:p>
                  <w:p w14:paraId="5DEBA146">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4FAD057A">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响评</w:t>
                    </w:r>
                  </w:p>
                  <w:p w14:paraId="2C190CDC">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价符</w:t>
                    </w:r>
                  </w:p>
                  <w:p w14:paraId="6785880C">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合性</w:t>
                    </w:r>
                  </w:p>
                  <w:p w14:paraId="416B0C86">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分析</w:t>
                    </w:r>
                  </w:p>
                  <w:p w14:paraId="05DCCF96">
                    <w:pPr>
                      <w:pStyle w:val="35"/>
                      <w:pBdr>
                        <w:bottom w:val="none" w:color="auto" w:sz="0" w:space="0"/>
                      </w:pBdr>
                      <w:rPr>
                        <w:rFonts w:ascii="宋体" w:hAnsi="宋体" w:eastAsia="宋体"/>
                        <w:bCs/>
                        <w:color w:val="000000" w:themeColor="text1"/>
                        <w:sz w:val="24"/>
                        <w:szCs w:val="24"/>
                        <w14:textFill>
                          <w14:solidFill>
                            <w14:schemeClr w14:val="tx1"/>
                          </w14:solidFill>
                        </w14:textFill>
                      </w:rPr>
                    </w:pPr>
                  </w:p>
                </w:txbxContent>
              </v:textbox>
            </v:shape>
          </w:pict>
        </mc:Fallback>
      </mc:AlternateContent>
    </w:r>
    <w:r>
      <w:rPr>
        <w:rFonts w:hint="eastAsia" w:ascii="宋体" w:hAnsi="宋体" w:eastAsia="宋体"/>
        <w:b/>
        <w:bCs/>
        <w:sz w:val="28"/>
        <w:szCs w:val="28"/>
        <w:lang w:val="en-US" w:eastAsia="zh-CN"/>
      </w:rPr>
      <w:t>一</w:t>
    </w:r>
    <w:r>
      <w:rPr>
        <w:rFonts w:hint="eastAsia" w:ascii="宋体" w:hAnsi="宋体" w:eastAsia="宋体"/>
        <w:b/>
        <w:bCs/>
        <w:sz w:val="28"/>
        <w:szCs w:val="28"/>
      </w:rPr>
      <w:t>、建设项目</w:t>
    </w:r>
    <w:r>
      <w:rPr>
        <w:rFonts w:hint="eastAsia" w:ascii="宋体" w:hAnsi="宋体" w:eastAsia="宋体"/>
        <w:b/>
        <w:bCs/>
        <w:sz w:val="28"/>
        <w:szCs w:val="28"/>
        <w:lang w:val="en-US" w:eastAsia="zh-CN"/>
      </w:rPr>
      <w:t>基本情况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712BC">
    <w:pPr>
      <w:pStyle w:val="3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一</w:t>
    </w:r>
    <w:r>
      <w:rPr>
        <w:rFonts w:hint="eastAsia" w:ascii="宋体" w:hAnsi="宋体" w:eastAsia="宋体"/>
        <w:b/>
        <w:bCs/>
        <w:sz w:val="28"/>
        <w:szCs w:val="28"/>
      </w:rPr>
      <w:t>、建设项目</w:t>
    </w:r>
    <w:r>
      <w:rPr>
        <w:rFonts w:hint="eastAsia" w:ascii="宋体" w:hAnsi="宋体" w:eastAsia="宋体"/>
        <w:b/>
        <w:bCs/>
        <w:sz w:val="28"/>
        <w:szCs w:val="28"/>
        <w:lang w:val="en-US" w:eastAsia="zh-CN"/>
      </w:rPr>
      <w:t>基本情况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F46A">
    <w:pPr>
      <w:pStyle w:val="3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eastAsia="宋体"/>
        <w:sz w:val="28"/>
        <w:szCs w:val="28"/>
        <w:lang w:val="en-US" w:eastAsia="zh-CN"/>
      </w:rPr>
    </w:pPr>
    <w:r>
      <w:rPr>
        <w:sz w:val="28"/>
        <w:szCs w:val="28"/>
      </w:rPr>
      <mc:AlternateContent>
        <mc:Choice Requires="wps">
          <w:drawing>
            <wp:anchor distT="0" distB="0" distL="114300" distR="114300" simplePos="0" relativeHeight="251659264" behindDoc="0" locked="0" layoutInCell="1" allowOverlap="1">
              <wp:simplePos x="0" y="0"/>
              <wp:positionH relativeFrom="page">
                <wp:posOffset>993140</wp:posOffset>
              </wp:positionH>
              <wp:positionV relativeFrom="page">
                <wp:posOffset>892175</wp:posOffset>
              </wp:positionV>
              <wp:extent cx="494030" cy="8820785"/>
              <wp:effectExtent l="4445" t="4445" r="15875" b="13970"/>
              <wp:wrapNone/>
              <wp:docPr id="3" name="文本框 2"/>
              <wp:cNvGraphicFramePr/>
              <a:graphic xmlns:a="http://schemas.openxmlformats.org/drawingml/2006/main">
                <a:graphicData uri="http://schemas.microsoft.com/office/word/2010/wordprocessingShape">
                  <wps:wsp>
                    <wps:cNvSpPr txBox="1"/>
                    <wps:spPr>
                      <a:xfrm>
                        <a:off x="0" y="0"/>
                        <a:ext cx="494030" cy="882078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9F8C31A">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规划</w:t>
                          </w:r>
                        </w:p>
                        <w:p w14:paraId="293C7A4F">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及规</w:t>
                          </w:r>
                        </w:p>
                        <w:p w14:paraId="6B79268B">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划环</w:t>
                          </w:r>
                        </w:p>
                        <w:p w14:paraId="7B1F5739">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6F1667D0">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响评</w:t>
                          </w:r>
                        </w:p>
                        <w:p w14:paraId="77F8F8B6">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价符</w:t>
                          </w:r>
                        </w:p>
                        <w:p w14:paraId="054E429E">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合性</w:t>
                          </w:r>
                        </w:p>
                        <w:p w14:paraId="77BFD81F">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sz w:val="24"/>
                              <w:szCs w:val="24"/>
                            </w:rPr>
                            <w:t>分析</w:t>
                          </w:r>
                        </w:p>
                      </w:txbxContent>
                    </wps:txbx>
                    <wps:bodyPr anchor="ctr" anchorCtr="0" upright="1"/>
                  </wps:wsp>
                </a:graphicData>
              </a:graphic>
            </wp:anchor>
          </w:drawing>
        </mc:Choice>
        <mc:Fallback>
          <w:pict>
            <v:shape id="文本框 2" o:spid="_x0000_s1026" o:spt="202" type="#_x0000_t202" style="position:absolute;left:0pt;margin-left:78.2pt;margin-top:70.25pt;height:694.55pt;width:38.9pt;mso-position-horizontal-relative:page;mso-position-vertical-relative:page;z-index:251659264;v-text-anchor:middle;mso-width-relative:page;mso-height-relative:page;" fillcolor="#FFFFFF" filled="t" stroked="t" coordsize="21600,21600" o:gfxdata="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v3FWg2gAAAAwB&#10;AAAPAAAAAAAAAAEAIAAAACIAAABkcnMvZG93bnJldi54bWxQSwECFAAUAAAACACHTuJA8e+lhxkC&#10;AABRBAAADgAAAAAAAAABACAAAAApAQAAZHJzL2Uyb0RvYy54bWxQSwUGAAAAAAYABgBZAQAAtAUA&#10;AAAA&#10;">
              <v:fill on="t" focussize="0,0"/>
              <v:stroke weight="0.5pt" color="#000000" joinstyle="miter"/>
              <v:imagedata o:title=""/>
              <o:lock v:ext="edit" aspectratio="f"/>
              <v:textbox>
                <w:txbxContent>
                  <w:p w14:paraId="59F8C31A">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规划</w:t>
                    </w:r>
                  </w:p>
                  <w:p w14:paraId="293C7A4F">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及规</w:t>
                    </w:r>
                  </w:p>
                  <w:p w14:paraId="6B79268B">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划环</w:t>
                    </w:r>
                  </w:p>
                  <w:p w14:paraId="7B1F5739">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6F1667D0">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响评</w:t>
                    </w:r>
                  </w:p>
                  <w:p w14:paraId="77F8F8B6">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价符</w:t>
                    </w:r>
                  </w:p>
                  <w:p w14:paraId="054E429E">
                    <w:pPr>
                      <w:pStyle w:val="3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合性</w:t>
                    </w:r>
                  </w:p>
                  <w:p w14:paraId="77BFD81F">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sz w:val="24"/>
                        <w:szCs w:val="24"/>
                      </w:rPr>
                      <w:t>分析</w:t>
                    </w:r>
                  </w:p>
                </w:txbxContent>
              </v:textbox>
            </v:shape>
          </w:pict>
        </mc:Fallback>
      </mc:AlternateContent>
    </w:r>
    <w:r>
      <w:rPr>
        <w:rFonts w:hint="eastAsia"/>
        <w:sz w:val="28"/>
        <w:szCs w:val="28"/>
        <w:lang w:val="en-US" w:eastAsia="zh-CN"/>
      </w:rPr>
      <w:t>一</w:t>
    </w:r>
    <w:r>
      <w:rPr>
        <w:rFonts w:hint="eastAsia" w:ascii="宋体" w:hAnsi="宋体" w:eastAsia="宋体"/>
        <w:b/>
        <w:bCs/>
        <w:sz w:val="28"/>
        <w:szCs w:val="28"/>
      </w:rPr>
      <w:t>、建设项目</w:t>
    </w:r>
    <w:r>
      <w:rPr>
        <w:rFonts w:hint="eastAsia" w:ascii="宋体" w:hAnsi="宋体" w:eastAsia="宋体"/>
        <w:b/>
        <w:bCs/>
        <w:sz w:val="28"/>
        <w:szCs w:val="28"/>
        <w:lang w:val="en-US" w:eastAsia="zh-CN"/>
      </w:rPr>
      <w:t>基本情况</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B8B9D">
    <w:pPr>
      <w:pStyle w:val="3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eastAsia="宋体"/>
        <w:sz w:val="28"/>
        <w:szCs w:val="28"/>
        <w:lang w:val="en-US" w:eastAsia="zh-CN"/>
      </w:rPr>
    </w:pPr>
    <w:r>
      <w:rPr>
        <w:sz w:val="28"/>
        <w:szCs w:val="28"/>
      </w:rPr>
      <mc:AlternateContent>
        <mc:Choice Requires="wps">
          <w:drawing>
            <wp:anchor distT="0" distB="0" distL="114300" distR="114300" simplePos="0" relativeHeight="251672576" behindDoc="0" locked="0" layoutInCell="1" allowOverlap="1">
              <wp:simplePos x="0" y="0"/>
              <wp:positionH relativeFrom="page">
                <wp:posOffset>993140</wp:posOffset>
              </wp:positionH>
              <wp:positionV relativeFrom="page">
                <wp:posOffset>892175</wp:posOffset>
              </wp:positionV>
              <wp:extent cx="494030" cy="8820785"/>
              <wp:effectExtent l="4445" t="4445" r="15875" b="13970"/>
              <wp:wrapNone/>
              <wp:docPr id="18" name="文本框 19"/>
              <wp:cNvGraphicFramePr/>
              <a:graphic xmlns:a="http://schemas.openxmlformats.org/drawingml/2006/main">
                <a:graphicData uri="http://schemas.microsoft.com/office/word/2010/wordprocessingShape">
                  <wps:wsp>
                    <wps:cNvSpPr txBox="1"/>
                    <wps:spPr>
                      <a:xfrm>
                        <a:off x="0" y="0"/>
                        <a:ext cx="494030" cy="882078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08FED94">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sz w:val="24"/>
                              <w:szCs w:val="24"/>
                              <w:lang w:val="en-US" w:eastAsia="zh-CN"/>
                            </w:rPr>
                            <w:t>其它</w:t>
                          </w:r>
                          <w:r>
                            <w:rPr>
                              <w:rFonts w:hint="eastAsia" w:ascii="宋体" w:hAnsi="宋体" w:eastAsia="宋体"/>
                              <w:bCs/>
                              <w:color w:val="000000"/>
                              <w:sz w:val="24"/>
                              <w:szCs w:val="24"/>
                            </w:rPr>
                            <w:t>符合性分析</w:t>
                          </w:r>
                        </w:p>
                      </w:txbxContent>
                    </wps:txbx>
                    <wps:bodyPr anchor="ctr" anchorCtr="0" upright="1"/>
                  </wps:wsp>
                </a:graphicData>
              </a:graphic>
            </wp:anchor>
          </w:drawing>
        </mc:Choice>
        <mc:Fallback>
          <w:pict>
            <v:shape id="文本框 19" o:spid="_x0000_s1026" o:spt="202" type="#_x0000_t202" style="position:absolute;left:0pt;margin-left:78.2pt;margin-top:70.25pt;height:694.55pt;width:38.9pt;mso-position-horizontal-relative:page;mso-position-vertical-relative:page;z-index:251672576;v-text-anchor:middle;mso-width-relative:page;mso-height-relative:page;" fillcolor="#FFFFFF" filled="t" stroked="t" coordsize="21600,21600" o:gfxdata="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9xVoNoAAAAM&#10;AQAADwAAAAAAAAABACAAAAAiAAAAZHJzL2Rvd25yZXYueG1sUEsBAhQAFAAAAAgAh07iQIsuyIga&#10;AgAAUwQAAA4AAAAAAAAAAQAgAAAAKQEAAGRycy9lMm9Eb2MueG1sUEsFBgAAAAAGAAYAWQEAALUF&#10;AAAAAA==&#10;">
              <v:fill on="t" focussize="0,0"/>
              <v:stroke weight="0.5pt" color="#000000" joinstyle="miter"/>
              <v:imagedata o:title=""/>
              <o:lock v:ext="edit" aspectratio="f"/>
              <v:textbox>
                <w:txbxContent>
                  <w:p w14:paraId="608FED94">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sz w:val="24"/>
                        <w:szCs w:val="24"/>
                        <w:lang w:val="en-US" w:eastAsia="zh-CN"/>
                      </w:rPr>
                      <w:t>其它</w:t>
                    </w:r>
                    <w:r>
                      <w:rPr>
                        <w:rFonts w:hint="eastAsia" w:ascii="宋体" w:hAnsi="宋体" w:eastAsia="宋体"/>
                        <w:bCs/>
                        <w:color w:val="000000"/>
                        <w:sz w:val="24"/>
                        <w:szCs w:val="24"/>
                      </w:rPr>
                      <w:t>符合性分析</w:t>
                    </w:r>
                  </w:p>
                </w:txbxContent>
              </v:textbox>
            </v:shape>
          </w:pict>
        </mc:Fallback>
      </mc:AlternateContent>
    </w:r>
    <w:r>
      <w:rPr>
        <w:rFonts w:hint="eastAsia"/>
        <w:sz w:val="28"/>
        <w:szCs w:val="28"/>
        <w:lang w:val="en-US" w:eastAsia="zh-CN"/>
      </w:rPr>
      <w:t>一</w:t>
    </w:r>
    <w:r>
      <w:rPr>
        <w:rFonts w:hint="eastAsia" w:ascii="宋体" w:hAnsi="宋体" w:eastAsia="宋体"/>
        <w:b/>
        <w:bCs/>
        <w:sz w:val="28"/>
        <w:szCs w:val="28"/>
      </w:rPr>
      <w:t>、建设项目</w:t>
    </w:r>
    <w:r>
      <w:rPr>
        <w:rFonts w:hint="eastAsia" w:ascii="宋体" w:hAnsi="宋体" w:eastAsia="宋体"/>
        <w:b/>
        <w:bCs/>
        <w:sz w:val="28"/>
        <w:szCs w:val="28"/>
        <w:lang w:val="en-US" w:eastAsia="zh-CN"/>
      </w:rPr>
      <w:t>基本情况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8F60">
    <w:pPr>
      <w:pStyle w:val="3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eastAsia="宋体"/>
        <w:sz w:val="28"/>
        <w:szCs w:val="28"/>
        <w:lang w:val="en-US" w:eastAsia="zh-CN"/>
      </w:rPr>
    </w:pPr>
    <w:r>
      <w:rPr>
        <w:sz w:val="28"/>
        <w:szCs w:val="28"/>
      </w:rPr>
      <mc:AlternateContent>
        <mc:Choice Requires="wps">
          <w:drawing>
            <wp:anchor distT="0" distB="0" distL="114300" distR="114300" simplePos="0" relativeHeight="251671552" behindDoc="0" locked="0" layoutInCell="1" allowOverlap="1">
              <wp:simplePos x="0" y="0"/>
              <wp:positionH relativeFrom="page">
                <wp:posOffset>993140</wp:posOffset>
              </wp:positionH>
              <wp:positionV relativeFrom="page">
                <wp:posOffset>892175</wp:posOffset>
              </wp:positionV>
              <wp:extent cx="494030" cy="8820785"/>
              <wp:effectExtent l="4445" t="4445" r="15875" b="13970"/>
              <wp:wrapNone/>
              <wp:docPr id="17" name="文本框 18"/>
              <wp:cNvGraphicFramePr/>
              <a:graphic xmlns:a="http://schemas.openxmlformats.org/drawingml/2006/main">
                <a:graphicData uri="http://schemas.microsoft.com/office/word/2010/wordprocessingShape">
                  <wps:wsp>
                    <wps:cNvSpPr txBox="1"/>
                    <wps:spPr>
                      <a:xfrm>
                        <a:off x="0" y="0"/>
                        <a:ext cx="494030" cy="882078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5E27040">
                          <w:pPr>
                            <w:pStyle w:val="35"/>
                            <w:pBdr>
                              <w:bottom w:val="none" w:color="auto" w:sz="0" w:space="0"/>
                            </w:pBdr>
                            <w:rPr>
                              <w:rFonts w:hint="eastAsia"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建设</w:t>
                          </w:r>
                        </w:p>
                        <w:p w14:paraId="59EAD788">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内容</w:t>
                          </w:r>
                        </w:p>
                      </w:txbxContent>
                    </wps:txbx>
                    <wps:bodyPr anchor="ctr" anchorCtr="0" upright="1"/>
                  </wps:wsp>
                </a:graphicData>
              </a:graphic>
            </wp:anchor>
          </w:drawing>
        </mc:Choice>
        <mc:Fallback>
          <w:pict>
            <v:shape id="文本框 18" o:spid="_x0000_s1026" o:spt="202" type="#_x0000_t202" style="position:absolute;left:0pt;margin-left:78.2pt;margin-top:70.25pt;height:694.55pt;width:38.9pt;mso-position-horizontal-relative:page;mso-position-vertical-relative:page;z-index:251671552;v-text-anchor:middle;mso-width-relative:page;mso-height-relative:page;" fillcolor="#FFFFFF" filled="t" stroked="t" coordsize="21600,21600" o:gfxdata="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9xVoNoAAAAM&#10;AQAADwAAAAAAAAABACAAAAAiAAAAZHJzL2Rvd25yZXYueG1sUEsBAhQAFAAAAAgAh07iQMNT0RAa&#10;AgAAUwQAAA4AAAAAAAAAAQAgAAAAKQEAAGRycy9lMm9Eb2MueG1sUEsFBgAAAAAGAAYAWQEAALUF&#10;AAAAAA==&#10;">
              <v:fill on="t" focussize="0,0"/>
              <v:stroke weight="0.5pt" color="#000000" joinstyle="miter"/>
              <v:imagedata o:title=""/>
              <o:lock v:ext="edit" aspectratio="f"/>
              <v:textbox>
                <w:txbxContent>
                  <w:p w14:paraId="15E27040">
                    <w:pPr>
                      <w:pStyle w:val="35"/>
                      <w:pBdr>
                        <w:bottom w:val="none" w:color="auto" w:sz="0" w:space="0"/>
                      </w:pBdr>
                      <w:rPr>
                        <w:rFonts w:hint="eastAsia"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建设</w:t>
                    </w:r>
                  </w:p>
                  <w:p w14:paraId="59EAD788">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内容</w:t>
                    </w:r>
                  </w:p>
                </w:txbxContent>
              </v:textbox>
            </v:shape>
          </w:pict>
        </mc:Fallback>
      </mc:AlternateContent>
    </w:r>
    <w:r>
      <w:rPr>
        <w:rFonts w:hint="eastAsia"/>
        <w:sz w:val="28"/>
        <w:szCs w:val="28"/>
        <w:lang w:val="en-US" w:eastAsia="zh-CN"/>
      </w:rPr>
      <w:t>二</w:t>
    </w:r>
    <w:r>
      <w:rPr>
        <w:rFonts w:hint="eastAsia" w:ascii="宋体" w:hAnsi="宋体" w:eastAsia="宋体"/>
        <w:b/>
        <w:bCs/>
        <w:sz w:val="28"/>
        <w:szCs w:val="28"/>
      </w:rPr>
      <w:t>、建设项目</w:t>
    </w:r>
    <w:r>
      <w:rPr>
        <w:rFonts w:hint="eastAsia" w:ascii="宋体" w:hAnsi="宋体" w:eastAsia="宋体"/>
        <w:b/>
        <w:bCs/>
        <w:sz w:val="28"/>
        <w:szCs w:val="28"/>
        <w:lang w:val="en-US" w:eastAsia="zh-CN"/>
      </w:rPr>
      <w:t>工程分析</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97F3B">
    <w:pPr>
      <w:pStyle w:val="35"/>
      <w:pBdr>
        <w:bottom w:val="none" w:color="auto" w:sz="0" w:space="0"/>
      </w:pBdr>
      <w:ind w:firstLine="2700" w:firstLineChars="1500"/>
      <w:jc w:val="both"/>
      <w:rPr>
        <w:rFonts w:ascii="宋体" w:hAnsi="宋体" w:eastAsia="宋体"/>
        <w:b/>
        <w:bCs/>
        <w:sz w:val="28"/>
        <w:szCs w:val="28"/>
      </w:rPr>
    </w:pPr>
    <w:r>
      <mc:AlternateContent>
        <mc:Choice Requires="wps">
          <w:drawing>
            <wp:anchor distT="0" distB="0" distL="114300" distR="114300" simplePos="0" relativeHeight="251666432" behindDoc="0" locked="0" layoutInCell="1" allowOverlap="1">
              <wp:simplePos x="0" y="0"/>
              <wp:positionH relativeFrom="page">
                <wp:posOffset>1009650</wp:posOffset>
              </wp:positionH>
              <wp:positionV relativeFrom="page">
                <wp:posOffset>899795</wp:posOffset>
              </wp:positionV>
              <wp:extent cx="455930" cy="8822690"/>
              <wp:effectExtent l="4445" t="5080" r="15875" b="11430"/>
              <wp:wrapNone/>
              <wp:docPr id="12" name="文本框 4"/>
              <wp:cNvGraphicFramePr/>
              <a:graphic xmlns:a="http://schemas.openxmlformats.org/drawingml/2006/main">
                <a:graphicData uri="http://schemas.microsoft.com/office/word/2010/wordprocessingShape">
                  <wps:wsp>
                    <wps:cNvSpPr txBox="1"/>
                    <wps:spPr>
                      <a:xfrm>
                        <a:off x="0" y="0"/>
                        <a:ext cx="455930" cy="882269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989E756">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工艺流程及产排污环节</w:t>
                          </w:r>
                        </w:p>
                      </w:txbxContent>
                    </wps:txbx>
                    <wps:bodyPr anchor="ctr" anchorCtr="0" upright="1"/>
                  </wps:wsp>
                </a:graphicData>
              </a:graphic>
            </wp:anchor>
          </w:drawing>
        </mc:Choice>
        <mc:Fallback>
          <w:pict>
            <v:shape id="文本框 4" o:spid="_x0000_s1026" o:spt="202" type="#_x0000_t202" style="position:absolute;left:0pt;margin-left:79.5pt;margin-top:70.85pt;height:694.7pt;width:35.9pt;mso-position-horizontal-relative:page;mso-position-vertical-relative:page;z-index:251666432;v-text-anchor:middle;mso-width-relative:page;mso-height-relative:page;" fillcolor="#FFFFFF" filled="t" stroked="t" coordsize="21600,21600" o:gfxdata="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Owq0H2gAA&#10;AAwBAAAPAAAAAAAAAAEAIAAAACIAAABkcnMvZG93bnJldi54bWxQSwECFAAUAAAACACHTuJAKEjd&#10;GhwCAABSBAAADgAAAAAAAAABACAAAAApAQAAZHJzL2Uyb0RvYy54bWxQSwUGAAAAAAYABgBZAQAA&#10;twUAAAAA&#10;">
              <v:fill on="t" focussize="0,0"/>
              <v:stroke weight="0.5pt" color="#000000" joinstyle="miter"/>
              <v:imagedata o:title=""/>
              <o:lock v:ext="edit" aspectratio="f"/>
              <v:textbox>
                <w:txbxContent>
                  <w:p w14:paraId="3989E756">
                    <w:pPr>
                      <w:pStyle w:val="35"/>
                      <w:pBdr>
                        <w:bottom w:val="none" w:color="auto" w:sz="0" w:space="0"/>
                      </w:pBdr>
                      <w:rPr>
                        <w:rFonts w:hint="default" w:ascii="宋体" w:hAnsi="宋体" w:eastAsia="宋体"/>
                        <w:bCs/>
                        <w:color w:val="000000" w:themeColor="text1"/>
                        <w:sz w:val="24"/>
                        <w:szCs w:val="24"/>
                        <w:lang w:val="en-US" w:eastAsia="zh-CN"/>
                        <w14:textFill>
                          <w14:solidFill>
                            <w14:schemeClr w14:val="tx1"/>
                          </w14:solidFill>
                        </w14:textFill>
                      </w:rPr>
                    </w:pPr>
                    <w:r>
                      <w:rPr>
                        <w:rFonts w:hint="eastAsia" w:ascii="宋体" w:hAnsi="宋体" w:eastAsia="宋体"/>
                        <w:bCs/>
                        <w:color w:val="000000" w:themeColor="text1"/>
                        <w:sz w:val="24"/>
                        <w:szCs w:val="24"/>
                        <w:lang w:val="en-US" w:eastAsia="zh-CN"/>
                        <w14:textFill>
                          <w14:solidFill>
                            <w14:schemeClr w14:val="tx1"/>
                          </w14:solidFill>
                        </w14:textFill>
                      </w:rPr>
                      <w:t>工艺流程及产排污环节</w:t>
                    </w:r>
                  </w:p>
                </w:txbxContent>
              </v:textbox>
            </v:shape>
          </w:pict>
        </mc:Fallback>
      </mc:AlternateContent>
    </w:r>
    <w:r>
      <w:rPr>
        <w:rFonts w:hint="eastAsia" w:ascii="宋体" w:hAnsi="宋体" w:eastAsia="宋体"/>
        <w:b/>
        <w:bCs/>
        <w:sz w:val="28"/>
        <w:szCs w:val="28"/>
      </w:rPr>
      <w:t>二、建设项目工程分析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122F1"/>
    <w:multiLevelType w:val="singleLevel"/>
    <w:tmpl w:val="80E122F1"/>
    <w:lvl w:ilvl="0" w:tentative="0">
      <w:start w:val="1"/>
      <w:numFmt w:val="decimal"/>
      <w:suff w:val="nothing"/>
      <w:lvlText w:val="%1、"/>
      <w:lvlJc w:val="left"/>
    </w:lvl>
  </w:abstractNum>
  <w:abstractNum w:abstractNumId="1">
    <w:nsid w:val="EDEF28E1"/>
    <w:multiLevelType w:val="singleLevel"/>
    <w:tmpl w:val="EDEF28E1"/>
    <w:lvl w:ilvl="0" w:tentative="0">
      <w:start w:val="1"/>
      <w:numFmt w:val="decimal"/>
      <w:suff w:val="nothing"/>
      <w:lvlText w:val="（%1）"/>
      <w:lvlJc w:val="left"/>
    </w:lvl>
  </w:abstractNum>
  <w:abstractNum w:abstractNumId="2">
    <w:nsid w:val="FFFFFF7D"/>
    <w:multiLevelType w:val="singleLevel"/>
    <w:tmpl w:val="FFFFFF7D"/>
    <w:lvl w:ilvl="0" w:tentative="0">
      <w:start w:val="1"/>
      <w:numFmt w:val="decimal"/>
      <w:pStyle w:val="28"/>
      <w:lvlText w:val="%1."/>
      <w:lvlJc w:val="left"/>
      <w:pPr>
        <w:tabs>
          <w:tab w:val="left" w:pos="1620"/>
        </w:tabs>
        <w:ind w:left="1620" w:leftChars="600" w:hanging="360" w:hangingChars="200"/>
      </w:pPr>
    </w:lvl>
  </w:abstractNum>
  <w:abstractNum w:abstractNumId="3">
    <w:nsid w:val="10703BA6"/>
    <w:multiLevelType w:val="multilevel"/>
    <w:tmpl w:val="10703BA6"/>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DA739E5"/>
    <w:multiLevelType w:val="multilevel"/>
    <w:tmpl w:val="1DA739E5"/>
    <w:lvl w:ilvl="0" w:tentative="0">
      <w:start w:val="1"/>
      <w:numFmt w:val="decimal"/>
      <w:pStyle w:val="843"/>
      <w:suff w:val="nothing"/>
      <w:lvlText w:val="%1"/>
      <w:lvlJc w:val="center"/>
      <w:pPr>
        <w:ind w:left="0" w:firstLine="0"/>
      </w:pPr>
      <w:rPr>
        <w:rFonts w:hint="eastAsia"/>
        <w:vanish w:val="0"/>
      </w:rPr>
    </w:lvl>
    <w:lvl w:ilvl="1" w:tentative="0">
      <w:start w:val="1"/>
      <w:numFmt w:val="decimal"/>
      <w:pStyle w:val="838"/>
      <w:suff w:val="nothing"/>
      <w:lvlText w:val="%1.%2"/>
      <w:lvlJc w:val="left"/>
      <w:pPr>
        <w:ind w:left="0" w:firstLine="0"/>
      </w:pPr>
      <w:rPr>
        <w:rFonts w:hint="eastAsia"/>
      </w:rPr>
    </w:lvl>
    <w:lvl w:ilvl="2" w:tentative="0">
      <w:start w:val="1"/>
      <w:numFmt w:val="decimal"/>
      <w:pStyle w:val="841"/>
      <w:suff w:val="nothing"/>
      <w:lvlText w:val="%1.%2.%3"/>
      <w:lvlJc w:val="left"/>
      <w:pPr>
        <w:ind w:left="0" w:firstLine="0"/>
      </w:pPr>
      <w:rPr>
        <w:rFonts w:hint="eastAsia"/>
      </w:rPr>
    </w:lvl>
    <w:lvl w:ilvl="3" w:tentative="0">
      <w:start w:val="1"/>
      <w:numFmt w:val="lowerLetter"/>
      <w:lvlText w:val="%4)"/>
      <w:lvlJc w:val="left"/>
      <w:pPr>
        <w:tabs>
          <w:tab w:val="left" w:pos="-852"/>
        </w:tabs>
        <w:ind w:left="0" w:firstLine="0"/>
      </w:pPr>
      <w:rPr>
        <w:rFonts w:hint="eastAsia"/>
      </w:rPr>
    </w:lvl>
    <w:lvl w:ilvl="4" w:tentative="0">
      <w:start w:val="1"/>
      <w:numFmt w:val="decimal"/>
      <w:lvlText w:val="(%5)"/>
      <w:lvlJc w:val="left"/>
      <w:pPr>
        <w:tabs>
          <w:tab w:val="left" w:pos="-1"/>
        </w:tabs>
        <w:ind w:left="0" w:firstLine="0"/>
      </w:pPr>
      <w:rPr>
        <w:rFonts w:hint="eastAsia"/>
      </w:rPr>
    </w:lvl>
    <w:lvl w:ilvl="5" w:tentative="0">
      <w:start w:val="1"/>
      <w:numFmt w:val="lowerLetter"/>
      <w:lvlText w:val="(%6)"/>
      <w:lvlJc w:val="left"/>
      <w:pPr>
        <w:tabs>
          <w:tab w:val="left" w:pos="849"/>
        </w:tabs>
        <w:ind w:left="0" w:firstLine="0"/>
      </w:pPr>
      <w:rPr>
        <w:rFonts w:hint="eastAsia"/>
      </w:rPr>
    </w:lvl>
    <w:lvl w:ilvl="6" w:tentative="0">
      <w:start w:val="1"/>
      <w:numFmt w:val="lowerRoman"/>
      <w:lvlText w:val="(%7)"/>
      <w:lvlJc w:val="left"/>
      <w:pPr>
        <w:tabs>
          <w:tab w:val="left" w:pos="1700"/>
        </w:tabs>
        <w:ind w:left="0" w:firstLine="0"/>
      </w:pPr>
      <w:rPr>
        <w:rFonts w:hint="eastAsia"/>
      </w:rPr>
    </w:lvl>
    <w:lvl w:ilvl="7" w:tentative="0">
      <w:start w:val="1"/>
      <w:numFmt w:val="lowerLetter"/>
      <w:lvlText w:val="(%8)"/>
      <w:lvlJc w:val="left"/>
      <w:pPr>
        <w:tabs>
          <w:tab w:val="left" w:pos="2550"/>
        </w:tabs>
        <w:ind w:left="0" w:firstLine="0"/>
      </w:pPr>
      <w:rPr>
        <w:rFonts w:hint="eastAsia"/>
      </w:rPr>
    </w:lvl>
    <w:lvl w:ilvl="8" w:tentative="0">
      <w:start w:val="1"/>
      <w:numFmt w:val="lowerRoman"/>
      <w:lvlText w:val="(%9)"/>
      <w:lvlJc w:val="left"/>
      <w:pPr>
        <w:tabs>
          <w:tab w:val="left" w:pos="3400"/>
        </w:tabs>
        <w:ind w:left="0" w:firstLine="0"/>
      </w:pPr>
      <w:rPr>
        <w:rFonts w:hint="eastAsia"/>
      </w:rPr>
    </w:lvl>
  </w:abstractNum>
  <w:abstractNum w:abstractNumId="5">
    <w:nsid w:val="1F4F4C03"/>
    <w:multiLevelType w:val="multilevel"/>
    <w:tmpl w:val="1F4F4C03"/>
    <w:lvl w:ilvl="0" w:tentative="0">
      <w:start w:val="1"/>
      <w:numFmt w:val="decimal"/>
      <w:pStyle w:val="835"/>
      <w:suff w:val="nothing"/>
      <w:lvlText w:val="%1"/>
      <w:lvlJc w:val="center"/>
      <w:pPr>
        <w:ind w:left="582"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6E11DC3"/>
    <w:multiLevelType w:val="singleLevel"/>
    <w:tmpl w:val="26E11DC3"/>
    <w:lvl w:ilvl="0" w:tentative="0">
      <w:start w:val="1"/>
      <w:numFmt w:val="decimal"/>
      <w:suff w:val="nothing"/>
      <w:lvlText w:val="%1、"/>
      <w:lvlJc w:val="left"/>
    </w:lvl>
  </w:abstractNum>
  <w:abstractNum w:abstractNumId="7">
    <w:nsid w:val="38976C31"/>
    <w:multiLevelType w:val="singleLevel"/>
    <w:tmpl w:val="38976C31"/>
    <w:lvl w:ilvl="0" w:tentative="0">
      <w:start w:val="1"/>
      <w:numFmt w:val="decimal"/>
      <w:suff w:val="nothing"/>
      <w:lvlText w:val="%1、"/>
      <w:lvlJc w:val="left"/>
    </w:lvl>
  </w:abstractNum>
  <w:abstractNum w:abstractNumId="8">
    <w:nsid w:val="40E3EE89"/>
    <w:multiLevelType w:val="singleLevel"/>
    <w:tmpl w:val="40E3EE89"/>
    <w:lvl w:ilvl="0" w:tentative="0">
      <w:start w:val="2"/>
      <w:numFmt w:val="decimal"/>
      <w:suff w:val="nothing"/>
      <w:lvlText w:val="（%1）"/>
      <w:lvlJc w:val="left"/>
    </w:lvl>
  </w:abstractNum>
  <w:abstractNum w:abstractNumId="9">
    <w:nsid w:val="741F132C"/>
    <w:multiLevelType w:val="multilevel"/>
    <w:tmpl w:val="741F132C"/>
    <w:lvl w:ilvl="0" w:tentative="0">
      <w:start w:val="1"/>
      <w:numFmt w:val="decimal"/>
      <w:lvlText w:val="%1."/>
      <w:lvlJc w:val="left"/>
      <w:pPr>
        <w:ind w:left="210"/>
      </w:pPr>
      <w:rPr>
        <w:rFonts w:hint="default" w:ascii="Times New Roman" w:hAnsi="Times New Roman" w:eastAsia="宋体"/>
        <w:b/>
        <w:i w:val="0"/>
        <w:caps w:val="0"/>
        <w:strike w:val="0"/>
        <w:dstrike w:val="0"/>
        <w:vanish w:val="0"/>
        <w:color w:val="FFFFFF" w:themeColor="background1"/>
        <w:sz w:val="28"/>
        <w:vertAlign w:val="baseline"/>
        <w14:textFill>
          <w14:solidFill>
            <w14:schemeClr w14:val="bg1"/>
          </w14:solidFill>
        </w14:textFill>
      </w:rPr>
    </w:lvl>
    <w:lvl w:ilvl="1" w:tentative="0">
      <w:start w:val="1"/>
      <w:numFmt w:val="decimal"/>
      <w:isLgl/>
      <w:suff w:val="nothing"/>
      <w:lvlText w:val="%1.%2 "/>
      <w:lvlJc w:val="left"/>
      <w:pPr>
        <w:ind w:left="920" w:firstLine="0"/>
      </w:pPr>
      <w:rPr>
        <w:rFonts w:hint="default" w:ascii="Arial" w:hAnsi="Arial" w:eastAsia="宋体" w:cs="Arial"/>
        <w:b/>
        <w:color w:val="auto"/>
        <w:sz w:val="24"/>
        <w:szCs w:val="24"/>
      </w:rPr>
    </w:lvl>
    <w:lvl w:ilvl="2" w:tentative="0">
      <w:start w:val="1"/>
      <w:numFmt w:val="decimal"/>
      <w:suff w:val="nothing"/>
      <w:lvlText w:val="%1.%2.%3 "/>
      <w:lvlJc w:val="left"/>
      <w:pPr>
        <w:ind w:left="493" w:hanging="283"/>
      </w:pPr>
      <w:rPr>
        <w:rFonts w:hint="default" w:ascii="Arial" w:hAnsi="Arial" w:cs="Arial"/>
        <w:b/>
        <w:i w:val="0"/>
        <w:color w:val="auto"/>
        <w:sz w:val="24"/>
      </w:rPr>
    </w:lvl>
    <w:lvl w:ilvl="3" w:tentative="0">
      <w:start w:val="1"/>
      <w:numFmt w:val="decimal"/>
      <w:lvlRestart w:val="1"/>
      <w:suff w:val="nothing"/>
      <w:lvlText w:val="表%1-%4"/>
      <w:lvlJc w:val="center"/>
      <w:pPr>
        <w:ind w:left="777" w:firstLine="0"/>
      </w:pPr>
      <w:rPr>
        <w:rFonts w:hint="default" w:ascii="Arial" w:hAnsi="Arial" w:eastAsia="宋体" w:cs="Arial"/>
        <w:b/>
        <w:i w:val="0"/>
        <w:color w:val="auto"/>
        <w:kern w:val="0"/>
        <w:sz w:val="24"/>
        <w:szCs w:val="24"/>
      </w:rPr>
    </w:lvl>
    <w:lvl w:ilvl="4" w:tentative="0">
      <w:start w:val="1"/>
      <w:numFmt w:val="decimal"/>
      <w:suff w:val="nothing"/>
      <w:lvlText w:val="%1.%2.%3.%5"/>
      <w:lvlJc w:val="left"/>
      <w:pPr>
        <w:ind w:left="662" w:firstLine="0"/>
      </w:pPr>
      <w:rPr>
        <w:rFonts w:hint="default" w:ascii="Arial" w:hAnsi="Arial" w:cs="Arial"/>
        <w:sz w:val="24"/>
        <w:szCs w:val="24"/>
      </w:rPr>
    </w:lvl>
    <w:lvl w:ilvl="5" w:tentative="0">
      <w:start w:val="1"/>
      <w:numFmt w:val="decimal"/>
      <w:suff w:val="nothing"/>
      <w:lvlText w:val="图%1-%6"/>
      <w:lvlJc w:val="left"/>
      <w:pPr>
        <w:ind w:left="775" w:firstLine="0"/>
      </w:pPr>
      <w:rPr>
        <w:rFonts w:hint="eastAsia"/>
      </w:rPr>
    </w:lvl>
    <w:lvl w:ilvl="6" w:tentative="0">
      <w:start w:val="1"/>
      <w:numFmt w:val="decimal"/>
      <w:lvlText w:val="%1.%2.%3.%4.%5.%6.%7."/>
      <w:lvlJc w:val="left"/>
      <w:pPr>
        <w:tabs>
          <w:tab w:val="left" w:pos="4363"/>
        </w:tabs>
        <w:ind w:left="888" w:firstLine="0"/>
      </w:pPr>
      <w:rPr>
        <w:rFonts w:hint="eastAsia"/>
      </w:rPr>
    </w:lvl>
    <w:lvl w:ilvl="7" w:tentative="0">
      <w:start w:val="1"/>
      <w:numFmt w:val="decimal"/>
      <w:lvlText w:val="%1.%2.%3.%4.%5.%6.%7.%8."/>
      <w:lvlJc w:val="left"/>
      <w:pPr>
        <w:tabs>
          <w:tab w:val="left" w:pos="4476"/>
        </w:tabs>
        <w:ind w:left="1001" w:firstLine="0"/>
      </w:pPr>
      <w:rPr>
        <w:rFonts w:hint="eastAsia"/>
      </w:rPr>
    </w:lvl>
    <w:lvl w:ilvl="8" w:tentative="0">
      <w:start w:val="1"/>
      <w:numFmt w:val="decimal"/>
      <w:lvlText w:val="%1.%2.%3.%4.%5.%6.%7.%8.%9."/>
      <w:lvlJc w:val="left"/>
      <w:pPr>
        <w:tabs>
          <w:tab w:val="left" w:pos="4589"/>
        </w:tabs>
        <w:ind w:left="1114" w:firstLine="0"/>
      </w:pPr>
      <w:rPr>
        <w:rFonts w:hint="eastAsia"/>
      </w:rPr>
    </w:lvl>
  </w:abstractNum>
  <w:num w:numId="1">
    <w:abstractNumId w:val="2"/>
  </w:num>
  <w:num w:numId="2">
    <w:abstractNumId w:val="5"/>
  </w:num>
  <w:num w:numId="3">
    <w:abstractNumId w:val="4"/>
  </w:num>
  <w:num w:numId="4">
    <w:abstractNumId w:val="7"/>
  </w:num>
  <w:num w:numId="5">
    <w:abstractNumId w:val="9"/>
  </w:num>
  <w:num w:numId="6">
    <w:abstractNumId w:val="9"/>
    <w:lvlOverride w:ilvl="0">
      <w:lvl w:ilvl="0" w:tentative="1">
        <w:start w:val="1"/>
        <w:numFmt w:val="decimal"/>
        <w:lvlText w:val="%1."/>
        <w:lvlJc w:val="left"/>
        <w:pPr>
          <w:tabs>
            <w:tab w:val="left" w:pos="993"/>
          </w:tabs>
          <w:ind w:left="567" w:hanging="567"/>
        </w:pPr>
        <w:rPr>
          <w:rFonts w:hint="default" w:ascii="Times New Roman" w:hAnsi="Times New Roman" w:eastAsia="宋体"/>
          <w:b/>
          <w:i w:val="0"/>
          <w:caps w:val="0"/>
          <w:strike w:val="0"/>
          <w:dstrike w:val="0"/>
          <w:outline w:val="0"/>
          <w:shadow w:val="0"/>
          <w:emboss w:val="0"/>
          <w:imprint w:val="0"/>
          <w:vanish w:val="0"/>
          <w:sz w:val="28"/>
          <w:vertAlign w:val="baseline"/>
        </w:rPr>
      </w:lvl>
    </w:lvlOverride>
    <w:lvlOverride w:ilvl="1">
      <w:lvl w:ilvl="1" w:tentative="1">
        <w:start w:val="1"/>
        <w:numFmt w:val="decimal"/>
        <w:isLgl/>
        <w:suff w:val="nothing"/>
        <w:lvlText w:val="%1.%2 "/>
        <w:lvlJc w:val="left"/>
        <w:pPr>
          <w:ind w:left="710" w:firstLine="0"/>
        </w:pPr>
        <w:rPr>
          <w:rFonts w:hint="default" w:ascii="Times New Roman" w:hAnsi="Times New Roman" w:eastAsia="宋体" w:cs="Times New Roman"/>
          <w:b/>
          <w:color w:val="auto"/>
          <w:sz w:val="28"/>
          <w:szCs w:val="28"/>
        </w:rPr>
      </w:lvl>
    </w:lvlOverride>
    <w:lvlOverride w:ilvl="2">
      <w:lvl w:ilvl="2" w:tentative="1">
        <w:start w:val="1"/>
        <w:numFmt w:val="decimal"/>
        <w:suff w:val="nothing"/>
        <w:lvlText w:val="%1.%2.%3 "/>
        <w:lvlJc w:val="left"/>
        <w:pPr>
          <w:ind w:left="3118" w:hanging="3118"/>
        </w:pPr>
        <w:rPr>
          <w:rFonts w:hint="default" w:ascii="Arial" w:hAnsi="Arial" w:cs="Arial"/>
          <w:b/>
          <w:i w:val="0"/>
          <w:color w:val="auto"/>
          <w:sz w:val="24"/>
        </w:rPr>
      </w:lvl>
    </w:lvlOverride>
    <w:lvlOverride w:ilvl="3">
      <w:lvl w:ilvl="3" w:tentative="1">
        <w:start w:val="1"/>
        <w:numFmt w:val="decimal"/>
        <w:lvlRestart w:val="1"/>
        <w:suff w:val="nothing"/>
        <w:lvlText w:val="表%1-%4"/>
        <w:lvlJc w:val="center"/>
        <w:pPr>
          <w:ind w:left="567" w:firstLine="0"/>
        </w:pPr>
        <w:rPr>
          <w:rFonts w:hint="default" w:ascii="Times New Roman" w:hAnsi="Times New Roman" w:eastAsia="仿宋" w:cs="Times New Roman"/>
          <w:b/>
          <w:i w:val="0"/>
          <w:color w:val="auto"/>
          <w:kern w:val="0"/>
          <w:sz w:val="24"/>
          <w:szCs w:val="24"/>
        </w:rPr>
      </w:lvl>
    </w:lvlOverride>
    <w:lvlOverride w:ilvl="4">
      <w:lvl w:ilvl="4" w:tentative="1">
        <w:start w:val="1"/>
        <w:numFmt w:val="decimal"/>
        <w:suff w:val="nothing"/>
        <w:lvlText w:val="%1.%2.%3.%5"/>
        <w:lvlJc w:val="left"/>
        <w:pPr>
          <w:ind w:left="452" w:firstLine="0"/>
        </w:pPr>
        <w:rPr>
          <w:rFonts w:hint="default" w:ascii="Arial" w:hAnsi="Arial" w:cs="Arial"/>
          <w:sz w:val="24"/>
          <w:szCs w:val="24"/>
        </w:rPr>
      </w:lvl>
    </w:lvlOverride>
    <w:lvlOverride w:ilvl="5">
      <w:lvl w:ilvl="5" w:tentative="1">
        <w:start w:val="1"/>
        <w:numFmt w:val="decimal"/>
        <w:suff w:val="nothing"/>
        <w:lvlText w:val="图%1-%6"/>
        <w:lvlJc w:val="left"/>
        <w:pPr>
          <w:ind w:left="565" w:firstLine="0"/>
        </w:pPr>
        <w:rPr>
          <w:rFonts w:hint="eastAsia"/>
        </w:rPr>
      </w:lvl>
    </w:lvlOverride>
    <w:lvlOverride w:ilvl="6">
      <w:lvl w:ilvl="6" w:tentative="1">
        <w:start w:val="1"/>
        <w:numFmt w:val="decimal"/>
        <w:lvlText w:val="%1.%2.%3.%4.%5.%6.%7."/>
        <w:lvlJc w:val="left"/>
        <w:pPr>
          <w:tabs>
            <w:tab w:val="left" w:pos="4363"/>
          </w:tabs>
          <w:ind w:left="678" w:firstLine="0"/>
        </w:pPr>
        <w:rPr>
          <w:rFonts w:hint="eastAsia"/>
        </w:rPr>
      </w:lvl>
    </w:lvlOverride>
    <w:lvlOverride w:ilvl="7">
      <w:lvl w:ilvl="7" w:tentative="1">
        <w:start w:val="1"/>
        <w:numFmt w:val="decimal"/>
        <w:lvlText w:val="%1.%2.%3.%4.%5.%6.%7.%8."/>
        <w:lvlJc w:val="left"/>
        <w:pPr>
          <w:tabs>
            <w:tab w:val="left" w:pos="4476"/>
          </w:tabs>
          <w:ind w:left="791" w:firstLine="0"/>
        </w:pPr>
        <w:rPr>
          <w:rFonts w:hint="eastAsia"/>
        </w:rPr>
      </w:lvl>
    </w:lvlOverride>
    <w:lvlOverride w:ilvl="8">
      <w:lvl w:ilvl="8" w:tentative="1">
        <w:start w:val="1"/>
        <w:numFmt w:val="decimal"/>
        <w:lvlText w:val="%1.%2.%3.%4.%5.%6.%7.%8.%9."/>
        <w:lvlJc w:val="left"/>
        <w:pPr>
          <w:tabs>
            <w:tab w:val="left" w:pos="4589"/>
          </w:tabs>
          <w:ind w:left="904" w:firstLine="0"/>
        </w:pPr>
        <w:rPr>
          <w:rFonts w:hint="eastAsia"/>
        </w:rPr>
      </w:lvl>
    </w:lvlOverride>
  </w:num>
  <w:num w:numId="7">
    <w:abstractNumId w:val="9"/>
    <w:lvlOverride w:ilvl="0">
      <w:lvl w:ilvl="0" w:tentative="1">
        <w:start w:val="1"/>
        <w:numFmt w:val="decimal"/>
        <w:lvlText w:val="%1."/>
        <w:lvlJc w:val="left"/>
        <w:pPr>
          <w:tabs>
            <w:tab w:val="left" w:pos="993"/>
          </w:tabs>
          <w:ind w:left="567" w:hanging="567"/>
        </w:pPr>
        <w:rPr>
          <w:rFonts w:hint="default" w:ascii="Times New Roman" w:hAnsi="Times New Roman" w:eastAsia="宋体"/>
          <w:b/>
          <w:i w:val="0"/>
          <w:caps w:val="0"/>
          <w:strike w:val="0"/>
          <w:dstrike w:val="0"/>
          <w:outline w:val="0"/>
          <w:shadow w:val="0"/>
          <w:emboss w:val="0"/>
          <w:imprint w:val="0"/>
          <w:vanish w:val="0"/>
          <w:sz w:val="28"/>
          <w:vertAlign w:val="baseline"/>
        </w:rPr>
      </w:lvl>
    </w:lvlOverride>
    <w:lvlOverride w:ilvl="1">
      <w:lvl w:ilvl="1" w:tentative="1">
        <w:start w:val="1"/>
        <w:numFmt w:val="decimal"/>
        <w:isLgl/>
        <w:suff w:val="nothing"/>
        <w:lvlText w:val="%1.%2 "/>
        <w:lvlJc w:val="left"/>
        <w:pPr>
          <w:ind w:left="710" w:firstLine="0"/>
        </w:pPr>
        <w:rPr>
          <w:rFonts w:hint="default" w:ascii="Times New Roman" w:hAnsi="Times New Roman" w:eastAsia="宋体" w:cs="Times New Roman"/>
          <w:b/>
          <w:color w:val="auto"/>
          <w:sz w:val="28"/>
          <w:szCs w:val="28"/>
        </w:rPr>
      </w:lvl>
    </w:lvlOverride>
    <w:lvlOverride w:ilvl="2">
      <w:lvl w:ilvl="2" w:tentative="1">
        <w:start w:val="1"/>
        <w:numFmt w:val="decimal"/>
        <w:suff w:val="nothing"/>
        <w:lvlText w:val="%1.%2.%3 "/>
        <w:lvlJc w:val="left"/>
        <w:pPr>
          <w:ind w:left="3118" w:hanging="283"/>
        </w:pPr>
        <w:rPr>
          <w:rFonts w:hint="default" w:ascii="Times New Roman" w:hAnsi="Times New Roman" w:cs="Times New Roman"/>
          <w:b/>
          <w:i w:val="0"/>
          <w:color w:val="auto"/>
          <w:sz w:val="24"/>
        </w:rPr>
      </w:lvl>
    </w:lvlOverride>
    <w:lvlOverride w:ilvl="3">
      <w:lvl w:ilvl="3" w:tentative="1">
        <w:start w:val="1"/>
        <w:numFmt w:val="decimal"/>
        <w:lvlRestart w:val="1"/>
        <w:suff w:val="nothing"/>
        <w:lvlText w:val="表%1-%4"/>
        <w:lvlJc w:val="center"/>
        <w:pPr>
          <w:ind w:left="567" w:firstLine="0"/>
        </w:pPr>
        <w:rPr>
          <w:rFonts w:hint="default" w:ascii="Times New Roman" w:hAnsi="Times New Roman" w:eastAsia="仿宋" w:cs="Times New Roman"/>
          <w:b/>
          <w:i w:val="0"/>
          <w:color w:val="auto"/>
          <w:kern w:val="0"/>
          <w:sz w:val="24"/>
          <w:szCs w:val="24"/>
        </w:rPr>
      </w:lvl>
    </w:lvlOverride>
    <w:lvlOverride w:ilvl="4">
      <w:lvl w:ilvl="4" w:tentative="1">
        <w:start w:val="1"/>
        <w:numFmt w:val="decimal"/>
        <w:suff w:val="nothing"/>
        <w:lvlText w:val="%1.%2.%3.%5"/>
        <w:lvlJc w:val="left"/>
        <w:pPr>
          <w:ind w:left="452" w:firstLine="0"/>
        </w:pPr>
        <w:rPr>
          <w:rFonts w:hint="default" w:ascii="Arial" w:hAnsi="Arial" w:cs="Arial"/>
          <w:sz w:val="24"/>
          <w:szCs w:val="24"/>
        </w:rPr>
      </w:lvl>
    </w:lvlOverride>
    <w:lvlOverride w:ilvl="5">
      <w:lvl w:ilvl="5" w:tentative="1">
        <w:start w:val="1"/>
        <w:numFmt w:val="decimal"/>
        <w:suff w:val="nothing"/>
        <w:lvlText w:val="图%1-%6"/>
        <w:lvlJc w:val="left"/>
        <w:pPr>
          <w:ind w:left="565" w:firstLine="0"/>
        </w:pPr>
        <w:rPr>
          <w:rFonts w:hint="eastAsia"/>
        </w:rPr>
      </w:lvl>
    </w:lvlOverride>
    <w:lvlOverride w:ilvl="6">
      <w:lvl w:ilvl="6" w:tentative="1">
        <w:start w:val="1"/>
        <w:numFmt w:val="decimal"/>
        <w:lvlText w:val="%1.%2.%3.%4.%5.%6.%7."/>
        <w:lvlJc w:val="left"/>
        <w:pPr>
          <w:tabs>
            <w:tab w:val="left" w:pos="4363"/>
          </w:tabs>
          <w:ind w:left="678" w:firstLine="0"/>
        </w:pPr>
        <w:rPr>
          <w:rFonts w:hint="eastAsia"/>
        </w:rPr>
      </w:lvl>
    </w:lvlOverride>
    <w:lvlOverride w:ilvl="7">
      <w:lvl w:ilvl="7" w:tentative="1">
        <w:start w:val="1"/>
        <w:numFmt w:val="decimal"/>
        <w:lvlText w:val="%1.%2.%3.%4.%5.%6.%7.%8."/>
        <w:lvlJc w:val="left"/>
        <w:pPr>
          <w:tabs>
            <w:tab w:val="left" w:pos="4476"/>
          </w:tabs>
          <w:ind w:left="791" w:firstLine="0"/>
        </w:pPr>
        <w:rPr>
          <w:rFonts w:hint="eastAsia"/>
        </w:rPr>
      </w:lvl>
    </w:lvlOverride>
    <w:lvlOverride w:ilvl="8">
      <w:lvl w:ilvl="8" w:tentative="1">
        <w:start w:val="1"/>
        <w:numFmt w:val="decimal"/>
        <w:lvlText w:val="%1.%2.%3.%4.%5.%6.%7.%8.%9."/>
        <w:lvlJc w:val="left"/>
        <w:pPr>
          <w:tabs>
            <w:tab w:val="left" w:pos="4589"/>
          </w:tabs>
          <w:ind w:left="904" w:firstLine="0"/>
        </w:pPr>
        <w:rPr>
          <w:rFonts w:hint="eastAsia"/>
        </w:rPr>
      </w:lvl>
    </w:lvlOverride>
  </w:num>
  <w:num w:numId="8">
    <w:abstractNumId w:val="6"/>
  </w:num>
  <w:num w:numId="9">
    <w:abstractNumId w:val="1"/>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D50"/>
    <w:rsid w:val="000001DC"/>
    <w:rsid w:val="00000225"/>
    <w:rsid w:val="00000E4D"/>
    <w:rsid w:val="00001011"/>
    <w:rsid w:val="00001351"/>
    <w:rsid w:val="0000145C"/>
    <w:rsid w:val="000014DF"/>
    <w:rsid w:val="00001F33"/>
    <w:rsid w:val="00002238"/>
    <w:rsid w:val="000026B3"/>
    <w:rsid w:val="00002AD0"/>
    <w:rsid w:val="0000322C"/>
    <w:rsid w:val="0000349E"/>
    <w:rsid w:val="000034A9"/>
    <w:rsid w:val="00003880"/>
    <w:rsid w:val="00003F13"/>
    <w:rsid w:val="0000549A"/>
    <w:rsid w:val="000062A0"/>
    <w:rsid w:val="000064BF"/>
    <w:rsid w:val="00006534"/>
    <w:rsid w:val="00006605"/>
    <w:rsid w:val="0000665A"/>
    <w:rsid w:val="00006F33"/>
    <w:rsid w:val="000073C9"/>
    <w:rsid w:val="00007671"/>
    <w:rsid w:val="00007AB7"/>
    <w:rsid w:val="00010940"/>
    <w:rsid w:val="000119AE"/>
    <w:rsid w:val="00011CF2"/>
    <w:rsid w:val="00012B3B"/>
    <w:rsid w:val="00012CD8"/>
    <w:rsid w:val="00012D91"/>
    <w:rsid w:val="0001351F"/>
    <w:rsid w:val="00013631"/>
    <w:rsid w:val="00013AA7"/>
    <w:rsid w:val="00014378"/>
    <w:rsid w:val="000147C4"/>
    <w:rsid w:val="000148F3"/>
    <w:rsid w:val="00014DF1"/>
    <w:rsid w:val="00015817"/>
    <w:rsid w:val="00015B77"/>
    <w:rsid w:val="00015D10"/>
    <w:rsid w:val="00016247"/>
    <w:rsid w:val="00016974"/>
    <w:rsid w:val="00016BBB"/>
    <w:rsid w:val="0001729B"/>
    <w:rsid w:val="0001763B"/>
    <w:rsid w:val="00017CE0"/>
    <w:rsid w:val="00017D4F"/>
    <w:rsid w:val="00017F9D"/>
    <w:rsid w:val="00020A2D"/>
    <w:rsid w:val="000219A1"/>
    <w:rsid w:val="00022110"/>
    <w:rsid w:val="000222FC"/>
    <w:rsid w:val="0002236C"/>
    <w:rsid w:val="00022DA0"/>
    <w:rsid w:val="00022EA8"/>
    <w:rsid w:val="00022F9D"/>
    <w:rsid w:val="0002301C"/>
    <w:rsid w:val="000235CB"/>
    <w:rsid w:val="00023726"/>
    <w:rsid w:val="000237CE"/>
    <w:rsid w:val="00023BFE"/>
    <w:rsid w:val="000249C5"/>
    <w:rsid w:val="000249F9"/>
    <w:rsid w:val="00024A61"/>
    <w:rsid w:val="00025FDC"/>
    <w:rsid w:val="000272F4"/>
    <w:rsid w:val="000274AB"/>
    <w:rsid w:val="00027538"/>
    <w:rsid w:val="00027783"/>
    <w:rsid w:val="0002790A"/>
    <w:rsid w:val="00027AFE"/>
    <w:rsid w:val="00027C9A"/>
    <w:rsid w:val="00027D07"/>
    <w:rsid w:val="00027D37"/>
    <w:rsid w:val="00027FB1"/>
    <w:rsid w:val="00030134"/>
    <w:rsid w:val="0003041C"/>
    <w:rsid w:val="00030910"/>
    <w:rsid w:val="00031214"/>
    <w:rsid w:val="000313A3"/>
    <w:rsid w:val="000321DB"/>
    <w:rsid w:val="00032FEF"/>
    <w:rsid w:val="000338F1"/>
    <w:rsid w:val="0003390B"/>
    <w:rsid w:val="00034013"/>
    <w:rsid w:val="00034385"/>
    <w:rsid w:val="00034EAA"/>
    <w:rsid w:val="000351F4"/>
    <w:rsid w:val="00035A33"/>
    <w:rsid w:val="00036145"/>
    <w:rsid w:val="0003642A"/>
    <w:rsid w:val="000367BE"/>
    <w:rsid w:val="000370FF"/>
    <w:rsid w:val="000374D9"/>
    <w:rsid w:val="00037682"/>
    <w:rsid w:val="000376F0"/>
    <w:rsid w:val="0003782D"/>
    <w:rsid w:val="000379BA"/>
    <w:rsid w:val="00037C84"/>
    <w:rsid w:val="00037DA4"/>
    <w:rsid w:val="0004004A"/>
    <w:rsid w:val="0004099A"/>
    <w:rsid w:val="00041ECE"/>
    <w:rsid w:val="00042966"/>
    <w:rsid w:val="00042D49"/>
    <w:rsid w:val="00042D51"/>
    <w:rsid w:val="000436B3"/>
    <w:rsid w:val="00044BC3"/>
    <w:rsid w:val="00045186"/>
    <w:rsid w:val="0004549D"/>
    <w:rsid w:val="0004552D"/>
    <w:rsid w:val="00045D4D"/>
    <w:rsid w:val="00045D7A"/>
    <w:rsid w:val="00045E27"/>
    <w:rsid w:val="00045FA5"/>
    <w:rsid w:val="0004656E"/>
    <w:rsid w:val="000477F5"/>
    <w:rsid w:val="00050B64"/>
    <w:rsid w:val="00050C2C"/>
    <w:rsid w:val="00050E6A"/>
    <w:rsid w:val="000511E0"/>
    <w:rsid w:val="00051B20"/>
    <w:rsid w:val="00051EB3"/>
    <w:rsid w:val="000523C0"/>
    <w:rsid w:val="000523F5"/>
    <w:rsid w:val="00052AE5"/>
    <w:rsid w:val="00052B7E"/>
    <w:rsid w:val="0005323A"/>
    <w:rsid w:val="00053297"/>
    <w:rsid w:val="000533B0"/>
    <w:rsid w:val="000536E1"/>
    <w:rsid w:val="0005446D"/>
    <w:rsid w:val="00054673"/>
    <w:rsid w:val="0005550F"/>
    <w:rsid w:val="000556D8"/>
    <w:rsid w:val="00055FFF"/>
    <w:rsid w:val="00056269"/>
    <w:rsid w:val="0005652C"/>
    <w:rsid w:val="000567DC"/>
    <w:rsid w:val="00056DDF"/>
    <w:rsid w:val="000575E3"/>
    <w:rsid w:val="00057AEB"/>
    <w:rsid w:val="00057BB7"/>
    <w:rsid w:val="00057C0D"/>
    <w:rsid w:val="00057D23"/>
    <w:rsid w:val="000600BF"/>
    <w:rsid w:val="00060771"/>
    <w:rsid w:val="000613BF"/>
    <w:rsid w:val="00061C60"/>
    <w:rsid w:val="00061E85"/>
    <w:rsid w:val="000620E5"/>
    <w:rsid w:val="000621DC"/>
    <w:rsid w:val="00062214"/>
    <w:rsid w:val="000624A9"/>
    <w:rsid w:val="000628AA"/>
    <w:rsid w:val="00062AE5"/>
    <w:rsid w:val="00062C00"/>
    <w:rsid w:val="00062CB1"/>
    <w:rsid w:val="00062E2B"/>
    <w:rsid w:val="00062F71"/>
    <w:rsid w:val="000631CF"/>
    <w:rsid w:val="0006385E"/>
    <w:rsid w:val="000641D7"/>
    <w:rsid w:val="00064600"/>
    <w:rsid w:val="000647B1"/>
    <w:rsid w:val="00064AC8"/>
    <w:rsid w:val="00064AF2"/>
    <w:rsid w:val="000653B6"/>
    <w:rsid w:val="00065A3B"/>
    <w:rsid w:val="00065A9F"/>
    <w:rsid w:val="00065C01"/>
    <w:rsid w:val="000660B0"/>
    <w:rsid w:val="00066697"/>
    <w:rsid w:val="000669D6"/>
    <w:rsid w:val="00066AA7"/>
    <w:rsid w:val="00066AFF"/>
    <w:rsid w:val="00066D79"/>
    <w:rsid w:val="00066E58"/>
    <w:rsid w:val="00066FE6"/>
    <w:rsid w:val="00066FF8"/>
    <w:rsid w:val="00067308"/>
    <w:rsid w:val="00067A06"/>
    <w:rsid w:val="0007003A"/>
    <w:rsid w:val="00070119"/>
    <w:rsid w:val="00070230"/>
    <w:rsid w:val="000705C4"/>
    <w:rsid w:val="00070956"/>
    <w:rsid w:val="0007109B"/>
    <w:rsid w:val="00071389"/>
    <w:rsid w:val="000716FD"/>
    <w:rsid w:val="00071E70"/>
    <w:rsid w:val="000728C9"/>
    <w:rsid w:val="000729A7"/>
    <w:rsid w:val="00072B9C"/>
    <w:rsid w:val="00073896"/>
    <w:rsid w:val="00073FAE"/>
    <w:rsid w:val="00074AF1"/>
    <w:rsid w:val="00075AB6"/>
    <w:rsid w:val="00076136"/>
    <w:rsid w:val="000762DE"/>
    <w:rsid w:val="00076FAE"/>
    <w:rsid w:val="000777F7"/>
    <w:rsid w:val="00077A46"/>
    <w:rsid w:val="00077B43"/>
    <w:rsid w:val="000800DD"/>
    <w:rsid w:val="00080415"/>
    <w:rsid w:val="0008067D"/>
    <w:rsid w:val="00080714"/>
    <w:rsid w:val="00080770"/>
    <w:rsid w:val="00080CCD"/>
    <w:rsid w:val="00080DCC"/>
    <w:rsid w:val="000813D5"/>
    <w:rsid w:val="00081A75"/>
    <w:rsid w:val="00081E4E"/>
    <w:rsid w:val="00082984"/>
    <w:rsid w:val="00082C00"/>
    <w:rsid w:val="00084A1E"/>
    <w:rsid w:val="00084F2C"/>
    <w:rsid w:val="0008515B"/>
    <w:rsid w:val="00085523"/>
    <w:rsid w:val="000855B5"/>
    <w:rsid w:val="00085BA2"/>
    <w:rsid w:val="00086493"/>
    <w:rsid w:val="00086E0D"/>
    <w:rsid w:val="00087158"/>
    <w:rsid w:val="000872D2"/>
    <w:rsid w:val="000875C3"/>
    <w:rsid w:val="000875FA"/>
    <w:rsid w:val="00087AB7"/>
    <w:rsid w:val="00087B2D"/>
    <w:rsid w:val="00090554"/>
    <w:rsid w:val="000905A8"/>
    <w:rsid w:val="00091262"/>
    <w:rsid w:val="000916A0"/>
    <w:rsid w:val="00091818"/>
    <w:rsid w:val="00091920"/>
    <w:rsid w:val="00091FEA"/>
    <w:rsid w:val="0009252E"/>
    <w:rsid w:val="00092D45"/>
    <w:rsid w:val="00093942"/>
    <w:rsid w:val="00093DF8"/>
    <w:rsid w:val="0009455D"/>
    <w:rsid w:val="00095C3C"/>
    <w:rsid w:val="00095C3E"/>
    <w:rsid w:val="000961E9"/>
    <w:rsid w:val="000968CF"/>
    <w:rsid w:val="00096A9C"/>
    <w:rsid w:val="00096C2F"/>
    <w:rsid w:val="00096D62"/>
    <w:rsid w:val="00097480"/>
    <w:rsid w:val="00097645"/>
    <w:rsid w:val="000A1333"/>
    <w:rsid w:val="000A2585"/>
    <w:rsid w:val="000A2A55"/>
    <w:rsid w:val="000A2CF3"/>
    <w:rsid w:val="000A32BC"/>
    <w:rsid w:val="000A34FB"/>
    <w:rsid w:val="000A4808"/>
    <w:rsid w:val="000A4F16"/>
    <w:rsid w:val="000A523D"/>
    <w:rsid w:val="000A5352"/>
    <w:rsid w:val="000A54CE"/>
    <w:rsid w:val="000A5629"/>
    <w:rsid w:val="000A580A"/>
    <w:rsid w:val="000A5AE1"/>
    <w:rsid w:val="000A6570"/>
    <w:rsid w:val="000A6643"/>
    <w:rsid w:val="000A68D6"/>
    <w:rsid w:val="000A7147"/>
    <w:rsid w:val="000A740A"/>
    <w:rsid w:val="000A7A15"/>
    <w:rsid w:val="000A7B7F"/>
    <w:rsid w:val="000B02CD"/>
    <w:rsid w:val="000B030E"/>
    <w:rsid w:val="000B044A"/>
    <w:rsid w:val="000B0570"/>
    <w:rsid w:val="000B0BD3"/>
    <w:rsid w:val="000B1264"/>
    <w:rsid w:val="000B190B"/>
    <w:rsid w:val="000B2098"/>
    <w:rsid w:val="000B21E9"/>
    <w:rsid w:val="000B26CB"/>
    <w:rsid w:val="000B2A49"/>
    <w:rsid w:val="000B3AB7"/>
    <w:rsid w:val="000B4129"/>
    <w:rsid w:val="000B4798"/>
    <w:rsid w:val="000B479B"/>
    <w:rsid w:val="000B47E7"/>
    <w:rsid w:val="000B54E4"/>
    <w:rsid w:val="000B5727"/>
    <w:rsid w:val="000B5893"/>
    <w:rsid w:val="000B5E25"/>
    <w:rsid w:val="000B607E"/>
    <w:rsid w:val="000B67B3"/>
    <w:rsid w:val="000B6AF6"/>
    <w:rsid w:val="000B721C"/>
    <w:rsid w:val="000B7609"/>
    <w:rsid w:val="000B7A4E"/>
    <w:rsid w:val="000B7AD5"/>
    <w:rsid w:val="000C046B"/>
    <w:rsid w:val="000C064A"/>
    <w:rsid w:val="000C0807"/>
    <w:rsid w:val="000C09D8"/>
    <w:rsid w:val="000C0CEE"/>
    <w:rsid w:val="000C1B5A"/>
    <w:rsid w:val="000C1D4E"/>
    <w:rsid w:val="000C27C3"/>
    <w:rsid w:val="000C2AFA"/>
    <w:rsid w:val="000C2B87"/>
    <w:rsid w:val="000C3384"/>
    <w:rsid w:val="000C3840"/>
    <w:rsid w:val="000C39FB"/>
    <w:rsid w:val="000C3ADD"/>
    <w:rsid w:val="000C3F77"/>
    <w:rsid w:val="000C4755"/>
    <w:rsid w:val="000C4ABE"/>
    <w:rsid w:val="000C5155"/>
    <w:rsid w:val="000C54AE"/>
    <w:rsid w:val="000C55D3"/>
    <w:rsid w:val="000C5942"/>
    <w:rsid w:val="000C5EC5"/>
    <w:rsid w:val="000C641E"/>
    <w:rsid w:val="000C67A6"/>
    <w:rsid w:val="000C6C39"/>
    <w:rsid w:val="000C724E"/>
    <w:rsid w:val="000C751E"/>
    <w:rsid w:val="000C75F8"/>
    <w:rsid w:val="000C76A6"/>
    <w:rsid w:val="000C780B"/>
    <w:rsid w:val="000C78BD"/>
    <w:rsid w:val="000C7F38"/>
    <w:rsid w:val="000D07A7"/>
    <w:rsid w:val="000D12AF"/>
    <w:rsid w:val="000D1749"/>
    <w:rsid w:val="000D1843"/>
    <w:rsid w:val="000D1D5E"/>
    <w:rsid w:val="000D22ED"/>
    <w:rsid w:val="000D25C3"/>
    <w:rsid w:val="000D2B8D"/>
    <w:rsid w:val="000D30B8"/>
    <w:rsid w:val="000D3158"/>
    <w:rsid w:val="000D31EC"/>
    <w:rsid w:val="000D32D5"/>
    <w:rsid w:val="000D3ABB"/>
    <w:rsid w:val="000D3D1F"/>
    <w:rsid w:val="000D43FB"/>
    <w:rsid w:val="000D454C"/>
    <w:rsid w:val="000D5612"/>
    <w:rsid w:val="000D5B00"/>
    <w:rsid w:val="000D62F4"/>
    <w:rsid w:val="000D633E"/>
    <w:rsid w:val="000D66F2"/>
    <w:rsid w:val="000D681F"/>
    <w:rsid w:val="000D689E"/>
    <w:rsid w:val="000D68C7"/>
    <w:rsid w:val="000D6A27"/>
    <w:rsid w:val="000D71BA"/>
    <w:rsid w:val="000D773E"/>
    <w:rsid w:val="000D7AB9"/>
    <w:rsid w:val="000D7EC9"/>
    <w:rsid w:val="000D7FB8"/>
    <w:rsid w:val="000E012A"/>
    <w:rsid w:val="000E0476"/>
    <w:rsid w:val="000E0716"/>
    <w:rsid w:val="000E0B73"/>
    <w:rsid w:val="000E14E5"/>
    <w:rsid w:val="000E1520"/>
    <w:rsid w:val="000E1F04"/>
    <w:rsid w:val="000E2007"/>
    <w:rsid w:val="000E21C1"/>
    <w:rsid w:val="000E2480"/>
    <w:rsid w:val="000E2A4F"/>
    <w:rsid w:val="000E2DC0"/>
    <w:rsid w:val="000E3D12"/>
    <w:rsid w:val="000E3E0A"/>
    <w:rsid w:val="000E4884"/>
    <w:rsid w:val="000E4F00"/>
    <w:rsid w:val="000E5272"/>
    <w:rsid w:val="000E5427"/>
    <w:rsid w:val="000E55DB"/>
    <w:rsid w:val="000E5AF4"/>
    <w:rsid w:val="000E5E4E"/>
    <w:rsid w:val="000E60C2"/>
    <w:rsid w:val="000E677B"/>
    <w:rsid w:val="000E68B1"/>
    <w:rsid w:val="000E69EE"/>
    <w:rsid w:val="000E6CF1"/>
    <w:rsid w:val="000E6DC3"/>
    <w:rsid w:val="000E7A67"/>
    <w:rsid w:val="000F015C"/>
    <w:rsid w:val="000F0972"/>
    <w:rsid w:val="000F09F8"/>
    <w:rsid w:val="000F1380"/>
    <w:rsid w:val="000F13BA"/>
    <w:rsid w:val="000F1514"/>
    <w:rsid w:val="000F1C14"/>
    <w:rsid w:val="000F2576"/>
    <w:rsid w:val="000F2C61"/>
    <w:rsid w:val="000F2D45"/>
    <w:rsid w:val="000F314E"/>
    <w:rsid w:val="000F3382"/>
    <w:rsid w:val="000F3486"/>
    <w:rsid w:val="000F3ABD"/>
    <w:rsid w:val="000F3E61"/>
    <w:rsid w:val="000F47D7"/>
    <w:rsid w:val="000F5261"/>
    <w:rsid w:val="000F53DE"/>
    <w:rsid w:val="000F5446"/>
    <w:rsid w:val="000F583C"/>
    <w:rsid w:val="000F5971"/>
    <w:rsid w:val="000F5A5F"/>
    <w:rsid w:val="000F5BDA"/>
    <w:rsid w:val="000F5F77"/>
    <w:rsid w:val="000F6370"/>
    <w:rsid w:val="000F6DC3"/>
    <w:rsid w:val="000F743E"/>
    <w:rsid w:val="000F7613"/>
    <w:rsid w:val="000F7908"/>
    <w:rsid w:val="000F790E"/>
    <w:rsid w:val="000F7DBA"/>
    <w:rsid w:val="00100009"/>
    <w:rsid w:val="0010007D"/>
    <w:rsid w:val="001001FE"/>
    <w:rsid w:val="00102932"/>
    <w:rsid w:val="00102BAB"/>
    <w:rsid w:val="00102C89"/>
    <w:rsid w:val="001038B5"/>
    <w:rsid w:val="00103B95"/>
    <w:rsid w:val="001040EE"/>
    <w:rsid w:val="001049A2"/>
    <w:rsid w:val="00104B9B"/>
    <w:rsid w:val="00104FFD"/>
    <w:rsid w:val="00106C89"/>
    <w:rsid w:val="00106D46"/>
    <w:rsid w:val="00107CBC"/>
    <w:rsid w:val="0011096E"/>
    <w:rsid w:val="00110A45"/>
    <w:rsid w:val="00110B5B"/>
    <w:rsid w:val="00111586"/>
    <w:rsid w:val="001118E4"/>
    <w:rsid w:val="0011204C"/>
    <w:rsid w:val="0011221B"/>
    <w:rsid w:val="00112419"/>
    <w:rsid w:val="0011348A"/>
    <w:rsid w:val="00113545"/>
    <w:rsid w:val="00113F5E"/>
    <w:rsid w:val="00114104"/>
    <w:rsid w:val="00114881"/>
    <w:rsid w:val="0011557D"/>
    <w:rsid w:val="0011558F"/>
    <w:rsid w:val="00115ADD"/>
    <w:rsid w:val="00115E9B"/>
    <w:rsid w:val="00115FB1"/>
    <w:rsid w:val="0011635C"/>
    <w:rsid w:val="00116697"/>
    <w:rsid w:val="001174ED"/>
    <w:rsid w:val="00117DD9"/>
    <w:rsid w:val="00117E74"/>
    <w:rsid w:val="00117EC7"/>
    <w:rsid w:val="00120325"/>
    <w:rsid w:val="00120484"/>
    <w:rsid w:val="00120BC7"/>
    <w:rsid w:val="0012133D"/>
    <w:rsid w:val="00121547"/>
    <w:rsid w:val="001219E9"/>
    <w:rsid w:val="00121D95"/>
    <w:rsid w:val="00121E1F"/>
    <w:rsid w:val="001221FE"/>
    <w:rsid w:val="00122362"/>
    <w:rsid w:val="00122572"/>
    <w:rsid w:val="001225FD"/>
    <w:rsid w:val="001229F5"/>
    <w:rsid w:val="0012317E"/>
    <w:rsid w:val="00123E28"/>
    <w:rsid w:val="0012408A"/>
    <w:rsid w:val="00124412"/>
    <w:rsid w:val="00125EA9"/>
    <w:rsid w:val="0012610E"/>
    <w:rsid w:val="00126B06"/>
    <w:rsid w:val="0012729F"/>
    <w:rsid w:val="001275B2"/>
    <w:rsid w:val="00127A89"/>
    <w:rsid w:val="00127E61"/>
    <w:rsid w:val="00127F5F"/>
    <w:rsid w:val="00130B80"/>
    <w:rsid w:val="00130CEA"/>
    <w:rsid w:val="001318E3"/>
    <w:rsid w:val="00131A9B"/>
    <w:rsid w:val="001320CD"/>
    <w:rsid w:val="00132A7F"/>
    <w:rsid w:val="00132B9E"/>
    <w:rsid w:val="001331FB"/>
    <w:rsid w:val="001336F5"/>
    <w:rsid w:val="0013374C"/>
    <w:rsid w:val="001339E7"/>
    <w:rsid w:val="001340B9"/>
    <w:rsid w:val="001340BF"/>
    <w:rsid w:val="001346B4"/>
    <w:rsid w:val="001347BA"/>
    <w:rsid w:val="001348B5"/>
    <w:rsid w:val="001349F1"/>
    <w:rsid w:val="00134E82"/>
    <w:rsid w:val="0013571C"/>
    <w:rsid w:val="00135EF3"/>
    <w:rsid w:val="0013659D"/>
    <w:rsid w:val="00136C88"/>
    <w:rsid w:val="0013707C"/>
    <w:rsid w:val="00137794"/>
    <w:rsid w:val="001403DF"/>
    <w:rsid w:val="001406E8"/>
    <w:rsid w:val="0014094D"/>
    <w:rsid w:val="0014110B"/>
    <w:rsid w:val="001414A1"/>
    <w:rsid w:val="0014155D"/>
    <w:rsid w:val="001418D9"/>
    <w:rsid w:val="00141C33"/>
    <w:rsid w:val="00142544"/>
    <w:rsid w:val="00142805"/>
    <w:rsid w:val="00142810"/>
    <w:rsid w:val="001435A0"/>
    <w:rsid w:val="00144547"/>
    <w:rsid w:val="00144587"/>
    <w:rsid w:val="00145111"/>
    <w:rsid w:val="001456E4"/>
    <w:rsid w:val="001464E6"/>
    <w:rsid w:val="00146D09"/>
    <w:rsid w:val="00147FA5"/>
    <w:rsid w:val="00150122"/>
    <w:rsid w:val="0015048D"/>
    <w:rsid w:val="00150F11"/>
    <w:rsid w:val="001511C3"/>
    <w:rsid w:val="00151359"/>
    <w:rsid w:val="00151478"/>
    <w:rsid w:val="001514B9"/>
    <w:rsid w:val="00151710"/>
    <w:rsid w:val="001517C2"/>
    <w:rsid w:val="001519D9"/>
    <w:rsid w:val="0015232B"/>
    <w:rsid w:val="00152DEB"/>
    <w:rsid w:val="00153153"/>
    <w:rsid w:val="001541C8"/>
    <w:rsid w:val="001545A7"/>
    <w:rsid w:val="0015467A"/>
    <w:rsid w:val="00154764"/>
    <w:rsid w:val="00154F1A"/>
    <w:rsid w:val="0015540F"/>
    <w:rsid w:val="001556B3"/>
    <w:rsid w:val="00155A12"/>
    <w:rsid w:val="00155B55"/>
    <w:rsid w:val="00156EF1"/>
    <w:rsid w:val="00157140"/>
    <w:rsid w:val="001575E7"/>
    <w:rsid w:val="001578D3"/>
    <w:rsid w:val="00157B29"/>
    <w:rsid w:val="00160205"/>
    <w:rsid w:val="001603CF"/>
    <w:rsid w:val="001606AE"/>
    <w:rsid w:val="00160922"/>
    <w:rsid w:val="00160EBA"/>
    <w:rsid w:val="00160F7D"/>
    <w:rsid w:val="00161123"/>
    <w:rsid w:val="00161450"/>
    <w:rsid w:val="001614FA"/>
    <w:rsid w:val="001616D5"/>
    <w:rsid w:val="001618EE"/>
    <w:rsid w:val="00161D31"/>
    <w:rsid w:val="00163215"/>
    <w:rsid w:val="00163930"/>
    <w:rsid w:val="00163EF1"/>
    <w:rsid w:val="001640C1"/>
    <w:rsid w:val="0016432E"/>
    <w:rsid w:val="001644C7"/>
    <w:rsid w:val="00164A14"/>
    <w:rsid w:val="00165BA0"/>
    <w:rsid w:val="00165D9E"/>
    <w:rsid w:val="001668E8"/>
    <w:rsid w:val="00166E0E"/>
    <w:rsid w:val="0016723A"/>
    <w:rsid w:val="00167379"/>
    <w:rsid w:val="0016759A"/>
    <w:rsid w:val="00167CCE"/>
    <w:rsid w:val="00167D94"/>
    <w:rsid w:val="0017035B"/>
    <w:rsid w:val="00170497"/>
    <w:rsid w:val="001704B9"/>
    <w:rsid w:val="00171007"/>
    <w:rsid w:val="00171150"/>
    <w:rsid w:val="0017155A"/>
    <w:rsid w:val="001716F3"/>
    <w:rsid w:val="00171B97"/>
    <w:rsid w:val="00171EE6"/>
    <w:rsid w:val="0017265E"/>
    <w:rsid w:val="0017281F"/>
    <w:rsid w:val="00174353"/>
    <w:rsid w:val="00174C4A"/>
    <w:rsid w:val="00174E5E"/>
    <w:rsid w:val="00174EE6"/>
    <w:rsid w:val="001757CF"/>
    <w:rsid w:val="0017655C"/>
    <w:rsid w:val="00176BA0"/>
    <w:rsid w:val="00176E04"/>
    <w:rsid w:val="00176FFB"/>
    <w:rsid w:val="001775A6"/>
    <w:rsid w:val="001775D2"/>
    <w:rsid w:val="001777F7"/>
    <w:rsid w:val="00177DA7"/>
    <w:rsid w:val="00177FCD"/>
    <w:rsid w:val="001801C2"/>
    <w:rsid w:val="001804F2"/>
    <w:rsid w:val="001807B1"/>
    <w:rsid w:val="00180830"/>
    <w:rsid w:val="00180F2D"/>
    <w:rsid w:val="00180F87"/>
    <w:rsid w:val="0018128C"/>
    <w:rsid w:val="001814DC"/>
    <w:rsid w:val="001816A3"/>
    <w:rsid w:val="00181BE9"/>
    <w:rsid w:val="00181BF6"/>
    <w:rsid w:val="001821DA"/>
    <w:rsid w:val="00182394"/>
    <w:rsid w:val="0018273F"/>
    <w:rsid w:val="00182AC0"/>
    <w:rsid w:val="00182EF4"/>
    <w:rsid w:val="001830AE"/>
    <w:rsid w:val="0018363F"/>
    <w:rsid w:val="0018394B"/>
    <w:rsid w:val="00183BBC"/>
    <w:rsid w:val="001841B1"/>
    <w:rsid w:val="00184370"/>
    <w:rsid w:val="001843C5"/>
    <w:rsid w:val="001844C3"/>
    <w:rsid w:val="00184945"/>
    <w:rsid w:val="0018553E"/>
    <w:rsid w:val="00185F1C"/>
    <w:rsid w:val="0018677D"/>
    <w:rsid w:val="00186F33"/>
    <w:rsid w:val="0018717A"/>
    <w:rsid w:val="001879F1"/>
    <w:rsid w:val="00190400"/>
    <w:rsid w:val="001907FB"/>
    <w:rsid w:val="00190B97"/>
    <w:rsid w:val="00190D5E"/>
    <w:rsid w:val="00191384"/>
    <w:rsid w:val="00191977"/>
    <w:rsid w:val="00191B9A"/>
    <w:rsid w:val="0019200E"/>
    <w:rsid w:val="0019207B"/>
    <w:rsid w:val="001928AE"/>
    <w:rsid w:val="0019339B"/>
    <w:rsid w:val="00193582"/>
    <w:rsid w:val="0019384B"/>
    <w:rsid w:val="00193870"/>
    <w:rsid w:val="00193AA8"/>
    <w:rsid w:val="00193FC3"/>
    <w:rsid w:val="001945B6"/>
    <w:rsid w:val="001946B8"/>
    <w:rsid w:val="001946CE"/>
    <w:rsid w:val="00195857"/>
    <w:rsid w:val="001963DB"/>
    <w:rsid w:val="001973B9"/>
    <w:rsid w:val="00197406"/>
    <w:rsid w:val="00197417"/>
    <w:rsid w:val="00197460"/>
    <w:rsid w:val="00197894"/>
    <w:rsid w:val="00197C82"/>
    <w:rsid w:val="00197DBE"/>
    <w:rsid w:val="001A050F"/>
    <w:rsid w:val="001A099A"/>
    <w:rsid w:val="001A0AA5"/>
    <w:rsid w:val="001A11CC"/>
    <w:rsid w:val="001A182D"/>
    <w:rsid w:val="001A1981"/>
    <w:rsid w:val="001A2214"/>
    <w:rsid w:val="001A236F"/>
    <w:rsid w:val="001A2FC2"/>
    <w:rsid w:val="001A34E7"/>
    <w:rsid w:val="001A41D8"/>
    <w:rsid w:val="001A4814"/>
    <w:rsid w:val="001A4B74"/>
    <w:rsid w:val="001A5209"/>
    <w:rsid w:val="001A540A"/>
    <w:rsid w:val="001A5860"/>
    <w:rsid w:val="001A6176"/>
    <w:rsid w:val="001A63D9"/>
    <w:rsid w:val="001A644F"/>
    <w:rsid w:val="001A6729"/>
    <w:rsid w:val="001A679D"/>
    <w:rsid w:val="001A6A1C"/>
    <w:rsid w:val="001A6AAE"/>
    <w:rsid w:val="001A6BAF"/>
    <w:rsid w:val="001A71A6"/>
    <w:rsid w:val="001A76BB"/>
    <w:rsid w:val="001A7773"/>
    <w:rsid w:val="001B01DB"/>
    <w:rsid w:val="001B05AE"/>
    <w:rsid w:val="001B0686"/>
    <w:rsid w:val="001B0AE5"/>
    <w:rsid w:val="001B106A"/>
    <w:rsid w:val="001B1134"/>
    <w:rsid w:val="001B1B03"/>
    <w:rsid w:val="001B33F6"/>
    <w:rsid w:val="001B422D"/>
    <w:rsid w:val="001B43E5"/>
    <w:rsid w:val="001B4519"/>
    <w:rsid w:val="001B4728"/>
    <w:rsid w:val="001B47CB"/>
    <w:rsid w:val="001B4876"/>
    <w:rsid w:val="001B51C2"/>
    <w:rsid w:val="001B53E3"/>
    <w:rsid w:val="001B58C7"/>
    <w:rsid w:val="001B5B63"/>
    <w:rsid w:val="001B5E07"/>
    <w:rsid w:val="001B65AC"/>
    <w:rsid w:val="001B6A83"/>
    <w:rsid w:val="001B7A15"/>
    <w:rsid w:val="001B7D6D"/>
    <w:rsid w:val="001B7F58"/>
    <w:rsid w:val="001C06A8"/>
    <w:rsid w:val="001C099F"/>
    <w:rsid w:val="001C0F0C"/>
    <w:rsid w:val="001C11AA"/>
    <w:rsid w:val="001C15E4"/>
    <w:rsid w:val="001C18A9"/>
    <w:rsid w:val="001C1B4E"/>
    <w:rsid w:val="001C1CAA"/>
    <w:rsid w:val="001C252D"/>
    <w:rsid w:val="001C38B1"/>
    <w:rsid w:val="001C3C29"/>
    <w:rsid w:val="001C3ED0"/>
    <w:rsid w:val="001C45BE"/>
    <w:rsid w:val="001C4606"/>
    <w:rsid w:val="001C4848"/>
    <w:rsid w:val="001C48FF"/>
    <w:rsid w:val="001C4B2B"/>
    <w:rsid w:val="001C4BF3"/>
    <w:rsid w:val="001C5045"/>
    <w:rsid w:val="001C523B"/>
    <w:rsid w:val="001C646B"/>
    <w:rsid w:val="001C7BA5"/>
    <w:rsid w:val="001C7C5A"/>
    <w:rsid w:val="001D0002"/>
    <w:rsid w:val="001D0322"/>
    <w:rsid w:val="001D04BD"/>
    <w:rsid w:val="001D056D"/>
    <w:rsid w:val="001D07AC"/>
    <w:rsid w:val="001D1255"/>
    <w:rsid w:val="001D1C6F"/>
    <w:rsid w:val="001D20F7"/>
    <w:rsid w:val="001D28E5"/>
    <w:rsid w:val="001D2E6C"/>
    <w:rsid w:val="001D303C"/>
    <w:rsid w:val="001D3AD8"/>
    <w:rsid w:val="001D3CF2"/>
    <w:rsid w:val="001D408B"/>
    <w:rsid w:val="001D490F"/>
    <w:rsid w:val="001D4A2B"/>
    <w:rsid w:val="001D4AAB"/>
    <w:rsid w:val="001D4F45"/>
    <w:rsid w:val="001D54BA"/>
    <w:rsid w:val="001D55F2"/>
    <w:rsid w:val="001D5AA8"/>
    <w:rsid w:val="001D5D58"/>
    <w:rsid w:val="001D664C"/>
    <w:rsid w:val="001D6664"/>
    <w:rsid w:val="001D6CB7"/>
    <w:rsid w:val="001D6D5E"/>
    <w:rsid w:val="001D6D91"/>
    <w:rsid w:val="001D6E10"/>
    <w:rsid w:val="001D7087"/>
    <w:rsid w:val="001D72DD"/>
    <w:rsid w:val="001D78E1"/>
    <w:rsid w:val="001E0529"/>
    <w:rsid w:val="001E11F6"/>
    <w:rsid w:val="001E1353"/>
    <w:rsid w:val="001E14C8"/>
    <w:rsid w:val="001E1A47"/>
    <w:rsid w:val="001E1A6A"/>
    <w:rsid w:val="001E2146"/>
    <w:rsid w:val="001E2F3E"/>
    <w:rsid w:val="001E327C"/>
    <w:rsid w:val="001E3CEC"/>
    <w:rsid w:val="001E3DB8"/>
    <w:rsid w:val="001E4169"/>
    <w:rsid w:val="001E416B"/>
    <w:rsid w:val="001E458D"/>
    <w:rsid w:val="001E4865"/>
    <w:rsid w:val="001E4895"/>
    <w:rsid w:val="001E4D84"/>
    <w:rsid w:val="001E5726"/>
    <w:rsid w:val="001E5AAB"/>
    <w:rsid w:val="001E5B57"/>
    <w:rsid w:val="001E612D"/>
    <w:rsid w:val="001E6601"/>
    <w:rsid w:val="001E6992"/>
    <w:rsid w:val="001E6A86"/>
    <w:rsid w:val="001E741C"/>
    <w:rsid w:val="001E77E8"/>
    <w:rsid w:val="001E7809"/>
    <w:rsid w:val="001E7EE5"/>
    <w:rsid w:val="001F038E"/>
    <w:rsid w:val="001F03B8"/>
    <w:rsid w:val="001F06E0"/>
    <w:rsid w:val="001F07B6"/>
    <w:rsid w:val="001F0CA5"/>
    <w:rsid w:val="001F1104"/>
    <w:rsid w:val="001F1121"/>
    <w:rsid w:val="001F169C"/>
    <w:rsid w:val="001F1A0C"/>
    <w:rsid w:val="001F1F0F"/>
    <w:rsid w:val="001F2627"/>
    <w:rsid w:val="001F2882"/>
    <w:rsid w:val="001F28CB"/>
    <w:rsid w:val="001F2F88"/>
    <w:rsid w:val="001F3E23"/>
    <w:rsid w:val="001F4335"/>
    <w:rsid w:val="001F433F"/>
    <w:rsid w:val="001F46DF"/>
    <w:rsid w:val="001F4E3B"/>
    <w:rsid w:val="001F58BE"/>
    <w:rsid w:val="001F6235"/>
    <w:rsid w:val="001F6373"/>
    <w:rsid w:val="001F645A"/>
    <w:rsid w:val="002001D1"/>
    <w:rsid w:val="002006B2"/>
    <w:rsid w:val="00200D83"/>
    <w:rsid w:val="00201130"/>
    <w:rsid w:val="0020175A"/>
    <w:rsid w:val="00201D6E"/>
    <w:rsid w:val="00202243"/>
    <w:rsid w:val="00202E18"/>
    <w:rsid w:val="00203168"/>
    <w:rsid w:val="0020321C"/>
    <w:rsid w:val="00203BEC"/>
    <w:rsid w:val="00203D1A"/>
    <w:rsid w:val="002042A2"/>
    <w:rsid w:val="00204792"/>
    <w:rsid w:val="00204D2D"/>
    <w:rsid w:val="00205395"/>
    <w:rsid w:val="00205902"/>
    <w:rsid w:val="00205CA7"/>
    <w:rsid w:val="00206160"/>
    <w:rsid w:val="00206161"/>
    <w:rsid w:val="00206423"/>
    <w:rsid w:val="0020660A"/>
    <w:rsid w:val="002072A5"/>
    <w:rsid w:val="002073BA"/>
    <w:rsid w:val="0020759C"/>
    <w:rsid w:val="002079B9"/>
    <w:rsid w:val="00207B35"/>
    <w:rsid w:val="00207BC5"/>
    <w:rsid w:val="00210479"/>
    <w:rsid w:val="002108EB"/>
    <w:rsid w:val="00210C6B"/>
    <w:rsid w:val="002110CE"/>
    <w:rsid w:val="0021168C"/>
    <w:rsid w:val="00211B01"/>
    <w:rsid w:val="0021210C"/>
    <w:rsid w:val="00213014"/>
    <w:rsid w:val="0021318A"/>
    <w:rsid w:val="0021375B"/>
    <w:rsid w:val="002138AD"/>
    <w:rsid w:val="00213C91"/>
    <w:rsid w:val="0021435A"/>
    <w:rsid w:val="0021478A"/>
    <w:rsid w:val="00214B2B"/>
    <w:rsid w:val="00214B34"/>
    <w:rsid w:val="00214B93"/>
    <w:rsid w:val="00214BB6"/>
    <w:rsid w:val="00214BC4"/>
    <w:rsid w:val="00214BF1"/>
    <w:rsid w:val="00214E93"/>
    <w:rsid w:val="00214FEB"/>
    <w:rsid w:val="002153D6"/>
    <w:rsid w:val="002157FD"/>
    <w:rsid w:val="00215A50"/>
    <w:rsid w:val="00216316"/>
    <w:rsid w:val="002163C5"/>
    <w:rsid w:val="0021651F"/>
    <w:rsid w:val="002165A6"/>
    <w:rsid w:val="00216F02"/>
    <w:rsid w:val="0021704E"/>
    <w:rsid w:val="0021719A"/>
    <w:rsid w:val="002176A2"/>
    <w:rsid w:val="00217BC0"/>
    <w:rsid w:val="00217DD8"/>
    <w:rsid w:val="00220FEB"/>
    <w:rsid w:val="0022149B"/>
    <w:rsid w:val="0022176E"/>
    <w:rsid w:val="002217C3"/>
    <w:rsid w:val="002226B8"/>
    <w:rsid w:val="00223571"/>
    <w:rsid w:val="002235F0"/>
    <w:rsid w:val="0022364F"/>
    <w:rsid w:val="002236F7"/>
    <w:rsid w:val="002237C9"/>
    <w:rsid w:val="00223905"/>
    <w:rsid w:val="00223AD9"/>
    <w:rsid w:val="00223B9B"/>
    <w:rsid w:val="0022456F"/>
    <w:rsid w:val="002247D8"/>
    <w:rsid w:val="00224F36"/>
    <w:rsid w:val="00224F55"/>
    <w:rsid w:val="002256B6"/>
    <w:rsid w:val="00226044"/>
    <w:rsid w:val="00226222"/>
    <w:rsid w:val="00226259"/>
    <w:rsid w:val="0022646D"/>
    <w:rsid w:val="002265AE"/>
    <w:rsid w:val="00226A25"/>
    <w:rsid w:val="00226B85"/>
    <w:rsid w:val="00226D72"/>
    <w:rsid w:val="002270E2"/>
    <w:rsid w:val="0022739F"/>
    <w:rsid w:val="002273EE"/>
    <w:rsid w:val="00227B45"/>
    <w:rsid w:val="00227E03"/>
    <w:rsid w:val="002301D0"/>
    <w:rsid w:val="0023073D"/>
    <w:rsid w:val="00230CDF"/>
    <w:rsid w:val="00230F0D"/>
    <w:rsid w:val="00231346"/>
    <w:rsid w:val="00231A50"/>
    <w:rsid w:val="00231BF0"/>
    <w:rsid w:val="00231BF1"/>
    <w:rsid w:val="002320A1"/>
    <w:rsid w:val="002325A6"/>
    <w:rsid w:val="00232832"/>
    <w:rsid w:val="002328EA"/>
    <w:rsid w:val="00232D61"/>
    <w:rsid w:val="00233254"/>
    <w:rsid w:val="002332ED"/>
    <w:rsid w:val="0023397D"/>
    <w:rsid w:val="00233F6A"/>
    <w:rsid w:val="00234287"/>
    <w:rsid w:val="00234434"/>
    <w:rsid w:val="00234830"/>
    <w:rsid w:val="00234AC4"/>
    <w:rsid w:val="00234B02"/>
    <w:rsid w:val="00234BCA"/>
    <w:rsid w:val="002358B4"/>
    <w:rsid w:val="002358DE"/>
    <w:rsid w:val="00235A0B"/>
    <w:rsid w:val="00236137"/>
    <w:rsid w:val="002362CA"/>
    <w:rsid w:val="0023637F"/>
    <w:rsid w:val="0023656D"/>
    <w:rsid w:val="002365FB"/>
    <w:rsid w:val="00236699"/>
    <w:rsid w:val="00236F3B"/>
    <w:rsid w:val="002404B9"/>
    <w:rsid w:val="002409AA"/>
    <w:rsid w:val="00240A36"/>
    <w:rsid w:val="00240B77"/>
    <w:rsid w:val="00240C65"/>
    <w:rsid w:val="00240CD0"/>
    <w:rsid w:val="00240F21"/>
    <w:rsid w:val="00241249"/>
    <w:rsid w:val="00241445"/>
    <w:rsid w:val="0024236E"/>
    <w:rsid w:val="0024256B"/>
    <w:rsid w:val="0024274D"/>
    <w:rsid w:val="00243027"/>
    <w:rsid w:val="00243376"/>
    <w:rsid w:val="002437F8"/>
    <w:rsid w:val="00243C76"/>
    <w:rsid w:val="00243E2A"/>
    <w:rsid w:val="0024401A"/>
    <w:rsid w:val="002444AF"/>
    <w:rsid w:val="00244592"/>
    <w:rsid w:val="00244D1E"/>
    <w:rsid w:val="00244FC6"/>
    <w:rsid w:val="00245489"/>
    <w:rsid w:val="002454B9"/>
    <w:rsid w:val="0024579B"/>
    <w:rsid w:val="0024581A"/>
    <w:rsid w:val="00245FA5"/>
    <w:rsid w:val="00246325"/>
    <w:rsid w:val="00246BDA"/>
    <w:rsid w:val="00247302"/>
    <w:rsid w:val="00247596"/>
    <w:rsid w:val="00247A9E"/>
    <w:rsid w:val="002503F3"/>
    <w:rsid w:val="002509A9"/>
    <w:rsid w:val="00251036"/>
    <w:rsid w:val="00251182"/>
    <w:rsid w:val="002514BD"/>
    <w:rsid w:val="00251B5F"/>
    <w:rsid w:val="00251CA2"/>
    <w:rsid w:val="00251E97"/>
    <w:rsid w:val="00251F0F"/>
    <w:rsid w:val="00252218"/>
    <w:rsid w:val="00252A16"/>
    <w:rsid w:val="00252B51"/>
    <w:rsid w:val="00252DE9"/>
    <w:rsid w:val="00252F92"/>
    <w:rsid w:val="0025315C"/>
    <w:rsid w:val="00253E7E"/>
    <w:rsid w:val="00253F30"/>
    <w:rsid w:val="00254433"/>
    <w:rsid w:val="002544A8"/>
    <w:rsid w:val="00254E40"/>
    <w:rsid w:val="00255B63"/>
    <w:rsid w:val="0025662B"/>
    <w:rsid w:val="00256CA2"/>
    <w:rsid w:val="00256D30"/>
    <w:rsid w:val="0025731B"/>
    <w:rsid w:val="00257D91"/>
    <w:rsid w:val="002607B2"/>
    <w:rsid w:val="002609D2"/>
    <w:rsid w:val="002616A9"/>
    <w:rsid w:val="00261CCC"/>
    <w:rsid w:val="00262306"/>
    <w:rsid w:val="00262347"/>
    <w:rsid w:val="00262677"/>
    <w:rsid w:val="00262E81"/>
    <w:rsid w:val="00263049"/>
    <w:rsid w:val="0026344F"/>
    <w:rsid w:val="00263F86"/>
    <w:rsid w:val="00265433"/>
    <w:rsid w:val="002658EB"/>
    <w:rsid w:val="00266F26"/>
    <w:rsid w:val="00267364"/>
    <w:rsid w:val="00267775"/>
    <w:rsid w:val="002679D0"/>
    <w:rsid w:val="00267D5A"/>
    <w:rsid w:val="00267D90"/>
    <w:rsid w:val="00267E35"/>
    <w:rsid w:val="00267FC1"/>
    <w:rsid w:val="0027031A"/>
    <w:rsid w:val="0027083B"/>
    <w:rsid w:val="00270C69"/>
    <w:rsid w:val="00270EFA"/>
    <w:rsid w:val="00270FCA"/>
    <w:rsid w:val="00271378"/>
    <w:rsid w:val="00271E70"/>
    <w:rsid w:val="00271FD0"/>
    <w:rsid w:val="00272ACD"/>
    <w:rsid w:val="00272CB9"/>
    <w:rsid w:val="0027305D"/>
    <w:rsid w:val="002738A4"/>
    <w:rsid w:val="00273AA2"/>
    <w:rsid w:val="0027456D"/>
    <w:rsid w:val="00274E64"/>
    <w:rsid w:val="00274FCC"/>
    <w:rsid w:val="0027537F"/>
    <w:rsid w:val="002762C2"/>
    <w:rsid w:val="00276956"/>
    <w:rsid w:val="00276F32"/>
    <w:rsid w:val="002770EF"/>
    <w:rsid w:val="002775E3"/>
    <w:rsid w:val="00277D0A"/>
    <w:rsid w:val="002802B7"/>
    <w:rsid w:val="002808D6"/>
    <w:rsid w:val="00280935"/>
    <w:rsid w:val="00280A5B"/>
    <w:rsid w:val="00280DAB"/>
    <w:rsid w:val="0028197E"/>
    <w:rsid w:val="002819D8"/>
    <w:rsid w:val="00281A57"/>
    <w:rsid w:val="002826A2"/>
    <w:rsid w:val="00282E92"/>
    <w:rsid w:val="0028325E"/>
    <w:rsid w:val="00283289"/>
    <w:rsid w:val="002837E9"/>
    <w:rsid w:val="002839A0"/>
    <w:rsid w:val="00283AF1"/>
    <w:rsid w:val="00283D42"/>
    <w:rsid w:val="00284693"/>
    <w:rsid w:val="00284A25"/>
    <w:rsid w:val="00284AFC"/>
    <w:rsid w:val="00284D2F"/>
    <w:rsid w:val="00284EBB"/>
    <w:rsid w:val="00284FA4"/>
    <w:rsid w:val="002850BF"/>
    <w:rsid w:val="002863B8"/>
    <w:rsid w:val="00286A0D"/>
    <w:rsid w:val="00287917"/>
    <w:rsid w:val="00290074"/>
    <w:rsid w:val="002906AC"/>
    <w:rsid w:val="00290795"/>
    <w:rsid w:val="002908BE"/>
    <w:rsid w:val="00290AA3"/>
    <w:rsid w:val="00290CD6"/>
    <w:rsid w:val="00291302"/>
    <w:rsid w:val="00291B6A"/>
    <w:rsid w:val="00292E94"/>
    <w:rsid w:val="00293476"/>
    <w:rsid w:val="00293A8F"/>
    <w:rsid w:val="00293E2C"/>
    <w:rsid w:val="00293F96"/>
    <w:rsid w:val="00294330"/>
    <w:rsid w:val="0029440B"/>
    <w:rsid w:val="002948F8"/>
    <w:rsid w:val="00294A9B"/>
    <w:rsid w:val="00294DAF"/>
    <w:rsid w:val="00294DBB"/>
    <w:rsid w:val="00296098"/>
    <w:rsid w:val="00296343"/>
    <w:rsid w:val="0029667D"/>
    <w:rsid w:val="0029684C"/>
    <w:rsid w:val="002970A2"/>
    <w:rsid w:val="0029723B"/>
    <w:rsid w:val="0029744A"/>
    <w:rsid w:val="0029754F"/>
    <w:rsid w:val="002976A8"/>
    <w:rsid w:val="00297A9B"/>
    <w:rsid w:val="00297BD3"/>
    <w:rsid w:val="00297BF5"/>
    <w:rsid w:val="002A030C"/>
    <w:rsid w:val="002A159B"/>
    <w:rsid w:val="002A247D"/>
    <w:rsid w:val="002A2778"/>
    <w:rsid w:val="002A27EC"/>
    <w:rsid w:val="002A2ACD"/>
    <w:rsid w:val="002A3BD2"/>
    <w:rsid w:val="002A3C8A"/>
    <w:rsid w:val="002A48C7"/>
    <w:rsid w:val="002A4A5A"/>
    <w:rsid w:val="002A4C18"/>
    <w:rsid w:val="002A4C53"/>
    <w:rsid w:val="002A553D"/>
    <w:rsid w:val="002A55FA"/>
    <w:rsid w:val="002A57F2"/>
    <w:rsid w:val="002A5830"/>
    <w:rsid w:val="002A69D0"/>
    <w:rsid w:val="002A6F08"/>
    <w:rsid w:val="002A6FEE"/>
    <w:rsid w:val="002A7028"/>
    <w:rsid w:val="002A7329"/>
    <w:rsid w:val="002A74A9"/>
    <w:rsid w:val="002A74E2"/>
    <w:rsid w:val="002A7A29"/>
    <w:rsid w:val="002B0182"/>
    <w:rsid w:val="002B05ED"/>
    <w:rsid w:val="002B06B6"/>
    <w:rsid w:val="002B0893"/>
    <w:rsid w:val="002B0EF7"/>
    <w:rsid w:val="002B0F97"/>
    <w:rsid w:val="002B16B5"/>
    <w:rsid w:val="002B188D"/>
    <w:rsid w:val="002B1899"/>
    <w:rsid w:val="002B1CF0"/>
    <w:rsid w:val="002B1EC0"/>
    <w:rsid w:val="002B211B"/>
    <w:rsid w:val="002B41D6"/>
    <w:rsid w:val="002B48B5"/>
    <w:rsid w:val="002B4ED7"/>
    <w:rsid w:val="002B51E5"/>
    <w:rsid w:val="002B57BC"/>
    <w:rsid w:val="002B57C3"/>
    <w:rsid w:val="002B596F"/>
    <w:rsid w:val="002B6010"/>
    <w:rsid w:val="002B630A"/>
    <w:rsid w:val="002B65A9"/>
    <w:rsid w:val="002B6C79"/>
    <w:rsid w:val="002B6EAF"/>
    <w:rsid w:val="002B6FD3"/>
    <w:rsid w:val="002B7703"/>
    <w:rsid w:val="002B78F2"/>
    <w:rsid w:val="002B7B9C"/>
    <w:rsid w:val="002C0281"/>
    <w:rsid w:val="002C038A"/>
    <w:rsid w:val="002C11E6"/>
    <w:rsid w:val="002C1349"/>
    <w:rsid w:val="002C1446"/>
    <w:rsid w:val="002C1919"/>
    <w:rsid w:val="002C1A8D"/>
    <w:rsid w:val="002C26FD"/>
    <w:rsid w:val="002C29F2"/>
    <w:rsid w:val="002C2D1D"/>
    <w:rsid w:val="002C2DC2"/>
    <w:rsid w:val="002C3394"/>
    <w:rsid w:val="002C3741"/>
    <w:rsid w:val="002C38CD"/>
    <w:rsid w:val="002C3A1B"/>
    <w:rsid w:val="002C4207"/>
    <w:rsid w:val="002C46CE"/>
    <w:rsid w:val="002C4A69"/>
    <w:rsid w:val="002C4E7E"/>
    <w:rsid w:val="002C50D7"/>
    <w:rsid w:val="002C51ED"/>
    <w:rsid w:val="002C540B"/>
    <w:rsid w:val="002C5478"/>
    <w:rsid w:val="002C57C7"/>
    <w:rsid w:val="002C59B1"/>
    <w:rsid w:val="002C68D6"/>
    <w:rsid w:val="002C6BD1"/>
    <w:rsid w:val="002C6F0C"/>
    <w:rsid w:val="002C751E"/>
    <w:rsid w:val="002C790A"/>
    <w:rsid w:val="002C794C"/>
    <w:rsid w:val="002C79C0"/>
    <w:rsid w:val="002C7A65"/>
    <w:rsid w:val="002D0CA5"/>
    <w:rsid w:val="002D0FA2"/>
    <w:rsid w:val="002D119F"/>
    <w:rsid w:val="002D130D"/>
    <w:rsid w:val="002D1470"/>
    <w:rsid w:val="002D14A3"/>
    <w:rsid w:val="002D1550"/>
    <w:rsid w:val="002D17D1"/>
    <w:rsid w:val="002D1A91"/>
    <w:rsid w:val="002D1D0F"/>
    <w:rsid w:val="002D200E"/>
    <w:rsid w:val="002D212F"/>
    <w:rsid w:val="002D2273"/>
    <w:rsid w:val="002D22CF"/>
    <w:rsid w:val="002D3F5E"/>
    <w:rsid w:val="002D4421"/>
    <w:rsid w:val="002D446C"/>
    <w:rsid w:val="002D459E"/>
    <w:rsid w:val="002D4A87"/>
    <w:rsid w:val="002D5432"/>
    <w:rsid w:val="002D561C"/>
    <w:rsid w:val="002D57CD"/>
    <w:rsid w:val="002D62A0"/>
    <w:rsid w:val="002D6319"/>
    <w:rsid w:val="002D6645"/>
    <w:rsid w:val="002D67AB"/>
    <w:rsid w:val="002D698C"/>
    <w:rsid w:val="002D6BD6"/>
    <w:rsid w:val="002D6C57"/>
    <w:rsid w:val="002D6E98"/>
    <w:rsid w:val="002D6FCF"/>
    <w:rsid w:val="002D6FD9"/>
    <w:rsid w:val="002D7110"/>
    <w:rsid w:val="002D7809"/>
    <w:rsid w:val="002E0ED0"/>
    <w:rsid w:val="002E101A"/>
    <w:rsid w:val="002E1545"/>
    <w:rsid w:val="002E163F"/>
    <w:rsid w:val="002E1804"/>
    <w:rsid w:val="002E188F"/>
    <w:rsid w:val="002E18BA"/>
    <w:rsid w:val="002E1FF2"/>
    <w:rsid w:val="002E247F"/>
    <w:rsid w:val="002E249D"/>
    <w:rsid w:val="002E31E1"/>
    <w:rsid w:val="002E33E1"/>
    <w:rsid w:val="002E365E"/>
    <w:rsid w:val="002E383E"/>
    <w:rsid w:val="002E4DFD"/>
    <w:rsid w:val="002E4F75"/>
    <w:rsid w:val="002E502E"/>
    <w:rsid w:val="002E53C2"/>
    <w:rsid w:val="002E54E1"/>
    <w:rsid w:val="002E55C1"/>
    <w:rsid w:val="002E574B"/>
    <w:rsid w:val="002E5F9C"/>
    <w:rsid w:val="002E622D"/>
    <w:rsid w:val="002E6B4A"/>
    <w:rsid w:val="002E6C4E"/>
    <w:rsid w:val="002E6EE4"/>
    <w:rsid w:val="002E6EFA"/>
    <w:rsid w:val="002E75E8"/>
    <w:rsid w:val="002E79C4"/>
    <w:rsid w:val="002E7BD0"/>
    <w:rsid w:val="002F0560"/>
    <w:rsid w:val="002F077D"/>
    <w:rsid w:val="002F0791"/>
    <w:rsid w:val="002F09B8"/>
    <w:rsid w:val="002F09E5"/>
    <w:rsid w:val="002F0C5C"/>
    <w:rsid w:val="002F0F10"/>
    <w:rsid w:val="002F22E0"/>
    <w:rsid w:val="002F247F"/>
    <w:rsid w:val="002F255A"/>
    <w:rsid w:val="002F27F5"/>
    <w:rsid w:val="002F27F6"/>
    <w:rsid w:val="002F2E5C"/>
    <w:rsid w:val="002F33C0"/>
    <w:rsid w:val="002F33CD"/>
    <w:rsid w:val="002F3657"/>
    <w:rsid w:val="002F3EA6"/>
    <w:rsid w:val="002F417D"/>
    <w:rsid w:val="002F41A4"/>
    <w:rsid w:val="002F4447"/>
    <w:rsid w:val="002F4878"/>
    <w:rsid w:val="002F5512"/>
    <w:rsid w:val="002F60AA"/>
    <w:rsid w:val="002F6838"/>
    <w:rsid w:val="002F6C95"/>
    <w:rsid w:val="002F7641"/>
    <w:rsid w:val="002F7996"/>
    <w:rsid w:val="002F79F1"/>
    <w:rsid w:val="002F7CE0"/>
    <w:rsid w:val="002F7D83"/>
    <w:rsid w:val="003013FA"/>
    <w:rsid w:val="00301448"/>
    <w:rsid w:val="00302645"/>
    <w:rsid w:val="00302830"/>
    <w:rsid w:val="003037BA"/>
    <w:rsid w:val="003037D8"/>
    <w:rsid w:val="00304508"/>
    <w:rsid w:val="00304542"/>
    <w:rsid w:val="00304952"/>
    <w:rsid w:val="00304DFF"/>
    <w:rsid w:val="0030566B"/>
    <w:rsid w:val="00305BAA"/>
    <w:rsid w:val="00307CEF"/>
    <w:rsid w:val="003100F4"/>
    <w:rsid w:val="00310BBC"/>
    <w:rsid w:val="0031110A"/>
    <w:rsid w:val="003111DA"/>
    <w:rsid w:val="00311A09"/>
    <w:rsid w:val="00311AD0"/>
    <w:rsid w:val="003120E8"/>
    <w:rsid w:val="003124E8"/>
    <w:rsid w:val="003125E5"/>
    <w:rsid w:val="0031266A"/>
    <w:rsid w:val="00312D01"/>
    <w:rsid w:val="003139B8"/>
    <w:rsid w:val="00313ADD"/>
    <w:rsid w:val="003142B2"/>
    <w:rsid w:val="00314779"/>
    <w:rsid w:val="00314DEB"/>
    <w:rsid w:val="00315074"/>
    <w:rsid w:val="00315363"/>
    <w:rsid w:val="00315DF7"/>
    <w:rsid w:val="0031626D"/>
    <w:rsid w:val="003163DD"/>
    <w:rsid w:val="00316711"/>
    <w:rsid w:val="0031765D"/>
    <w:rsid w:val="0031784B"/>
    <w:rsid w:val="00317C8C"/>
    <w:rsid w:val="00317D45"/>
    <w:rsid w:val="00317D87"/>
    <w:rsid w:val="00317FC9"/>
    <w:rsid w:val="00317FEC"/>
    <w:rsid w:val="003205DD"/>
    <w:rsid w:val="003215C0"/>
    <w:rsid w:val="0032192A"/>
    <w:rsid w:val="00321C2B"/>
    <w:rsid w:val="00321C57"/>
    <w:rsid w:val="00321D4C"/>
    <w:rsid w:val="00321F3E"/>
    <w:rsid w:val="00322595"/>
    <w:rsid w:val="00322718"/>
    <w:rsid w:val="003227DA"/>
    <w:rsid w:val="00322ECB"/>
    <w:rsid w:val="003233D4"/>
    <w:rsid w:val="003242CD"/>
    <w:rsid w:val="00324A95"/>
    <w:rsid w:val="00324F3B"/>
    <w:rsid w:val="00325B36"/>
    <w:rsid w:val="00325BC0"/>
    <w:rsid w:val="00325EF9"/>
    <w:rsid w:val="00326344"/>
    <w:rsid w:val="00326925"/>
    <w:rsid w:val="00326B76"/>
    <w:rsid w:val="00326D67"/>
    <w:rsid w:val="00326D85"/>
    <w:rsid w:val="003273CF"/>
    <w:rsid w:val="00327D9C"/>
    <w:rsid w:val="003307DD"/>
    <w:rsid w:val="003309F1"/>
    <w:rsid w:val="00330CE8"/>
    <w:rsid w:val="003311B0"/>
    <w:rsid w:val="0033140F"/>
    <w:rsid w:val="00332C24"/>
    <w:rsid w:val="00332D54"/>
    <w:rsid w:val="00333B68"/>
    <w:rsid w:val="00334713"/>
    <w:rsid w:val="00335071"/>
    <w:rsid w:val="003351DE"/>
    <w:rsid w:val="0033555D"/>
    <w:rsid w:val="00335847"/>
    <w:rsid w:val="00335E60"/>
    <w:rsid w:val="00335ECC"/>
    <w:rsid w:val="00336375"/>
    <w:rsid w:val="00336582"/>
    <w:rsid w:val="003365E5"/>
    <w:rsid w:val="00336674"/>
    <w:rsid w:val="00336B86"/>
    <w:rsid w:val="00336CB7"/>
    <w:rsid w:val="00336F1D"/>
    <w:rsid w:val="003379C9"/>
    <w:rsid w:val="00337B1E"/>
    <w:rsid w:val="00337EC7"/>
    <w:rsid w:val="00337F9F"/>
    <w:rsid w:val="00340303"/>
    <w:rsid w:val="00340344"/>
    <w:rsid w:val="003406E9"/>
    <w:rsid w:val="003407D8"/>
    <w:rsid w:val="00340EDF"/>
    <w:rsid w:val="00341834"/>
    <w:rsid w:val="00341AC3"/>
    <w:rsid w:val="00341B5B"/>
    <w:rsid w:val="00341E05"/>
    <w:rsid w:val="00342237"/>
    <w:rsid w:val="0034248D"/>
    <w:rsid w:val="0034262C"/>
    <w:rsid w:val="00342B14"/>
    <w:rsid w:val="00342E4F"/>
    <w:rsid w:val="003431FA"/>
    <w:rsid w:val="0034330D"/>
    <w:rsid w:val="00343333"/>
    <w:rsid w:val="003446C3"/>
    <w:rsid w:val="00344CD9"/>
    <w:rsid w:val="003451D6"/>
    <w:rsid w:val="00345426"/>
    <w:rsid w:val="003457A4"/>
    <w:rsid w:val="00345EAF"/>
    <w:rsid w:val="00345FA1"/>
    <w:rsid w:val="003461B1"/>
    <w:rsid w:val="003463A4"/>
    <w:rsid w:val="0034691C"/>
    <w:rsid w:val="0034783B"/>
    <w:rsid w:val="00347A04"/>
    <w:rsid w:val="00347C79"/>
    <w:rsid w:val="00347EF5"/>
    <w:rsid w:val="003504A9"/>
    <w:rsid w:val="00350964"/>
    <w:rsid w:val="003511B7"/>
    <w:rsid w:val="003514A1"/>
    <w:rsid w:val="003516FB"/>
    <w:rsid w:val="0035292D"/>
    <w:rsid w:val="00352C0B"/>
    <w:rsid w:val="003530A4"/>
    <w:rsid w:val="003534C6"/>
    <w:rsid w:val="00353D62"/>
    <w:rsid w:val="00353F53"/>
    <w:rsid w:val="00354502"/>
    <w:rsid w:val="00354DD5"/>
    <w:rsid w:val="00355044"/>
    <w:rsid w:val="0035535D"/>
    <w:rsid w:val="00355370"/>
    <w:rsid w:val="0035547B"/>
    <w:rsid w:val="00355E48"/>
    <w:rsid w:val="00356582"/>
    <w:rsid w:val="0035685A"/>
    <w:rsid w:val="00356C72"/>
    <w:rsid w:val="003577BD"/>
    <w:rsid w:val="00357C1E"/>
    <w:rsid w:val="00360BC7"/>
    <w:rsid w:val="0036127A"/>
    <w:rsid w:val="00361308"/>
    <w:rsid w:val="0036148C"/>
    <w:rsid w:val="00361903"/>
    <w:rsid w:val="0036217C"/>
    <w:rsid w:val="003628B6"/>
    <w:rsid w:val="003629DC"/>
    <w:rsid w:val="00363031"/>
    <w:rsid w:val="00363258"/>
    <w:rsid w:val="00363438"/>
    <w:rsid w:val="00363706"/>
    <w:rsid w:val="0036392D"/>
    <w:rsid w:val="00363A89"/>
    <w:rsid w:val="00363C0F"/>
    <w:rsid w:val="00363ECA"/>
    <w:rsid w:val="00363EEA"/>
    <w:rsid w:val="00364432"/>
    <w:rsid w:val="003649A8"/>
    <w:rsid w:val="00364B1B"/>
    <w:rsid w:val="00364B38"/>
    <w:rsid w:val="00364E13"/>
    <w:rsid w:val="003659EC"/>
    <w:rsid w:val="0036607C"/>
    <w:rsid w:val="00366253"/>
    <w:rsid w:val="00366370"/>
    <w:rsid w:val="00366AAD"/>
    <w:rsid w:val="00366B65"/>
    <w:rsid w:val="0036734A"/>
    <w:rsid w:val="00367C84"/>
    <w:rsid w:val="003708C8"/>
    <w:rsid w:val="0037105D"/>
    <w:rsid w:val="003717A4"/>
    <w:rsid w:val="00371AC0"/>
    <w:rsid w:val="00371EC6"/>
    <w:rsid w:val="003721E3"/>
    <w:rsid w:val="0037235E"/>
    <w:rsid w:val="00372730"/>
    <w:rsid w:val="0037295F"/>
    <w:rsid w:val="00372F6B"/>
    <w:rsid w:val="00373514"/>
    <w:rsid w:val="00373FAB"/>
    <w:rsid w:val="00374AAC"/>
    <w:rsid w:val="00374AF5"/>
    <w:rsid w:val="00374C13"/>
    <w:rsid w:val="00375509"/>
    <w:rsid w:val="00375C45"/>
    <w:rsid w:val="00375F57"/>
    <w:rsid w:val="00376151"/>
    <w:rsid w:val="00376550"/>
    <w:rsid w:val="0037703C"/>
    <w:rsid w:val="00377089"/>
    <w:rsid w:val="00377379"/>
    <w:rsid w:val="00380010"/>
    <w:rsid w:val="003800C2"/>
    <w:rsid w:val="0038063E"/>
    <w:rsid w:val="00380648"/>
    <w:rsid w:val="00380768"/>
    <w:rsid w:val="003809D3"/>
    <w:rsid w:val="003812EA"/>
    <w:rsid w:val="00381401"/>
    <w:rsid w:val="003818FE"/>
    <w:rsid w:val="00381B64"/>
    <w:rsid w:val="00382AD5"/>
    <w:rsid w:val="00382FA4"/>
    <w:rsid w:val="0038330A"/>
    <w:rsid w:val="003839BF"/>
    <w:rsid w:val="00383F20"/>
    <w:rsid w:val="00384704"/>
    <w:rsid w:val="003849E2"/>
    <w:rsid w:val="00384E94"/>
    <w:rsid w:val="00385190"/>
    <w:rsid w:val="0038566B"/>
    <w:rsid w:val="00385B5C"/>
    <w:rsid w:val="00385FBC"/>
    <w:rsid w:val="00386176"/>
    <w:rsid w:val="00386672"/>
    <w:rsid w:val="00386D7E"/>
    <w:rsid w:val="00386FDF"/>
    <w:rsid w:val="00387697"/>
    <w:rsid w:val="00387A4E"/>
    <w:rsid w:val="00387BEA"/>
    <w:rsid w:val="00387C74"/>
    <w:rsid w:val="00390570"/>
    <w:rsid w:val="00390745"/>
    <w:rsid w:val="0039075F"/>
    <w:rsid w:val="00390EC9"/>
    <w:rsid w:val="00391350"/>
    <w:rsid w:val="003914F4"/>
    <w:rsid w:val="00391514"/>
    <w:rsid w:val="00392552"/>
    <w:rsid w:val="003926F2"/>
    <w:rsid w:val="00393D0D"/>
    <w:rsid w:val="00393FC9"/>
    <w:rsid w:val="00394456"/>
    <w:rsid w:val="0039454A"/>
    <w:rsid w:val="003945B2"/>
    <w:rsid w:val="0039471D"/>
    <w:rsid w:val="00394832"/>
    <w:rsid w:val="00394B1D"/>
    <w:rsid w:val="00394E81"/>
    <w:rsid w:val="00394EDA"/>
    <w:rsid w:val="0039517C"/>
    <w:rsid w:val="003951C3"/>
    <w:rsid w:val="00395AA1"/>
    <w:rsid w:val="00395BA3"/>
    <w:rsid w:val="00395E5F"/>
    <w:rsid w:val="00396997"/>
    <w:rsid w:val="00396B63"/>
    <w:rsid w:val="00396C57"/>
    <w:rsid w:val="00396FAD"/>
    <w:rsid w:val="00397079"/>
    <w:rsid w:val="00397163"/>
    <w:rsid w:val="00397322"/>
    <w:rsid w:val="00397808"/>
    <w:rsid w:val="0039785D"/>
    <w:rsid w:val="00397882"/>
    <w:rsid w:val="003A1198"/>
    <w:rsid w:val="003A186E"/>
    <w:rsid w:val="003A1E42"/>
    <w:rsid w:val="003A1FD3"/>
    <w:rsid w:val="003A209B"/>
    <w:rsid w:val="003A21E2"/>
    <w:rsid w:val="003A2B25"/>
    <w:rsid w:val="003A2D6E"/>
    <w:rsid w:val="003A2DEC"/>
    <w:rsid w:val="003A2E35"/>
    <w:rsid w:val="003A2FFE"/>
    <w:rsid w:val="003A30DE"/>
    <w:rsid w:val="003A3A4E"/>
    <w:rsid w:val="003A3DE0"/>
    <w:rsid w:val="003A3F8F"/>
    <w:rsid w:val="003A434D"/>
    <w:rsid w:val="003A4381"/>
    <w:rsid w:val="003A49D4"/>
    <w:rsid w:val="003A4A51"/>
    <w:rsid w:val="003A4E93"/>
    <w:rsid w:val="003A5084"/>
    <w:rsid w:val="003A54B1"/>
    <w:rsid w:val="003A63C9"/>
    <w:rsid w:val="003A654C"/>
    <w:rsid w:val="003A6911"/>
    <w:rsid w:val="003A6ADC"/>
    <w:rsid w:val="003A73CA"/>
    <w:rsid w:val="003B072B"/>
    <w:rsid w:val="003B0C85"/>
    <w:rsid w:val="003B0F43"/>
    <w:rsid w:val="003B1278"/>
    <w:rsid w:val="003B2310"/>
    <w:rsid w:val="003B2BFE"/>
    <w:rsid w:val="003B3491"/>
    <w:rsid w:val="003B42C6"/>
    <w:rsid w:val="003B44A7"/>
    <w:rsid w:val="003B516A"/>
    <w:rsid w:val="003B5D4F"/>
    <w:rsid w:val="003B5DDA"/>
    <w:rsid w:val="003B5F9B"/>
    <w:rsid w:val="003B64C8"/>
    <w:rsid w:val="003B654D"/>
    <w:rsid w:val="003B6759"/>
    <w:rsid w:val="003B6E8E"/>
    <w:rsid w:val="003B71E1"/>
    <w:rsid w:val="003B7418"/>
    <w:rsid w:val="003B7DB8"/>
    <w:rsid w:val="003C0072"/>
    <w:rsid w:val="003C1149"/>
    <w:rsid w:val="003C1CA5"/>
    <w:rsid w:val="003C209F"/>
    <w:rsid w:val="003C2141"/>
    <w:rsid w:val="003C2164"/>
    <w:rsid w:val="003C21BB"/>
    <w:rsid w:val="003C21F8"/>
    <w:rsid w:val="003C22CE"/>
    <w:rsid w:val="003C2390"/>
    <w:rsid w:val="003C29E8"/>
    <w:rsid w:val="003C2D71"/>
    <w:rsid w:val="003C32CE"/>
    <w:rsid w:val="003C34A3"/>
    <w:rsid w:val="003C38D1"/>
    <w:rsid w:val="003C3AF8"/>
    <w:rsid w:val="003C3C79"/>
    <w:rsid w:val="003C4223"/>
    <w:rsid w:val="003C5087"/>
    <w:rsid w:val="003C5420"/>
    <w:rsid w:val="003C55B3"/>
    <w:rsid w:val="003C57E5"/>
    <w:rsid w:val="003C59CC"/>
    <w:rsid w:val="003C5B30"/>
    <w:rsid w:val="003C600E"/>
    <w:rsid w:val="003C6B64"/>
    <w:rsid w:val="003C6E30"/>
    <w:rsid w:val="003C6F56"/>
    <w:rsid w:val="003C6F5A"/>
    <w:rsid w:val="003C70E5"/>
    <w:rsid w:val="003C710C"/>
    <w:rsid w:val="003C71FA"/>
    <w:rsid w:val="003C755C"/>
    <w:rsid w:val="003C777B"/>
    <w:rsid w:val="003C7809"/>
    <w:rsid w:val="003C7BDD"/>
    <w:rsid w:val="003C7C03"/>
    <w:rsid w:val="003C7E32"/>
    <w:rsid w:val="003D02A9"/>
    <w:rsid w:val="003D06AE"/>
    <w:rsid w:val="003D0A09"/>
    <w:rsid w:val="003D0EBA"/>
    <w:rsid w:val="003D1216"/>
    <w:rsid w:val="003D1397"/>
    <w:rsid w:val="003D14B8"/>
    <w:rsid w:val="003D2053"/>
    <w:rsid w:val="003D2AEA"/>
    <w:rsid w:val="003D2B39"/>
    <w:rsid w:val="003D2C06"/>
    <w:rsid w:val="003D30DB"/>
    <w:rsid w:val="003D3303"/>
    <w:rsid w:val="003D376C"/>
    <w:rsid w:val="003D3C31"/>
    <w:rsid w:val="003D3FD0"/>
    <w:rsid w:val="003D4192"/>
    <w:rsid w:val="003D47D1"/>
    <w:rsid w:val="003D47EA"/>
    <w:rsid w:val="003D569F"/>
    <w:rsid w:val="003D5756"/>
    <w:rsid w:val="003D57B5"/>
    <w:rsid w:val="003D5B7B"/>
    <w:rsid w:val="003D5BD6"/>
    <w:rsid w:val="003D5FC3"/>
    <w:rsid w:val="003D6170"/>
    <w:rsid w:val="003D65F0"/>
    <w:rsid w:val="003D7124"/>
    <w:rsid w:val="003D7B50"/>
    <w:rsid w:val="003D7FC6"/>
    <w:rsid w:val="003E0406"/>
    <w:rsid w:val="003E0672"/>
    <w:rsid w:val="003E09F2"/>
    <w:rsid w:val="003E0EA9"/>
    <w:rsid w:val="003E0F04"/>
    <w:rsid w:val="003E14AA"/>
    <w:rsid w:val="003E157F"/>
    <w:rsid w:val="003E1656"/>
    <w:rsid w:val="003E1876"/>
    <w:rsid w:val="003E19D2"/>
    <w:rsid w:val="003E1DA6"/>
    <w:rsid w:val="003E1EF0"/>
    <w:rsid w:val="003E279E"/>
    <w:rsid w:val="003E27A5"/>
    <w:rsid w:val="003E3810"/>
    <w:rsid w:val="003E3DE1"/>
    <w:rsid w:val="003E3F79"/>
    <w:rsid w:val="003E4361"/>
    <w:rsid w:val="003E43DB"/>
    <w:rsid w:val="003E4453"/>
    <w:rsid w:val="003E4E50"/>
    <w:rsid w:val="003E51D7"/>
    <w:rsid w:val="003E5574"/>
    <w:rsid w:val="003E60A2"/>
    <w:rsid w:val="003E671A"/>
    <w:rsid w:val="003E6A3A"/>
    <w:rsid w:val="003E6D0D"/>
    <w:rsid w:val="003E6D8A"/>
    <w:rsid w:val="003E6DCD"/>
    <w:rsid w:val="003E6EF2"/>
    <w:rsid w:val="003E783C"/>
    <w:rsid w:val="003E7AF5"/>
    <w:rsid w:val="003E7C47"/>
    <w:rsid w:val="003F0904"/>
    <w:rsid w:val="003F198E"/>
    <w:rsid w:val="003F3A39"/>
    <w:rsid w:val="003F41B1"/>
    <w:rsid w:val="003F4E2F"/>
    <w:rsid w:val="003F4FB4"/>
    <w:rsid w:val="003F5165"/>
    <w:rsid w:val="003F5856"/>
    <w:rsid w:val="003F6518"/>
    <w:rsid w:val="003F67C9"/>
    <w:rsid w:val="003F6E1C"/>
    <w:rsid w:val="003F711C"/>
    <w:rsid w:val="003F7717"/>
    <w:rsid w:val="003F7731"/>
    <w:rsid w:val="003F7DF9"/>
    <w:rsid w:val="0040004B"/>
    <w:rsid w:val="00400219"/>
    <w:rsid w:val="004003D8"/>
    <w:rsid w:val="00400FD4"/>
    <w:rsid w:val="0040133B"/>
    <w:rsid w:val="00401738"/>
    <w:rsid w:val="00401B62"/>
    <w:rsid w:val="00401C0B"/>
    <w:rsid w:val="0040213D"/>
    <w:rsid w:val="00402474"/>
    <w:rsid w:val="004026AE"/>
    <w:rsid w:val="00402719"/>
    <w:rsid w:val="00402752"/>
    <w:rsid w:val="0040294A"/>
    <w:rsid w:val="00402BD7"/>
    <w:rsid w:val="00402DD2"/>
    <w:rsid w:val="00402EA5"/>
    <w:rsid w:val="00403169"/>
    <w:rsid w:val="004034D8"/>
    <w:rsid w:val="00404207"/>
    <w:rsid w:val="0040475C"/>
    <w:rsid w:val="0040475D"/>
    <w:rsid w:val="0040479C"/>
    <w:rsid w:val="00404C19"/>
    <w:rsid w:val="0040569C"/>
    <w:rsid w:val="00405847"/>
    <w:rsid w:val="00405C08"/>
    <w:rsid w:val="004061C1"/>
    <w:rsid w:val="00406237"/>
    <w:rsid w:val="004071B6"/>
    <w:rsid w:val="00407EC1"/>
    <w:rsid w:val="00407ED6"/>
    <w:rsid w:val="004106CE"/>
    <w:rsid w:val="0041072A"/>
    <w:rsid w:val="00410814"/>
    <w:rsid w:val="004108A1"/>
    <w:rsid w:val="004111F2"/>
    <w:rsid w:val="00411270"/>
    <w:rsid w:val="00411311"/>
    <w:rsid w:val="004115B9"/>
    <w:rsid w:val="00412411"/>
    <w:rsid w:val="0041242E"/>
    <w:rsid w:val="00412869"/>
    <w:rsid w:val="00412BE7"/>
    <w:rsid w:val="0041332B"/>
    <w:rsid w:val="004152C7"/>
    <w:rsid w:val="00415711"/>
    <w:rsid w:val="00415846"/>
    <w:rsid w:val="004160EF"/>
    <w:rsid w:val="004162DC"/>
    <w:rsid w:val="00416621"/>
    <w:rsid w:val="00416796"/>
    <w:rsid w:val="0041684E"/>
    <w:rsid w:val="00416E08"/>
    <w:rsid w:val="0041700D"/>
    <w:rsid w:val="0041731A"/>
    <w:rsid w:val="00417403"/>
    <w:rsid w:val="0041780F"/>
    <w:rsid w:val="00417AEA"/>
    <w:rsid w:val="0042015C"/>
    <w:rsid w:val="00420AF4"/>
    <w:rsid w:val="00421427"/>
    <w:rsid w:val="00421457"/>
    <w:rsid w:val="00421553"/>
    <w:rsid w:val="00421B6F"/>
    <w:rsid w:val="00421EBC"/>
    <w:rsid w:val="00422460"/>
    <w:rsid w:val="00422CC5"/>
    <w:rsid w:val="0042306F"/>
    <w:rsid w:val="0042395C"/>
    <w:rsid w:val="00423D03"/>
    <w:rsid w:val="00423D9A"/>
    <w:rsid w:val="00423EA6"/>
    <w:rsid w:val="004241C4"/>
    <w:rsid w:val="00424560"/>
    <w:rsid w:val="00424611"/>
    <w:rsid w:val="00424843"/>
    <w:rsid w:val="00424AEC"/>
    <w:rsid w:val="00425393"/>
    <w:rsid w:val="004253D0"/>
    <w:rsid w:val="00425823"/>
    <w:rsid w:val="0042676D"/>
    <w:rsid w:val="00426EF5"/>
    <w:rsid w:val="00426FCF"/>
    <w:rsid w:val="00427643"/>
    <w:rsid w:val="00427A79"/>
    <w:rsid w:val="00427C27"/>
    <w:rsid w:val="00427FD7"/>
    <w:rsid w:val="00430062"/>
    <w:rsid w:val="004301E2"/>
    <w:rsid w:val="0043075D"/>
    <w:rsid w:val="00430933"/>
    <w:rsid w:val="00430C64"/>
    <w:rsid w:val="00430EC2"/>
    <w:rsid w:val="00431190"/>
    <w:rsid w:val="004313A1"/>
    <w:rsid w:val="00431974"/>
    <w:rsid w:val="004319B6"/>
    <w:rsid w:val="00431CEF"/>
    <w:rsid w:val="00431E23"/>
    <w:rsid w:val="00432981"/>
    <w:rsid w:val="00433546"/>
    <w:rsid w:val="00433CAC"/>
    <w:rsid w:val="00434208"/>
    <w:rsid w:val="004343B0"/>
    <w:rsid w:val="004343E0"/>
    <w:rsid w:val="00434697"/>
    <w:rsid w:val="00434B90"/>
    <w:rsid w:val="00435631"/>
    <w:rsid w:val="00435700"/>
    <w:rsid w:val="004357C0"/>
    <w:rsid w:val="004359EC"/>
    <w:rsid w:val="004372D8"/>
    <w:rsid w:val="00437FDE"/>
    <w:rsid w:val="00440457"/>
    <w:rsid w:val="004404BB"/>
    <w:rsid w:val="0044100C"/>
    <w:rsid w:val="004411DA"/>
    <w:rsid w:val="00441408"/>
    <w:rsid w:val="00441590"/>
    <w:rsid w:val="00441DF4"/>
    <w:rsid w:val="0044231F"/>
    <w:rsid w:val="00442851"/>
    <w:rsid w:val="00442984"/>
    <w:rsid w:val="0044362C"/>
    <w:rsid w:val="0044474A"/>
    <w:rsid w:val="00444849"/>
    <w:rsid w:val="004448B2"/>
    <w:rsid w:val="00444D01"/>
    <w:rsid w:val="00444DB4"/>
    <w:rsid w:val="00445206"/>
    <w:rsid w:val="00445420"/>
    <w:rsid w:val="00445C11"/>
    <w:rsid w:val="00446C5B"/>
    <w:rsid w:val="00446CF8"/>
    <w:rsid w:val="00446ECB"/>
    <w:rsid w:val="00447179"/>
    <w:rsid w:val="0044779A"/>
    <w:rsid w:val="00447BFA"/>
    <w:rsid w:val="00450248"/>
    <w:rsid w:val="00450A47"/>
    <w:rsid w:val="00451278"/>
    <w:rsid w:val="0045146A"/>
    <w:rsid w:val="00451730"/>
    <w:rsid w:val="004518FA"/>
    <w:rsid w:val="0045194D"/>
    <w:rsid w:val="00451E22"/>
    <w:rsid w:val="004529BC"/>
    <w:rsid w:val="00452D6B"/>
    <w:rsid w:val="00453643"/>
    <w:rsid w:val="00453CA8"/>
    <w:rsid w:val="00453F45"/>
    <w:rsid w:val="00454745"/>
    <w:rsid w:val="00454B5B"/>
    <w:rsid w:val="0045520D"/>
    <w:rsid w:val="00455767"/>
    <w:rsid w:val="00455F57"/>
    <w:rsid w:val="004564A3"/>
    <w:rsid w:val="0045696F"/>
    <w:rsid w:val="00456AEF"/>
    <w:rsid w:val="00456B67"/>
    <w:rsid w:val="00456BB2"/>
    <w:rsid w:val="00456C94"/>
    <w:rsid w:val="004570AA"/>
    <w:rsid w:val="00457922"/>
    <w:rsid w:val="0046001B"/>
    <w:rsid w:val="00460E21"/>
    <w:rsid w:val="00461DBA"/>
    <w:rsid w:val="00461E94"/>
    <w:rsid w:val="00462267"/>
    <w:rsid w:val="004623CA"/>
    <w:rsid w:val="00462A76"/>
    <w:rsid w:val="00462DE9"/>
    <w:rsid w:val="0046330F"/>
    <w:rsid w:val="00463408"/>
    <w:rsid w:val="004635B9"/>
    <w:rsid w:val="00463649"/>
    <w:rsid w:val="00463987"/>
    <w:rsid w:val="0046418B"/>
    <w:rsid w:val="0046442F"/>
    <w:rsid w:val="004648F3"/>
    <w:rsid w:val="00464B33"/>
    <w:rsid w:val="00465200"/>
    <w:rsid w:val="0046551F"/>
    <w:rsid w:val="0046566C"/>
    <w:rsid w:val="0046568C"/>
    <w:rsid w:val="004659D2"/>
    <w:rsid w:val="00465BA3"/>
    <w:rsid w:val="004663A9"/>
    <w:rsid w:val="00466980"/>
    <w:rsid w:val="004669E7"/>
    <w:rsid w:val="00466BEC"/>
    <w:rsid w:val="0046701A"/>
    <w:rsid w:val="00467786"/>
    <w:rsid w:val="00467DC9"/>
    <w:rsid w:val="004701FA"/>
    <w:rsid w:val="0047073A"/>
    <w:rsid w:val="00470832"/>
    <w:rsid w:val="00470BE8"/>
    <w:rsid w:val="00472278"/>
    <w:rsid w:val="004728B9"/>
    <w:rsid w:val="004728D2"/>
    <w:rsid w:val="00473341"/>
    <w:rsid w:val="00473A20"/>
    <w:rsid w:val="00473E56"/>
    <w:rsid w:val="004746F6"/>
    <w:rsid w:val="0047496F"/>
    <w:rsid w:val="004753EC"/>
    <w:rsid w:val="0047545B"/>
    <w:rsid w:val="004757A6"/>
    <w:rsid w:val="00475F0B"/>
    <w:rsid w:val="00475F44"/>
    <w:rsid w:val="004763E0"/>
    <w:rsid w:val="00477021"/>
    <w:rsid w:val="004776AE"/>
    <w:rsid w:val="004778FF"/>
    <w:rsid w:val="00477D51"/>
    <w:rsid w:val="00480104"/>
    <w:rsid w:val="00480DB2"/>
    <w:rsid w:val="004814D9"/>
    <w:rsid w:val="004817A9"/>
    <w:rsid w:val="00481911"/>
    <w:rsid w:val="00481AF1"/>
    <w:rsid w:val="00481CC6"/>
    <w:rsid w:val="00481DA0"/>
    <w:rsid w:val="00481DC4"/>
    <w:rsid w:val="0048247B"/>
    <w:rsid w:val="0048255F"/>
    <w:rsid w:val="00482A4B"/>
    <w:rsid w:val="00482C76"/>
    <w:rsid w:val="004833D4"/>
    <w:rsid w:val="0048358B"/>
    <w:rsid w:val="00483924"/>
    <w:rsid w:val="00484E04"/>
    <w:rsid w:val="00484F66"/>
    <w:rsid w:val="00484FAA"/>
    <w:rsid w:val="0048513D"/>
    <w:rsid w:val="0048570B"/>
    <w:rsid w:val="00485E6A"/>
    <w:rsid w:val="00485F71"/>
    <w:rsid w:val="004861A0"/>
    <w:rsid w:val="004868EF"/>
    <w:rsid w:val="00486F72"/>
    <w:rsid w:val="004873EE"/>
    <w:rsid w:val="004874A3"/>
    <w:rsid w:val="00487BE8"/>
    <w:rsid w:val="00487C0E"/>
    <w:rsid w:val="00487E95"/>
    <w:rsid w:val="00490418"/>
    <w:rsid w:val="004904E0"/>
    <w:rsid w:val="00490612"/>
    <w:rsid w:val="00490A1A"/>
    <w:rsid w:val="00490C36"/>
    <w:rsid w:val="00491058"/>
    <w:rsid w:val="00491457"/>
    <w:rsid w:val="004919AC"/>
    <w:rsid w:val="00492E02"/>
    <w:rsid w:val="00493659"/>
    <w:rsid w:val="00493815"/>
    <w:rsid w:val="0049385A"/>
    <w:rsid w:val="00493D22"/>
    <w:rsid w:val="00493DF3"/>
    <w:rsid w:val="00493DFD"/>
    <w:rsid w:val="00494073"/>
    <w:rsid w:val="004944B4"/>
    <w:rsid w:val="004944F4"/>
    <w:rsid w:val="004946F4"/>
    <w:rsid w:val="00494A96"/>
    <w:rsid w:val="00494AA7"/>
    <w:rsid w:val="00495376"/>
    <w:rsid w:val="00495F69"/>
    <w:rsid w:val="004964BC"/>
    <w:rsid w:val="004967F6"/>
    <w:rsid w:val="00497EDF"/>
    <w:rsid w:val="004A0497"/>
    <w:rsid w:val="004A082A"/>
    <w:rsid w:val="004A0CCF"/>
    <w:rsid w:val="004A1388"/>
    <w:rsid w:val="004A17FE"/>
    <w:rsid w:val="004A1A60"/>
    <w:rsid w:val="004A1F56"/>
    <w:rsid w:val="004A330B"/>
    <w:rsid w:val="004A3747"/>
    <w:rsid w:val="004A3BAC"/>
    <w:rsid w:val="004A3F43"/>
    <w:rsid w:val="004A412C"/>
    <w:rsid w:val="004A4269"/>
    <w:rsid w:val="004A4685"/>
    <w:rsid w:val="004A49AA"/>
    <w:rsid w:val="004A4B6A"/>
    <w:rsid w:val="004A5721"/>
    <w:rsid w:val="004A5F63"/>
    <w:rsid w:val="004A60CF"/>
    <w:rsid w:val="004A6378"/>
    <w:rsid w:val="004A67C7"/>
    <w:rsid w:val="004A6BC8"/>
    <w:rsid w:val="004A6EA6"/>
    <w:rsid w:val="004A70F1"/>
    <w:rsid w:val="004A75B4"/>
    <w:rsid w:val="004A7735"/>
    <w:rsid w:val="004A7AE1"/>
    <w:rsid w:val="004A7AEF"/>
    <w:rsid w:val="004B057B"/>
    <w:rsid w:val="004B0712"/>
    <w:rsid w:val="004B083D"/>
    <w:rsid w:val="004B0D29"/>
    <w:rsid w:val="004B21B1"/>
    <w:rsid w:val="004B25AF"/>
    <w:rsid w:val="004B300A"/>
    <w:rsid w:val="004B337E"/>
    <w:rsid w:val="004B362F"/>
    <w:rsid w:val="004B4EFC"/>
    <w:rsid w:val="004B51EC"/>
    <w:rsid w:val="004B557C"/>
    <w:rsid w:val="004B5C6A"/>
    <w:rsid w:val="004B6C56"/>
    <w:rsid w:val="004B6C8F"/>
    <w:rsid w:val="004B6D51"/>
    <w:rsid w:val="004B710E"/>
    <w:rsid w:val="004B721E"/>
    <w:rsid w:val="004B7396"/>
    <w:rsid w:val="004B7528"/>
    <w:rsid w:val="004B763E"/>
    <w:rsid w:val="004B778B"/>
    <w:rsid w:val="004C02A8"/>
    <w:rsid w:val="004C061F"/>
    <w:rsid w:val="004C06B8"/>
    <w:rsid w:val="004C1CF8"/>
    <w:rsid w:val="004C2176"/>
    <w:rsid w:val="004C2318"/>
    <w:rsid w:val="004C2E93"/>
    <w:rsid w:val="004C2F77"/>
    <w:rsid w:val="004C3186"/>
    <w:rsid w:val="004C3334"/>
    <w:rsid w:val="004C33E3"/>
    <w:rsid w:val="004C3680"/>
    <w:rsid w:val="004C3CE4"/>
    <w:rsid w:val="004C4391"/>
    <w:rsid w:val="004C453C"/>
    <w:rsid w:val="004C468C"/>
    <w:rsid w:val="004C4D25"/>
    <w:rsid w:val="004C5276"/>
    <w:rsid w:val="004C590E"/>
    <w:rsid w:val="004C6484"/>
    <w:rsid w:val="004C64B4"/>
    <w:rsid w:val="004C681B"/>
    <w:rsid w:val="004C6CDF"/>
    <w:rsid w:val="004C7580"/>
    <w:rsid w:val="004C796E"/>
    <w:rsid w:val="004D0677"/>
    <w:rsid w:val="004D0746"/>
    <w:rsid w:val="004D0838"/>
    <w:rsid w:val="004D09B4"/>
    <w:rsid w:val="004D189A"/>
    <w:rsid w:val="004D1FD3"/>
    <w:rsid w:val="004D2325"/>
    <w:rsid w:val="004D2C3F"/>
    <w:rsid w:val="004D2DF6"/>
    <w:rsid w:val="004D3437"/>
    <w:rsid w:val="004D3A9A"/>
    <w:rsid w:val="004D3BAE"/>
    <w:rsid w:val="004D3ED3"/>
    <w:rsid w:val="004D4636"/>
    <w:rsid w:val="004D489C"/>
    <w:rsid w:val="004D4962"/>
    <w:rsid w:val="004D4B9C"/>
    <w:rsid w:val="004D50B9"/>
    <w:rsid w:val="004D5154"/>
    <w:rsid w:val="004D5872"/>
    <w:rsid w:val="004D5E92"/>
    <w:rsid w:val="004D6146"/>
    <w:rsid w:val="004D620E"/>
    <w:rsid w:val="004D7125"/>
    <w:rsid w:val="004E05DF"/>
    <w:rsid w:val="004E1135"/>
    <w:rsid w:val="004E11DD"/>
    <w:rsid w:val="004E1BDC"/>
    <w:rsid w:val="004E1E9A"/>
    <w:rsid w:val="004E24D1"/>
    <w:rsid w:val="004E291D"/>
    <w:rsid w:val="004E2D3F"/>
    <w:rsid w:val="004E3079"/>
    <w:rsid w:val="004E3218"/>
    <w:rsid w:val="004E358C"/>
    <w:rsid w:val="004E4080"/>
    <w:rsid w:val="004E49E2"/>
    <w:rsid w:val="004E4ACF"/>
    <w:rsid w:val="004E4FD2"/>
    <w:rsid w:val="004E5276"/>
    <w:rsid w:val="004E56D9"/>
    <w:rsid w:val="004E588A"/>
    <w:rsid w:val="004E5D79"/>
    <w:rsid w:val="004E6765"/>
    <w:rsid w:val="004E67C8"/>
    <w:rsid w:val="004E685C"/>
    <w:rsid w:val="004E6979"/>
    <w:rsid w:val="004E6ADB"/>
    <w:rsid w:val="004E7179"/>
    <w:rsid w:val="004E72EE"/>
    <w:rsid w:val="004E7414"/>
    <w:rsid w:val="004E7A85"/>
    <w:rsid w:val="004E7CB8"/>
    <w:rsid w:val="004E7E4E"/>
    <w:rsid w:val="004F0139"/>
    <w:rsid w:val="004F015C"/>
    <w:rsid w:val="004F0548"/>
    <w:rsid w:val="004F06ED"/>
    <w:rsid w:val="004F0DC2"/>
    <w:rsid w:val="004F0F4D"/>
    <w:rsid w:val="004F10F7"/>
    <w:rsid w:val="004F1137"/>
    <w:rsid w:val="004F1327"/>
    <w:rsid w:val="004F14F0"/>
    <w:rsid w:val="004F243C"/>
    <w:rsid w:val="004F2BF4"/>
    <w:rsid w:val="004F30F6"/>
    <w:rsid w:val="004F3288"/>
    <w:rsid w:val="004F3640"/>
    <w:rsid w:val="004F397A"/>
    <w:rsid w:val="004F3BE7"/>
    <w:rsid w:val="004F3C91"/>
    <w:rsid w:val="004F3DA6"/>
    <w:rsid w:val="004F4102"/>
    <w:rsid w:val="004F4113"/>
    <w:rsid w:val="004F438C"/>
    <w:rsid w:val="004F4562"/>
    <w:rsid w:val="004F45C5"/>
    <w:rsid w:val="004F4693"/>
    <w:rsid w:val="004F5BB9"/>
    <w:rsid w:val="004F62B0"/>
    <w:rsid w:val="004F6C7C"/>
    <w:rsid w:val="004F6D59"/>
    <w:rsid w:val="004F6F4F"/>
    <w:rsid w:val="004F75DE"/>
    <w:rsid w:val="004F7C67"/>
    <w:rsid w:val="00500100"/>
    <w:rsid w:val="005002C9"/>
    <w:rsid w:val="005002E2"/>
    <w:rsid w:val="005003B9"/>
    <w:rsid w:val="005004AE"/>
    <w:rsid w:val="005005E1"/>
    <w:rsid w:val="005006EA"/>
    <w:rsid w:val="00500C29"/>
    <w:rsid w:val="00500EB2"/>
    <w:rsid w:val="0050105C"/>
    <w:rsid w:val="00501CC7"/>
    <w:rsid w:val="005026AE"/>
    <w:rsid w:val="0050388C"/>
    <w:rsid w:val="005039B4"/>
    <w:rsid w:val="00503C3B"/>
    <w:rsid w:val="00503E7A"/>
    <w:rsid w:val="00504003"/>
    <w:rsid w:val="00504060"/>
    <w:rsid w:val="00504159"/>
    <w:rsid w:val="00504B26"/>
    <w:rsid w:val="00504D1C"/>
    <w:rsid w:val="00504F63"/>
    <w:rsid w:val="005050DC"/>
    <w:rsid w:val="00505783"/>
    <w:rsid w:val="005063B1"/>
    <w:rsid w:val="005065B0"/>
    <w:rsid w:val="005068FB"/>
    <w:rsid w:val="00507B8F"/>
    <w:rsid w:val="00507C6C"/>
    <w:rsid w:val="00507D81"/>
    <w:rsid w:val="00507ECD"/>
    <w:rsid w:val="005104B2"/>
    <w:rsid w:val="00510540"/>
    <w:rsid w:val="005105A3"/>
    <w:rsid w:val="005105D8"/>
    <w:rsid w:val="005107D3"/>
    <w:rsid w:val="0051269E"/>
    <w:rsid w:val="00512FC8"/>
    <w:rsid w:val="00513092"/>
    <w:rsid w:val="0051410A"/>
    <w:rsid w:val="0051458E"/>
    <w:rsid w:val="0051500B"/>
    <w:rsid w:val="00515338"/>
    <w:rsid w:val="00515383"/>
    <w:rsid w:val="0051593D"/>
    <w:rsid w:val="00515B2D"/>
    <w:rsid w:val="00516059"/>
    <w:rsid w:val="0051613C"/>
    <w:rsid w:val="00516986"/>
    <w:rsid w:val="00516B1F"/>
    <w:rsid w:val="00516E23"/>
    <w:rsid w:val="005174DD"/>
    <w:rsid w:val="005179B5"/>
    <w:rsid w:val="00517CEB"/>
    <w:rsid w:val="00517ECA"/>
    <w:rsid w:val="00520182"/>
    <w:rsid w:val="00520901"/>
    <w:rsid w:val="0052185A"/>
    <w:rsid w:val="00521D98"/>
    <w:rsid w:val="00523400"/>
    <w:rsid w:val="00523AF6"/>
    <w:rsid w:val="00523D29"/>
    <w:rsid w:val="00523E4B"/>
    <w:rsid w:val="005240D6"/>
    <w:rsid w:val="005251EA"/>
    <w:rsid w:val="00525574"/>
    <w:rsid w:val="00525932"/>
    <w:rsid w:val="00526014"/>
    <w:rsid w:val="00526557"/>
    <w:rsid w:val="0052687A"/>
    <w:rsid w:val="00526F46"/>
    <w:rsid w:val="0052702B"/>
    <w:rsid w:val="005271E5"/>
    <w:rsid w:val="005274B0"/>
    <w:rsid w:val="005277D1"/>
    <w:rsid w:val="00527A39"/>
    <w:rsid w:val="00527A7D"/>
    <w:rsid w:val="00530841"/>
    <w:rsid w:val="00530998"/>
    <w:rsid w:val="00530F54"/>
    <w:rsid w:val="00531C87"/>
    <w:rsid w:val="00532684"/>
    <w:rsid w:val="00532806"/>
    <w:rsid w:val="00532B0C"/>
    <w:rsid w:val="00532FC2"/>
    <w:rsid w:val="0053302B"/>
    <w:rsid w:val="00533149"/>
    <w:rsid w:val="00533331"/>
    <w:rsid w:val="005337D3"/>
    <w:rsid w:val="00533C24"/>
    <w:rsid w:val="00533E75"/>
    <w:rsid w:val="0053427C"/>
    <w:rsid w:val="00534391"/>
    <w:rsid w:val="0053446E"/>
    <w:rsid w:val="00534A82"/>
    <w:rsid w:val="0053566E"/>
    <w:rsid w:val="005358A3"/>
    <w:rsid w:val="00535924"/>
    <w:rsid w:val="00535E01"/>
    <w:rsid w:val="005369DA"/>
    <w:rsid w:val="005373EF"/>
    <w:rsid w:val="00537972"/>
    <w:rsid w:val="00537ADB"/>
    <w:rsid w:val="00537D98"/>
    <w:rsid w:val="005406CB"/>
    <w:rsid w:val="00540A89"/>
    <w:rsid w:val="005413F2"/>
    <w:rsid w:val="005416E2"/>
    <w:rsid w:val="005417E3"/>
    <w:rsid w:val="00541DD4"/>
    <w:rsid w:val="00541E70"/>
    <w:rsid w:val="0054202F"/>
    <w:rsid w:val="005420BB"/>
    <w:rsid w:val="005421D4"/>
    <w:rsid w:val="00542840"/>
    <w:rsid w:val="00542AD3"/>
    <w:rsid w:val="0054318C"/>
    <w:rsid w:val="00543842"/>
    <w:rsid w:val="0054470D"/>
    <w:rsid w:val="00544D7E"/>
    <w:rsid w:val="005454E8"/>
    <w:rsid w:val="00545AD9"/>
    <w:rsid w:val="00545D6A"/>
    <w:rsid w:val="00546128"/>
    <w:rsid w:val="0054619D"/>
    <w:rsid w:val="0054624F"/>
    <w:rsid w:val="005463C4"/>
    <w:rsid w:val="00546C43"/>
    <w:rsid w:val="00546D37"/>
    <w:rsid w:val="005470D3"/>
    <w:rsid w:val="005473FA"/>
    <w:rsid w:val="00547AFF"/>
    <w:rsid w:val="00547B39"/>
    <w:rsid w:val="00547D49"/>
    <w:rsid w:val="00550DAE"/>
    <w:rsid w:val="005512FD"/>
    <w:rsid w:val="005514F4"/>
    <w:rsid w:val="00551C8D"/>
    <w:rsid w:val="00551EEE"/>
    <w:rsid w:val="005520DB"/>
    <w:rsid w:val="0055232C"/>
    <w:rsid w:val="0055251C"/>
    <w:rsid w:val="0055342A"/>
    <w:rsid w:val="00554205"/>
    <w:rsid w:val="00554AE2"/>
    <w:rsid w:val="00554F79"/>
    <w:rsid w:val="005550E8"/>
    <w:rsid w:val="00555CEA"/>
    <w:rsid w:val="00556364"/>
    <w:rsid w:val="00556ECB"/>
    <w:rsid w:val="00557585"/>
    <w:rsid w:val="00557AE7"/>
    <w:rsid w:val="00557FC3"/>
    <w:rsid w:val="0056096D"/>
    <w:rsid w:val="00560A0E"/>
    <w:rsid w:val="00561462"/>
    <w:rsid w:val="00561B8B"/>
    <w:rsid w:val="00561E5F"/>
    <w:rsid w:val="00562062"/>
    <w:rsid w:val="005621A3"/>
    <w:rsid w:val="005621D8"/>
    <w:rsid w:val="0056243A"/>
    <w:rsid w:val="00562EC7"/>
    <w:rsid w:val="00563A13"/>
    <w:rsid w:val="00563DC3"/>
    <w:rsid w:val="00563EA3"/>
    <w:rsid w:val="00563F73"/>
    <w:rsid w:val="00564109"/>
    <w:rsid w:val="005652C7"/>
    <w:rsid w:val="005657AD"/>
    <w:rsid w:val="0056694C"/>
    <w:rsid w:val="00566E3A"/>
    <w:rsid w:val="00567187"/>
    <w:rsid w:val="00567976"/>
    <w:rsid w:val="00567F91"/>
    <w:rsid w:val="00570CAD"/>
    <w:rsid w:val="00571386"/>
    <w:rsid w:val="005717E5"/>
    <w:rsid w:val="00571E0E"/>
    <w:rsid w:val="0057293F"/>
    <w:rsid w:val="00572E16"/>
    <w:rsid w:val="005733F5"/>
    <w:rsid w:val="00573582"/>
    <w:rsid w:val="005737FA"/>
    <w:rsid w:val="00573BEB"/>
    <w:rsid w:val="00573D23"/>
    <w:rsid w:val="00573D62"/>
    <w:rsid w:val="00573E5B"/>
    <w:rsid w:val="0057416C"/>
    <w:rsid w:val="00574BB2"/>
    <w:rsid w:val="00574E62"/>
    <w:rsid w:val="00575856"/>
    <w:rsid w:val="005760D0"/>
    <w:rsid w:val="0057619D"/>
    <w:rsid w:val="0057626F"/>
    <w:rsid w:val="005764FE"/>
    <w:rsid w:val="00576609"/>
    <w:rsid w:val="00576D06"/>
    <w:rsid w:val="00576E5D"/>
    <w:rsid w:val="005773A5"/>
    <w:rsid w:val="005775A7"/>
    <w:rsid w:val="005809D5"/>
    <w:rsid w:val="0058117B"/>
    <w:rsid w:val="005815C7"/>
    <w:rsid w:val="0058192B"/>
    <w:rsid w:val="00581CB1"/>
    <w:rsid w:val="00581DB0"/>
    <w:rsid w:val="00581E1F"/>
    <w:rsid w:val="0058290D"/>
    <w:rsid w:val="0058292D"/>
    <w:rsid w:val="00582A05"/>
    <w:rsid w:val="005837D9"/>
    <w:rsid w:val="005837EB"/>
    <w:rsid w:val="005846AD"/>
    <w:rsid w:val="005846DB"/>
    <w:rsid w:val="005847D6"/>
    <w:rsid w:val="005851AB"/>
    <w:rsid w:val="005854F0"/>
    <w:rsid w:val="00585C05"/>
    <w:rsid w:val="00585EAC"/>
    <w:rsid w:val="005860C0"/>
    <w:rsid w:val="0058694D"/>
    <w:rsid w:val="00586C07"/>
    <w:rsid w:val="00587910"/>
    <w:rsid w:val="00590364"/>
    <w:rsid w:val="00590AD9"/>
    <w:rsid w:val="0059132A"/>
    <w:rsid w:val="00591582"/>
    <w:rsid w:val="00591640"/>
    <w:rsid w:val="005918DD"/>
    <w:rsid w:val="0059205F"/>
    <w:rsid w:val="005927DE"/>
    <w:rsid w:val="00592C0E"/>
    <w:rsid w:val="00592E56"/>
    <w:rsid w:val="00593123"/>
    <w:rsid w:val="00593510"/>
    <w:rsid w:val="00593883"/>
    <w:rsid w:val="00593B5D"/>
    <w:rsid w:val="00593C39"/>
    <w:rsid w:val="00593C94"/>
    <w:rsid w:val="00593F45"/>
    <w:rsid w:val="00594C79"/>
    <w:rsid w:val="00594E08"/>
    <w:rsid w:val="00595039"/>
    <w:rsid w:val="005956B1"/>
    <w:rsid w:val="0059699E"/>
    <w:rsid w:val="00596C41"/>
    <w:rsid w:val="00597161"/>
    <w:rsid w:val="00597385"/>
    <w:rsid w:val="00597441"/>
    <w:rsid w:val="00597443"/>
    <w:rsid w:val="00597638"/>
    <w:rsid w:val="005976AF"/>
    <w:rsid w:val="005976DC"/>
    <w:rsid w:val="00597EAD"/>
    <w:rsid w:val="00597F31"/>
    <w:rsid w:val="005A0346"/>
    <w:rsid w:val="005A0660"/>
    <w:rsid w:val="005A0735"/>
    <w:rsid w:val="005A0860"/>
    <w:rsid w:val="005A0D50"/>
    <w:rsid w:val="005A1071"/>
    <w:rsid w:val="005A158B"/>
    <w:rsid w:val="005A15AC"/>
    <w:rsid w:val="005A201C"/>
    <w:rsid w:val="005A245E"/>
    <w:rsid w:val="005A2DAD"/>
    <w:rsid w:val="005A3291"/>
    <w:rsid w:val="005A3427"/>
    <w:rsid w:val="005A39CD"/>
    <w:rsid w:val="005A3AD7"/>
    <w:rsid w:val="005A3DB8"/>
    <w:rsid w:val="005A407E"/>
    <w:rsid w:val="005A40C5"/>
    <w:rsid w:val="005A528A"/>
    <w:rsid w:val="005A5B95"/>
    <w:rsid w:val="005A605C"/>
    <w:rsid w:val="005A61D1"/>
    <w:rsid w:val="005A6408"/>
    <w:rsid w:val="005A71CC"/>
    <w:rsid w:val="005A7354"/>
    <w:rsid w:val="005A76DD"/>
    <w:rsid w:val="005A7FA3"/>
    <w:rsid w:val="005B030F"/>
    <w:rsid w:val="005B048A"/>
    <w:rsid w:val="005B0505"/>
    <w:rsid w:val="005B126E"/>
    <w:rsid w:val="005B1351"/>
    <w:rsid w:val="005B2286"/>
    <w:rsid w:val="005B2294"/>
    <w:rsid w:val="005B294C"/>
    <w:rsid w:val="005B2D51"/>
    <w:rsid w:val="005B2F83"/>
    <w:rsid w:val="005B33C8"/>
    <w:rsid w:val="005B3526"/>
    <w:rsid w:val="005B3AAE"/>
    <w:rsid w:val="005B40B9"/>
    <w:rsid w:val="005B417A"/>
    <w:rsid w:val="005B4260"/>
    <w:rsid w:val="005B4D41"/>
    <w:rsid w:val="005B4E0F"/>
    <w:rsid w:val="005B4EF5"/>
    <w:rsid w:val="005B4F25"/>
    <w:rsid w:val="005B4FB4"/>
    <w:rsid w:val="005B53FC"/>
    <w:rsid w:val="005B589E"/>
    <w:rsid w:val="005B5A7D"/>
    <w:rsid w:val="005B5C36"/>
    <w:rsid w:val="005B5D71"/>
    <w:rsid w:val="005B6DAE"/>
    <w:rsid w:val="005B7003"/>
    <w:rsid w:val="005B7354"/>
    <w:rsid w:val="005B76A0"/>
    <w:rsid w:val="005B79BC"/>
    <w:rsid w:val="005B7B5F"/>
    <w:rsid w:val="005C0B87"/>
    <w:rsid w:val="005C0D9A"/>
    <w:rsid w:val="005C164C"/>
    <w:rsid w:val="005C1A57"/>
    <w:rsid w:val="005C1E87"/>
    <w:rsid w:val="005C229F"/>
    <w:rsid w:val="005C23DA"/>
    <w:rsid w:val="005C2630"/>
    <w:rsid w:val="005C2E70"/>
    <w:rsid w:val="005C338E"/>
    <w:rsid w:val="005C39A2"/>
    <w:rsid w:val="005C42E4"/>
    <w:rsid w:val="005C4704"/>
    <w:rsid w:val="005C5BDF"/>
    <w:rsid w:val="005C62A2"/>
    <w:rsid w:val="005C646A"/>
    <w:rsid w:val="005C680D"/>
    <w:rsid w:val="005C6BA8"/>
    <w:rsid w:val="005D0164"/>
    <w:rsid w:val="005D0654"/>
    <w:rsid w:val="005D0DC9"/>
    <w:rsid w:val="005D0E0F"/>
    <w:rsid w:val="005D10D1"/>
    <w:rsid w:val="005D13CC"/>
    <w:rsid w:val="005D14E2"/>
    <w:rsid w:val="005D18D8"/>
    <w:rsid w:val="005D1911"/>
    <w:rsid w:val="005D1BEA"/>
    <w:rsid w:val="005D214C"/>
    <w:rsid w:val="005D2BBD"/>
    <w:rsid w:val="005D30E8"/>
    <w:rsid w:val="005D38F9"/>
    <w:rsid w:val="005D3936"/>
    <w:rsid w:val="005D3BA9"/>
    <w:rsid w:val="005D4C5F"/>
    <w:rsid w:val="005D4D7F"/>
    <w:rsid w:val="005D4E04"/>
    <w:rsid w:val="005D5A18"/>
    <w:rsid w:val="005D5C1A"/>
    <w:rsid w:val="005D5C37"/>
    <w:rsid w:val="005D6022"/>
    <w:rsid w:val="005D6C9D"/>
    <w:rsid w:val="005D7013"/>
    <w:rsid w:val="005D74F1"/>
    <w:rsid w:val="005D7D3E"/>
    <w:rsid w:val="005E027D"/>
    <w:rsid w:val="005E0347"/>
    <w:rsid w:val="005E0937"/>
    <w:rsid w:val="005E096C"/>
    <w:rsid w:val="005E0E9B"/>
    <w:rsid w:val="005E22AD"/>
    <w:rsid w:val="005E2485"/>
    <w:rsid w:val="005E26B3"/>
    <w:rsid w:val="005E2906"/>
    <w:rsid w:val="005E33A6"/>
    <w:rsid w:val="005E3ACA"/>
    <w:rsid w:val="005E3EC2"/>
    <w:rsid w:val="005E3F2F"/>
    <w:rsid w:val="005E44DE"/>
    <w:rsid w:val="005E4ABD"/>
    <w:rsid w:val="005E5192"/>
    <w:rsid w:val="005E535F"/>
    <w:rsid w:val="005E656F"/>
    <w:rsid w:val="005E6C13"/>
    <w:rsid w:val="005E6E56"/>
    <w:rsid w:val="005E773F"/>
    <w:rsid w:val="005E7802"/>
    <w:rsid w:val="005E7868"/>
    <w:rsid w:val="005E78BD"/>
    <w:rsid w:val="005E7CB7"/>
    <w:rsid w:val="005E7D17"/>
    <w:rsid w:val="005F00BA"/>
    <w:rsid w:val="005F01A2"/>
    <w:rsid w:val="005F055F"/>
    <w:rsid w:val="005F0958"/>
    <w:rsid w:val="005F0ADD"/>
    <w:rsid w:val="005F0AE2"/>
    <w:rsid w:val="005F0F13"/>
    <w:rsid w:val="005F13EA"/>
    <w:rsid w:val="005F17E4"/>
    <w:rsid w:val="005F1DBC"/>
    <w:rsid w:val="005F2571"/>
    <w:rsid w:val="005F25B5"/>
    <w:rsid w:val="005F2736"/>
    <w:rsid w:val="005F3A2B"/>
    <w:rsid w:val="005F3A58"/>
    <w:rsid w:val="005F3B39"/>
    <w:rsid w:val="005F4F90"/>
    <w:rsid w:val="005F5066"/>
    <w:rsid w:val="005F53B8"/>
    <w:rsid w:val="005F5B6F"/>
    <w:rsid w:val="005F5F26"/>
    <w:rsid w:val="005F6326"/>
    <w:rsid w:val="005F64E7"/>
    <w:rsid w:val="005F662C"/>
    <w:rsid w:val="005F6961"/>
    <w:rsid w:val="005F6BB6"/>
    <w:rsid w:val="005F6D45"/>
    <w:rsid w:val="005F6E7B"/>
    <w:rsid w:val="005F6F23"/>
    <w:rsid w:val="005F6FF6"/>
    <w:rsid w:val="005F7104"/>
    <w:rsid w:val="005F77A0"/>
    <w:rsid w:val="005F77B6"/>
    <w:rsid w:val="005F7832"/>
    <w:rsid w:val="005F7CAB"/>
    <w:rsid w:val="0060007E"/>
    <w:rsid w:val="006003D6"/>
    <w:rsid w:val="006010AA"/>
    <w:rsid w:val="006010C0"/>
    <w:rsid w:val="006015E9"/>
    <w:rsid w:val="00601777"/>
    <w:rsid w:val="006022F2"/>
    <w:rsid w:val="006025FD"/>
    <w:rsid w:val="00602C02"/>
    <w:rsid w:val="00602D45"/>
    <w:rsid w:val="00602FDF"/>
    <w:rsid w:val="006030D2"/>
    <w:rsid w:val="006031ED"/>
    <w:rsid w:val="00603282"/>
    <w:rsid w:val="006037D4"/>
    <w:rsid w:val="006038B3"/>
    <w:rsid w:val="00603A42"/>
    <w:rsid w:val="00604C2B"/>
    <w:rsid w:val="00604E28"/>
    <w:rsid w:val="006053F8"/>
    <w:rsid w:val="0060545F"/>
    <w:rsid w:val="00605611"/>
    <w:rsid w:val="00605831"/>
    <w:rsid w:val="006064A7"/>
    <w:rsid w:val="006064AE"/>
    <w:rsid w:val="00606A03"/>
    <w:rsid w:val="00606ACC"/>
    <w:rsid w:val="0060785A"/>
    <w:rsid w:val="00607BC6"/>
    <w:rsid w:val="00607D3A"/>
    <w:rsid w:val="00610245"/>
    <w:rsid w:val="0061035F"/>
    <w:rsid w:val="00610669"/>
    <w:rsid w:val="006106AB"/>
    <w:rsid w:val="00610A59"/>
    <w:rsid w:val="00610B02"/>
    <w:rsid w:val="00610B48"/>
    <w:rsid w:val="00610BAE"/>
    <w:rsid w:val="00610C77"/>
    <w:rsid w:val="00610EC3"/>
    <w:rsid w:val="0061101F"/>
    <w:rsid w:val="00611528"/>
    <w:rsid w:val="006117FF"/>
    <w:rsid w:val="00611A95"/>
    <w:rsid w:val="00611DF1"/>
    <w:rsid w:val="00611E3E"/>
    <w:rsid w:val="00612137"/>
    <w:rsid w:val="006123F2"/>
    <w:rsid w:val="00613271"/>
    <w:rsid w:val="00613AF1"/>
    <w:rsid w:val="006145A5"/>
    <w:rsid w:val="00614B43"/>
    <w:rsid w:val="00615139"/>
    <w:rsid w:val="00615187"/>
    <w:rsid w:val="00615A70"/>
    <w:rsid w:val="00615F75"/>
    <w:rsid w:val="00616A77"/>
    <w:rsid w:val="0061733E"/>
    <w:rsid w:val="0061737C"/>
    <w:rsid w:val="006173C9"/>
    <w:rsid w:val="0061789A"/>
    <w:rsid w:val="00617DF8"/>
    <w:rsid w:val="00617FB3"/>
    <w:rsid w:val="0062041C"/>
    <w:rsid w:val="00620D7D"/>
    <w:rsid w:val="0062127F"/>
    <w:rsid w:val="0062238B"/>
    <w:rsid w:val="00622B2C"/>
    <w:rsid w:val="00622D5A"/>
    <w:rsid w:val="00623538"/>
    <w:rsid w:val="006236DF"/>
    <w:rsid w:val="00623B0E"/>
    <w:rsid w:val="00623EF5"/>
    <w:rsid w:val="006242CD"/>
    <w:rsid w:val="0062453F"/>
    <w:rsid w:val="006247F6"/>
    <w:rsid w:val="006249A1"/>
    <w:rsid w:val="00624BEF"/>
    <w:rsid w:val="006254A7"/>
    <w:rsid w:val="00625BA8"/>
    <w:rsid w:val="00625D94"/>
    <w:rsid w:val="006260A4"/>
    <w:rsid w:val="006260FC"/>
    <w:rsid w:val="006263CA"/>
    <w:rsid w:val="00626507"/>
    <w:rsid w:val="00626F52"/>
    <w:rsid w:val="006272DD"/>
    <w:rsid w:val="006278F9"/>
    <w:rsid w:val="00627D15"/>
    <w:rsid w:val="00627DED"/>
    <w:rsid w:val="00630221"/>
    <w:rsid w:val="0063091D"/>
    <w:rsid w:val="00630EA9"/>
    <w:rsid w:val="00631891"/>
    <w:rsid w:val="00631C5B"/>
    <w:rsid w:val="00631FBB"/>
    <w:rsid w:val="006326FB"/>
    <w:rsid w:val="00632842"/>
    <w:rsid w:val="006335D1"/>
    <w:rsid w:val="00633BCE"/>
    <w:rsid w:val="00633C02"/>
    <w:rsid w:val="006342C0"/>
    <w:rsid w:val="00634386"/>
    <w:rsid w:val="0063456D"/>
    <w:rsid w:val="006349B5"/>
    <w:rsid w:val="00634D9F"/>
    <w:rsid w:val="00635491"/>
    <w:rsid w:val="00635EC5"/>
    <w:rsid w:val="00636180"/>
    <w:rsid w:val="006365A4"/>
    <w:rsid w:val="0063671F"/>
    <w:rsid w:val="0063674A"/>
    <w:rsid w:val="0063686A"/>
    <w:rsid w:val="00636D73"/>
    <w:rsid w:val="00636D7E"/>
    <w:rsid w:val="00637402"/>
    <w:rsid w:val="00637691"/>
    <w:rsid w:val="00637BEF"/>
    <w:rsid w:val="00641083"/>
    <w:rsid w:val="00642D1A"/>
    <w:rsid w:val="00642E4F"/>
    <w:rsid w:val="006432F1"/>
    <w:rsid w:val="0064380C"/>
    <w:rsid w:val="00643954"/>
    <w:rsid w:val="00643EE7"/>
    <w:rsid w:val="00644885"/>
    <w:rsid w:val="00645F69"/>
    <w:rsid w:val="00646B12"/>
    <w:rsid w:val="00647814"/>
    <w:rsid w:val="00650015"/>
    <w:rsid w:val="00650AE7"/>
    <w:rsid w:val="00650B0C"/>
    <w:rsid w:val="00650BF7"/>
    <w:rsid w:val="006510E8"/>
    <w:rsid w:val="00651454"/>
    <w:rsid w:val="0065155D"/>
    <w:rsid w:val="00651FFE"/>
    <w:rsid w:val="006529EF"/>
    <w:rsid w:val="00652A80"/>
    <w:rsid w:val="00652E80"/>
    <w:rsid w:val="00653707"/>
    <w:rsid w:val="00653995"/>
    <w:rsid w:val="006546AB"/>
    <w:rsid w:val="00654A88"/>
    <w:rsid w:val="0065542D"/>
    <w:rsid w:val="0065608E"/>
    <w:rsid w:val="006565F9"/>
    <w:rsid w:val="00656A17"/>
    <w:rsid w:val="00656DC3"/>
    <w:rsid w:val="00656E28"/>
    <w:rsid w:val="006570B4"/>
    <w:rsid w:val="006573DE"/>
    <w:rsid w:val="00657C93"/>
    <w:rsid w:val="006603B6"/>
    <w:rsid w:val="00661CB8"/>
    <w:rsid w:val="00661DEF"/>
    <w:rsid w:val="00662223"/>
    <w:rsid w:val="00662394"/>
    <w:rsid w:val="00662865"/>
    <w:rsid w:val="00662B34"/>
    <w:rsid w:val="00663588"/>
    <w:rsid w:val="006638E5"/>
    <w:rsid w:val="00663970"/>
    <w:rsid w:val="00663DC7"/>
    <w:rsid w:val="00664162"/>
    <w:rsid w:val="006641F7"/>
    <w:rsid w:val="00664885"/>
    <w:rsid w:val="0066534B"/>
    <w:rsid w:val="00665523"/>
    <w:rsid w:val="00665581"/>
    <w:rsid w:val="00665DF9"/>
    <w:rsid w:val="00666087"/>
    <w:rsid w:val="00666226"/>
    <w:rsid w:val="00666F07"/>
    <w:rsid w:val="006676B4"/>
    <w:rsid w:val="00667D10"/>
    <w:rsid w:val="00667DAD"/>
    <w:rsid w:val="00670241"/>
    <w:rsid w:val="006703F0"/>
    <w:rsid w:val="0067054C"/>
    <w:rsid w:val="00670A98"/>
    <w:rsid w:val="0067159E"/>
    <w:rsid w:val="00671AB3"/>
    <w:rsid w:val="006724FE"/>
    <w:rsid w:val="00672C47"/>
    <w:rsid w:val="00672DD0"/>
    <w:rsid w:val="006730AD"/>
    <w:rsid w:val="006730E0"/>
    <w:rsid w:val="00673113"/>
    <w:rsid w:val="00673D5F"/>
    <w:rsid w:val="00673FAD"/>
    <w:rsid w:val="0067421E"/>
    <w:rsid w:val="00674580"/>
    <w:rsid w:val="0067481A"/>
    <w:rsid w:val="00674952"/>
    <w:rsid w:val="006755AD"/>
    <w:rsid w:val="00675621"/>
    <w:rsid w:val="006759F2"/>
    <w:rsid w:val="00675BCA"/>
    <w:rsid w:val="00675F1A"/>
    <w:rsid w:val="0067604B"/>
    <w:rsid w:val="0067685F"/>
    <w:rsid w:val="00676DFC"/>
    <w:rsid w:val="00677155"/>
    <w:rsid w:val="006778F9"/>
    <w:rsid w:val="006800D3"/>
    <w:rsid w:val="00680408"/>
    <w:rsid w:val="0068050C"/>
    <w:rsid w:val="006809BC"/>
    <w:rsid w:val="00680B45"/>
    <w:rsid w:val="00680CB8"/>
    <w:rsid w:val="00680D72"/>
    <w:rsid w:val="00680DE1"/>
    <w:rsid w:val="00680E7E"/>
    <w:rsid w:val="00681128"/>
    <w:rsid w:val="00681494"/>
    <w:rsid w:val="00681D79"/>
    <w:rsid w:val="00682110"/>
    <w:rsid w:val="00682474"/>
    <w:rsid w:val="006826EB"/>
    <w:rsid w:val="006829EC"/>
    <w:rsid w:val="00682D8D"/>
    <w:rsid w:val="006830DC"/>
    <w:rsid w:val="0068329D"/>
    <w:rsid w:val="00683B6E"/>
    <w:rsid w:val="006841C9"/>
    <w:rsid w:val="006843B5"/>
    <w:rsid w:val="00684BB3"/>
    <w:rsid w:val="00684E90"/>
    <w:rsid w:val="00685263"/>
    <w:rsid w:val="00685E54"/>
    <w:rsid w:val="006875FA"/>
    <w:rsid w:val="00687F63"/>
    <w:rsid w:val="00690469"/>
    <w:rsid w:val="006906B4"/>
    <w:rsid w:val="006908E9"/>
    <w:rsid w:val="00691358"/>
    <w:rsid w:val="006920C5"/>
    <w:rsid w:val="0069212E"/>
    <w:rsid w:val="006928AF"/>
    <w:rsid w:val="006928B4"/>
    <w:rsid w:val="006934AF"/>
    <w:rsid w:val="00693C08"/>
    <w:rsid w:val="00693CF2"/>
    <w:rsid w:val="00693D28"/>
    <w:rsid w:val="006941A3"/>
    <w:rsid w:val="0069468D"/>
    <w:rsid w:val="00694702"/>
    <w:rsid w:val="0069493C"/>
    <w:rsid w:val="0069597E"/>
    <w:rsid w:val="00695E44"/>
    <w:rsid w:val="00695F47"/>
    <w:rsid w:val="006966C0"/>
    <w:rsid w:val="00696A14"/>
    <w:rsid w:val="00696A21"/>
    <w:rsid w:val="00696AA0"/>
    <w:rsid w:val="00696D69"/>
    <w:rsid w:val="006978EA"/>
    <w:rsid w:val="00697FDE"/>
    <w:rsid w:val="006A001F"/>
    <w:rsid w:val="006A011B"/>
    <w:rsid w:val="006A1301"/>
    <w:rsid w:val="006A1920"/>
    <w:rsid w:val="006A1C81"/>
    <w:rsid w:val="006A1DD8"/>
    <w:rsid w:val="006A343F"/>
    <w:rsid w:val="006A38ED"/>
    <w:rsid w:val="006A39B8"/>
    <w:rsid w:val="006A3E24"/>
    <w:rsid w:val="006A42EB"/>
    <w:rsid w:val="006A4376"/>
    <w:rsid w:val="006A4895"/>
    <w:rsid w:val="006A48B0"/>
    <w:rsid w:val="006A5501"/>
    <w:rsid w:val="006A57AF"/>
    <w:rsid w:val="006A61D8"/>
    <w:rsid w:val="006A66DA"/>
    <w:rsid w:val="006A6D1E"/>
    <w:rsid w:val="006A702C"/>
    <w:rsid w:val="006A71B5"/>
    <w:rsid w:val="006A78C3"/>
    <w:rsid w:val="006A791F"/>
    <w:rsid w:val="006B0079"/>
    <w:rsid w:val="006B0193"/>
    <w:rsid w:val="006B01F4"/>
    <w:rsid w:val="006B0248"/>
    <w:rsid w:val="006B0447"/>
    <w:rsid w:val="006B0543"/>
    <w:rsid w:val="006B0717"/>
    <w:rsid w:val="006B1014"/>
    <w:rsid w:val="006B168B"/>
    <w:rsid w:val="006B215B"/>
    <w:rsid w:val="006B276A"/>
    <w:rsid w:val="006B2A09"/>
    <w:rsid w:val="006B2BAF"/>
    <w:rsid w:val="006B2BFC"/>
    <w:rsid w:val="006B34C1"/>
    <w:rsid w:val="006B3D33"/>
    <w:rsid w:val="006B3FBE"/>
    <w:rsid w:val="006B41B1"/>
    <w:rsid w:val="006B46DE"/>
    <w:rsid w:val="006B4A31"/>
    <w:rsid w:val="006B4F37"/>
    <w:rsid w:val="006B6580"/>
    <w:rsid w:val="006B6B27"/>
    <w:rsid w:val="006B6DD2"/>
    <w:rsid w:val="006B74AD"/>
    <w:rsid w:val="006C00B3"/>
    <w:rsid w:val="006C05C6"/>
    <w:rsid w:val="006C0A61"/>
    <w:rsid w:val="006C128A"/>
    <w:rsid w:val="006C139E"/>
    <w:rsid w:val="006C1964"/>
    <w:rsid w:val="006C2041"/>
    <w:rsid w:val="006C2A4F"/>
    <w:rsid w:val="006C31AF"/>
    <w:rsid w:val="006C3721"/>
    <w:rsid w:val="006C4024"/>
    <w:rsid w:val="006C4E38"/>
    <w:rsid w:val="006C4F56"/>
    <w:rsid w:val="006C5275"/>
    <w:rsid w:val="006C55BA"/>
    <w:rsid w:val="006C79B2"/>
    <w:rsid w:val="006C7BDC"/>
    <w:rsid w:val="006D0C7A"/>
    <w:rsid w:val="006D0F49"/>
    <w:rsid w:val="006D0F50"/>
    <w:rsid w:val="006D12D3"/>
    <w:rsid w:val="006D1622"/>
    <w:rsid w:val="006D1790"/>
    <w:rsid w:val="006D199D"/>
    <w:rsid w:val="006D2952"/>
    <w:rsid w:val="006D3777"/>
    <w:rsid w:val="006D3E58"/>
    <w:rsid w:val="006D4551"/>
    <w:rsid w:val="006D47E4"/>
    <w:rsid w:val="006D496C"/>
    <w:rsid w:val="006D4C98"/>
    <w:rsid w:val="006D4E06"/>
    <w:rsid w:val="006D51B1"/>
    <w:rsid w:val="006D5C7D"/>
    <w:rsid w:val="006D67EC"/>
    <w:rsid w:val="006D7227"/>
    <w:rsid w:val="006D7233"/>
    <w:rsid w:val="006D749F"/>
    <w:rsid w:val="006D774E"/>
    <w:rsid w:val="006D7786"/>
    <w:rsid w:val="006D784A"/>
    <w:rsid w:val="006D7F85"/>
    <w:rsid w:val="006E065E"/>
    <w:rsid w:val="006E06EB"/>
    <w:rsid w:val="006E15A2"/>
    <w:rsid w:val="006E19C8"/>
    <w:rsid w:val="006E19CB"/>
    <w:rsid w:val="006E2040"/>
    <w:rsid w:val="006E2FC8"/>
    <w:rsid w:val="006E3078"/>
    <w:rsid w:val="006E3313"/>
    <w:rsid w:val="006E3505"/>
    <w:rsid w:val="006E370C"/>
    <w:rsid w:val="006E389E"/>
    <w:rsid w:val="006E3D56"/>
    <w:rsid w:val="006E4149"/>
    <w:rsid w:val="006E41E9"/>
    <w:rsid w:val="006E4701"/>
    <w:rsid w:val="006E4846"/>
    <w:rsid w:val="006E49A0"/>
    <w:rsid w:val="006E49A5"/>
    <w:rsid w:val="006E50F1"/>
    <w:rsid w:val="006E5298"/>
    <w:rsid w:val="006E5A74"/>
    <w:rsid w:val="006E5DC1"/>
    <w:rsid w:val="006E63C4"/>
    <w:rsid w:val="006E6F36"/>
    <w:rsid w:val="006E7208"/>
    <w:rsid w:val="006E765C"/>
    <w:rsid w:val="006F0F4C"/>
    <w:rsid w:val="006F14FD"/>
    <w:rsid w:val="006F14FF"/>
    <w:rsid w:val="006F1D58"/>
    <w:rsid w:val="006F259B"/>
    <w:rsid w:val="006F277C"/>
    <w:rsid w:val="006F3981"/>
    <w:rsid w:val="006F4109"/>
    <w:rsid w:val="006F4258"/>
    <w:rsid w:val="006F4C97"/>
    <w:rsid w:val="006F4DD1"/>
    <w:rsid w:val="006F55AD"/>
    <w:rsid w:val="006F5BB1"/>
    <w:rsid w:val="006F63D3"/>
    <w:rsid w:val="006F65BE"/>
    <w:rsid w:val="006F65DD"/>
    <w:rsid w:val="006F661F"/>
    <w:rsid w:val="006F6800"/>
    <w:rsid w:val="006F6969"/>
    <w:rsid w:val="006F740D"/>
    <w:rsid w:val="006F765F"/>
    <w:rsid w:val="006F7EA6"/>
    <w:rsid w:val="006F7EBA"/>
    <w:rsid w:val="00701902"/>
    <w:rsid w:val="00701F0F"/>
    <w:rsid w:val="00702156"/>
    <w:rsid w:val="00702470"/>
    <w:rsid w:val="007027A6"/>
    <w:rsid w:val="00702A7E"/>
    <w:rsid w:val="00702B54"/>
    <w:rsid w:val="00702C40"/>
    <w:rsid w:val="00702D20"/>
    <w:rsid w:val="00703162"/>
    <w:rsid w:val="00703BAD"/>
    <w:rsid w:val="0070407D"/>
    <w:rsid w:val="00704636"/>
    <w:rsid w:val="00704D79"/>
    <w:rsid w:val="0070531A"/>
    <w:rsid w:val="00705C4F"/>
    <w:rsid w:val="00705F9C"/>
    <w:rsid w:val="00706388"/>
    <w:rsid w:val="00706414"/>
    <w:rsid w:val="00706566"/>
    <w:rsid w:val="00706C01"/>
    <w:rsid w:val="00707247"/>
    <w:rsid w:val="007074FB"/>
    <w:rsid w:val="00707FAC"/>
    <w:rsid w:val="007100AB"/>
    <w:rsid w:val="00710DB7"/>
    <w:rsid w:val="00710E62"/>
    <w:rsid w:val="00711570"/>
    <w:rsid w:val="0071184D"/>
    <w:rsid w:val="007120BB"/>
    <w:rsid w:val="007124D5"/>
    <w:rsid w:val="007128D7"/>
    <w:rsid w:val="0071300D"/>
    <w:rsid w:val="00713081"/>
    <w:rsid w:val="0071367A"/>
    <w:rsid w:val="00713C4E"/>
    <w:rsid w:val="00713C86"/>
    <w:rsid w:val="00713D51"/>
    <w:rsid w:val="00713DE1"/>
    <w:rsid w:val="0071461D"/>
    <w:rsid w:val="00714B64"/>
    <w:rsid w:val="00716488"/>
    <w:rsid w:val="00716787"/>
    <w:rsid w:val="00716BF2"/>
    <w:rsid w:val="00717A34"/>
    <w:rsid w:val="00720725"/>
    <w:rsid w:val="007207D9"/>
    <w:rsid w:val="007210A7"/>
    <w:rsid w:val="00721134"/>
    <w:rsid w:val="0072142D"/>
    <w:rsid w:val="00721FC8"/>
    <w:rsid w:val="007222BB"/>
    <w:rsid w:val="007225BA"/>
    <w:rsid w:val="007226B0"/>
    <w:rsid w:val="0072294E"/>
    <w:rsid w:val="00723171"/>
    <w:rsid w:val="007237BA"/>
    <w:rsid w:val="00723D35"/>
    <w:rsid w:val="007245C8"/>
    <w:rsid w:val="00724721"/>
    <w:rsid w:val="007248C1"/>
    <w:rsid w:val="007251D4"/>
    <w:rsid w:val="007257CC"/>
    <w:rsid w:val="00725992"/>
    <w:rsid w:val="00725BF8"/>
    <w:rsid w:val="00726B9A"/>
    <w:rsid w:val="00726DA0"/>
    <w:rsid w:val="0072708F"/>
    <w:rsid w:val="00727E65"/>
    <w:rsid w:val="00727FBE"/>
    <w:rsid w:val="00730136"/>
    <w:rsid w:val="007307BD"/>
    <w:rsid w:val="00730D28"/>
    <w:rsid w:val="00730EA0"/>
    <w:rsid w:val="00731367"/>
    <w:rsid w:val="00732804"/>
    <w:rsid w:val="007329C6"/>
    <w:rsid w:val="00733E35"/>
    <w:rsid w:val="00734319"/>
    <w:rsid w:val="007353B7"/>
    <w:rsid w:val="00735677"/>
    <w:rsid w:val="00735A87"/>
    <w:rsid w:val="00735CAC"/>
    <w:rsid w:val="00735CE2"/>
    <w:rsid w:val="00735FFA"/>
    <w:rsid w:val="00736279"/>
    <w:rsid w:val="00736394"/>
    <w:rsid w:val="00736941"/>
    <w:rsid w:val="007370D6"/>
    <w:rsid w:val="00737250"/>
    <w:rsid w:val="007373C5"/>
    <w:rsid w:val="00737B80"/>
    <w:rsid w:val="0074055B"/>
    <w:rsid w:val="00740A0C"/>
    <w:rsid w:val="00740C9F"/>
    <w:rsid w:val="00740CFB"/>
    <w:rsid w:val="00740F18"/>
    <w:rsid w:val="00741149"/>
    <w:rsid w:val="007416EA"/>
    <w:rsid w:val="0074170F"/>
    <w:rsid w:val="00741988"/>
    <w:rsid w:val="00741E65"/>
    <w:rsid w:val="00741ED8"/>
    <w:rsid w:val="00742B01"/>
    <w:rsid w:val="00742CBB"/>
    <w:rsid w:val="00742E6D"/>
    <w:rsid w:val="0074301A"/>
    <w:rsid w:val="00744A63"/>
    <w:rsid w:val="00744EDF"/>
    <w:rsid w:val="007452FD"/>
    <w:rsid w:val="00745363"/>
    <w:rsid w:val="00745A1E"/>
    <w:rsid w:val="00745B11"/>
    <w:rsid w:val="00745ED9"/>
    <w:rsid w:val="007465C8"/>
    <w:rsid w:val="00747731"/>
    <w:rsid w:val="00750594"/>
    <w:rsid w:val="0075060C"/>
    <w:rsid w:val="0075073C"/>
    <w:rsid w:val="00750971"/>
    <w:rsid w:val="00750B5A"/>
    <w:rsid w:val="00750BD1"/>
    <w:rsid w:val="00751033"/>
    <w:rsid w:val="00751305"/>
    <w:rsid w:val="0075140B"/>
    <w:rsid w:val="00751CFB"/>
    <w:rsid w:val="0075241C"/>
    <w:rsid w:val="00752602"/>
    <w:rsid w:val="0075344A"/>
    <w:rsid w:val="007538CF"/>
    <w:rsid w:val="00753A52"/>
    <w:rsid w:val="00753D2A"/>
    <w:rsid w:val="00753F18"/>
    <w:rsid w:val="00753F47"/>
    <w:rsid w:val="0075467B"/>
    <w:rsid w:val="00754A2A"/>
    <w:rsid w:val="00754D45"/>
    <w:rsid w:val="007553D1"/>
    <w:rsid w:val="007554AF"/>
    <w:rsid w:val="00755563"/>
    <w:rsid w:val="007559F9"/>
    <w:rsid w:val="00755D77"/>
    <w:rsid w:val="007561B5"/>
    <w:rsid w:val="0075623F"/>
    <w:rsid w:val="00756E0E"/>
    <w:rsid w:val="00756FC4"/>
    <w:rsid w:val="0075737B"/>
    <w:rsid w:val="00757634"/>
    <w:rsid w:val="00757A32"/>
    <w:rsid w:val="00757EF7"/>
    <w:rsid w:val="00760A8A"/>
    <w:rsid w:val="00760A93"/>
    <w:rsid w:val="00760CD3"/>
    <w:rsid w:val="00761086"/>
    <w:rsid w:val="00761317"/>
    <w:rsid w:val="00761C3C"/>
    <w:rsid w:val="00761CE0"/>
    <w:rsid w:val="00762E00"/>
    <w:rsid w:val="0076304D"/>
    <w:rsid w:val="007632C3"/>
    <w:rsid w:val="00763590"/>
    <w:rsid w:val="00763885"/>
    <w:rsid w:val="00763E91"/>
    <w:rsid w:val="00764128"/>
    <w:rsid w:val="0076414C"/>
    <w:rsid w:val="0076437B"/>
    <w:rsid w:val="0076438B"/>
    <w:rsid w:val="00764661"/>
    <w:rsid w:val="00764780"/>
    <w:rsid w:val="00765318"/>
    <w:rsid w:val="007657D4"/>
    <w:rsid w:val="00765B26"/>
    <w:rsid w:val="00765CC8"/>
    <w:rsid w:val="0076645E"/>
    <w:rsid w:val="00766509"/>
    <w:rsid w:val="007670BF"/>
    <w:rsid w:val="00767271"/>
    <w:rsid w:val="0076795D"/>
    <w:rsid w:val="00767EED"/>
    <w:rsid w:val="00767F4F"/>
    <w:rsid w:val="007702B2"/>
    <w:rsid w:val="007707A7"/>
    <w:rsid w:val="00770B45"/>
    <w:rsid w:val="00770B8E"/>
    <w:rsid w:val="00771036"/>
    <w:rsid w:val="007716F7"/>
    <w:rsid w:val="00771F63"/>
    <w:rsid w:val="00772429"/>
    <w:rsid w:val="0077255D"/>
    <w:rsid w:val="007727B6"/>
    <w:rsid w:val="007728F4"/>
    <w:rsid w:val="00772C1C"/>
    <w:rsid w:val="0077353F"/>
    <w:rsid w:val="00773C10"/>
    <w:rsid w:val="00773D19"/>
    <w:rsid w:val="00773E11"/>
    <w:rsid w:val="007740C0"/>
    <w:rsid w:val="00774535"/>
    <w:rsid w:val="00774600"/>
    <w:rsid w:val="0077469A"/>
    <w:rsid w:val="00774757"/>
    <w:rsid w:val="00774E43"/>
    <w:rsid w:val="00775072"/>
    <w:rsid w:val="007751B2"/>
    <w:rsid w:val="00775274"/>
    <w:rsid w:val="00775369"/>
    <w:rsid w:val="007758F2"/>
    <w:rsid w:val="00775C6B"/>
    <w:rsid w:val="00775F2E"/>
    <w:rsid w:val="0077606C"/>
    <w:rsid w:val="0077668D"/>
    <w:rsid w:val="0077707F"/>
    <w:rsid w:val="007776FE"/>
    <w:rsid w:val="0077774A"/>
    <w:rsid w:val="007779F2"/>
    <w:rsid w:val="00780070"/>
    <w:rsid w:val="00780175"/>
    <w:rsid w:val="007807E0"/>
    <w:rsid w:val="00780D30"/>
    <w:rsid w:val="00781285"/>
    <w:rsid w:val="00781740"/>
    <w:rsid w:val="007817BB"/>
    <w:rsid w:val="00781B82"/>
    <w:rsid w:val="0078245F"/>
    <w:rsid w:val="007827D4"/>
    <w:rsid w:val="00782884"/>
    <w:rsid w:val="00782890"/>
    <w:rsid w:val="00782B08"/>
    <w:rsid w:val="00782B3C"/>
    <w:rsid w:val="00783125"/>
    <w:rsid w:val="00783749"/>
    <w:rsid w:val="00784752"/>
    <w:rsid w:val="00785006"/>
    <w:rsid w:val="0078580D"/>
    <w:rsid w:val="0078617F"/>
    <w:rsid w:val="0078676F"/>
    <w:rsid w:val="00786B5D"/>
    <w:rsid w:val="00786B84"/>
    <w:rsid w:val="00786F78"/>
    <w:rsid w:val="007875C5"/>
    <w:rsid w:val="00787A09"/>
    <w:rsid w:val="00787BDB"/>
    <w:rsid w:val="00787FF2"/>
    <w:rsid w:val="007906C9"/>
    <w:rsid w:val="00790A4E"/>
    <w:rsid w:val="00791060"/>
    <w:rsid w:val="007912F1"/>
    <w:rsid w:val="00791349"/>
    <w:rsid w:val="00791371"/>
    <w:rsid w:val="00791565"/>
    <w:rsid w:val="00791B26"/>
    <w:rsid w:val="00791CA1"/>
    <w:rsid w:val="0079226E"/>
    <w:rsid w:val="00792898"/>
    <w:rsid w:val="00792F0E"/>
    <w:rsid w:val="00793BDA"/>
    <w:rsid w:val="00793F22"/>
    <w:rsid w:val="007944E1"/>
    <w:rsid w:val="007944F0"/>
    <w:rsid w:val="007944FB"/>
    <w:rsid w:val="00794677"/>
    <w:rsid w:val="00794E28"/>
    <w:rsid w:val="007955DB"/>
    <w:rsid w:val="00795870"/>
    <w:rsid w:val="00795997"/>
    <w:rsid w:val="00795CD3"/>
    <w:rsid w:val="00795EBB"/>
    <w:rsid w:val="00795EF4"/>
    <w:rsid w:val="00796003"/>
    <w:rsid w:val="0079611A"/>
    <w:rsid w:val="0079640A"/>
    <w:rsid w:val="007966F9"/>
    <w:rsid w:val="00796F20"/>
    <w:rsid w:val="00797531"/>
    <w:rsid w:val="007976C9"/>
    <w:rsid w:val="0079771D"/>
    <w:rsid w:val="00797830"/>
    <w:rsid w:val="0079798A"/>
    <w:rsid w:val="007979E6"/>
    <w:rsid w:val="00797AE3"/>
    <w:rsid w:val="00797F10"/>
    <w:rsid w:val="007A01B3"/>
    <w:rsid w:val="007A0A4D"/>
    <w:rsid w:val="007A1160"/>
    <w:rsid w:val="007A121D"/>
    <w:rsid w:val="007A155D"/>
    <w:rsid w:val="007A15C5"/>
    <w:rsid w:val="007A2349"/>
    <w:rsid w:val="007A23C6"/>
    <w:rsid w:val="007A2B61"/>
    <w:rsid w:val="007A2B67"/>
    <w:rsid w:val="007A2C54"/>
    <w:rsid w:val="007A2D94"/>
    <w:rsid w:val="007A3216"/>
    <w:rsid w:val="007A3396"/>
    <w:rsid w:val="007A3AFA"/>
    <w:rsid w:val="007A546A"/>
    <w:rsid w:val="007A5EB3"/>
    <w:rsid w:val="007A6793"/>
    <w:rsid w:val="007A7108"/>
    <w:rsid w:val="007A7846"/>
    <w:rsid w:val="007A7C4A"/>
    <w:rsid w:val="007A7C76"/>
    <w:rsid w:val="007B02F6"/>
    <w:rsid w:val="007B04B6"/>
    <w:rsid w:val="007B11BD"/>
    <w:rsid w:val="007B18E7"/>
    <w:rsid w:val="007B1A9C"/>
    <w:rsid w:val="007B260A"/>
    <w:rsid w:val="007B2614"/>
    <w:rsid w:val="007B2A1E"/>
    <w:rsid w:val="007B2A41"/>
    <w:rsid w:val="007B3340"/>
    <w:rsid w:val="007B3A80"/>
    <w:rsid w:val="007B3EC2"/>
    <w:rsid w:val="007B42A2"/>
    <w:rsid w:val="007B4438"/>
    <w:rsid w:val="007B4785"/>
    <w:rsid w:val="007B4D53"/>
    <w:rsid w:val="007B530C"/>
    <w:rsid w:val="007B53A1"/>
    <w:rsid w:val="007B5C5A"/>
    <w:rsid w:val="007B5EB8"/>
    <w:rsid w:val="007B612E"/>
    <w:rsid w:val="007B64AB"/>
    <w:rsid w:val="007B67C5"/>
    <w:rsid w:val="007B6810"/>
    <w:rsid w:val="007B6896"/>
    <w:rsid w:val="007B6A3B"/>
    <w:rsid w:val="007B6A7C"/>
    <w:rsid w:val="007B7181"/>
    <w:rsid w:val="007C00C4"/>
    <w:rsid w:val="007C0880"/>
    <w:rsid w:val="007C0B36"/>
    <w:rsid w:val="007C0C1B"/>
    <w:rsid w:val="007C0C2F"/>
    <w:rsid w:val="007C10CD"/>
    <w:rsid w:val="007C1178"/>
    <w:rsid w:val="007C1C1B"/>
    <w:rsid w:val="007C21C7"/>
    <w:rsid w:val="007C2776"/>
    <w:rsid w:val="007C28BC"/>
    <w:rsid w:val="007C2AB3"/>
    <w:rsid w:val="007C2D9A"/>
    <w:rsid w:val="007C3325"/>
    <w:rsid w:val="007C3836"/>
    <w:rsid w:val="007C3F01"/>
    <w:rsid w:val="007C4148"/>
    <w:rsid w:val="007C4C29"/>
    <w:rsid w:val="007C53D6"/>
    <w:rsid w:val="007C5907"/>
    <w:rsid w:val="007C5994"/>
    <w:rsid w:val="007C6242"/>
    <w:rsid w:val="007C62D9"/>
    <w:rsid w:val="007C6466"/>
    <w:rsid w:val="007C6D7D"/>
    <w:rsid w:val="007C7035"/>
    <w:rsid w:val="007D0879"/>
    <w:rsid w:val="007D0928"/>
    <w:rsid w:val="007D1026"/>
    <w:rsid w:val="007D10AD"/>
    <w:rsid w:val="007D2358"/>
    <w:rsid w:val="007D2630"/>
    <w:rsid w:val="007D30D1"/>
    <w:rsid w:val="007D32FD"/>
    <w:rsid w:val="007D366D"/>
    <w:rsid w:val="007D371B"/>
    <w:rsid w:val="007D3939"/>
    <w:rsid w:val="007D3DF8"/>
    <w:rsid w:val="007D41DE"/>
    <w:rsid w:val="007D41FB"/>
    <w:rsid w:val="007D4979"/>
    <w:rsid w:val="007D4A04"/>
    <w:rsid w:val="007D4CF9"/>
    <w:rsid w:val="007D5585"/>
    <w:rsid w:val="007D57C1"/>
    <w:rsid w:val="007D58AB"/>
    <w:rsid w:val="007D5D48"/>
    <w:rsid w:val="007D5DD0"/>
    <w:rsid w:val="007D5E44"/>
    <w:rsid w:val="007D6DCE"/>
    <w:rsid w:val="007D6E52"/>
    <w:rsid w:val="007D6F68"/>
    <w:rsid w:val="007D7105"/>
    <w:rsid w:val="007D73B6"/>
    <w:rsid w:val="007D73DB"/>
    <w:rsid w:val="007D786B"/>
    <w:rsid w:val="007E0012"/>
    <w:rsid w:val="007E0047"/>
    <w:rsid w:val="007E029E"/>
    <w:rsid w:val="007E03D1"/>
    <w:rsid w:val="007E077B"/>
    <w:rsid w:val="007E0797"/>
    <w:rsid w:val="007E1068"/>
    <w:rsid w:val="007E124B"/>
    <w:rsid w:val="007E127B"/>
    <w:rsid w:val="007E13ED"/>
    <w:rsid w:val="007E15ED"/>
    <w:rsid w:val="007E1FA7"/>
    <w:rsid w:val="007E2C7E"/>
    <w:rsid w:val="007E2DCD"/>
    <w:rsid w:val="007E2EFB"/>
    <w:rsid w:val="007E355D"/>
    <w:rsid w:val="007E3748"/>
    <w:rsid w:val="007E37BC"/>
    <w:rsid w:val="007E393D"/>
    <w:rsid w:val="007E401B"/>
    <w:rsid w:val="007E4456"/>
    <w:rsid w:val="007E44EC"/>
    <w:rsid w:val="007E570A"/>
    <w:rsid w:val="007E574C"/>
    <w:rsid w:val="007E5F32"/>
    <w:rsid w:val="007E62AF"/>
    <w:rsid w:val="007E6991"/>
    <w:rsid w:val="007E6A87"/>
    <w:rsid w:val="007E6AB0"/>
    <w:rsid w:val="007E732E"/>
    <w:rsid w:val="007F0063"/>
    <w:rsid w:val="007F0A69"/>
    <w:rsid w:val="007F1C18"/>
    <w:rsid w:val="007F2149"/>
    <w:rsid w:val="007F2789"/>
    <w:rsid w:val="007F3508"/>
    <w:rsid w:val="007F3F9A"/>
    <w:rsid w:val="007F41BA"/>
    <w:rsid w:val="007F41F9"/>
    <w:rsid w:val="007F4692"/>
    <w:rsid w:val="007F4797"/>
    <w:rsid w:val="007F4E58"/>
    <w:rsid w:val="007F4F90"/>
    <w:rsid w:val="007F52C1"/>
    <w:rsid w:val="007F532F"/>
    <w:rsid w:val="007F58CC"/>
    <w:rsid w:val="007F5B15"/>
    <w:rsid w:val="007F5B17"/>
    <w:rsid w:val="007F5CAC"/>
    <w:rsid w:val="007F64A0"/>
    <w:rsid w:val="007F66A2"/>
    <w:rsid w:val="007F6B13"/>
    <w:rsid w:val="007F766D"/>
    <w:rsid w:val="00800268"/>
    <w:rsid w:val="00800367"/>
    <w:rsid w:val="008003E8"/>
    <w:rsid w:val="00800FD3"/>
    <w:rsid w:val="008010FF"/>
    <w:rsid w:val="008026D4"/>
    <w:rsid w:val="00803E13"/>
    <w:rsid w:val="00804198"/>
    <w:rsid w:val="00804778"/>
    <w:rsid w:val="00804AC7"/>
    <w:rsid w:val="00804C63"/>
    <w:rsid w:val="00805141"/>
    <w:rsid w:val="00807256"/>
    <w:rsid w:val="00807793"/>
    <w:rsid w:val="008078BE"/>
    <w:rsid w:val="00807DE5"/>
    <w:rsid w:val="00807F3D"/>
    <w:rsid w:val="00807F5E"/>
    <w:rsid w:val="008107D9"/>
    <w:rsid w:val="00810AF6"/>
    <w:rsid w:val="0081137A"/>
    <w:rsid w:val="00811768"/>
    <w:rsid w:val="00812126"/>
    <w:rsid w:val="008124CE"/>
    <w:rsid w:val="00812DFC"/>
    <w:rsid w:val="00813023"/>
    <w:rsid w:val="0081351B"/>
    <w:rsid w:val="00813CC6"/>
    <w:rsid w:val="00814950"/>
    <w:rsid w:val="00814E81"/>
    <w:rsid w:val="008150B8"/>
    <w:rsid w:val="00815136"/>
    <w:rsid w:val="00815244"/>
    <w:rsid w:val="008153A3"/>
    <w:rsid w:val="0081567B"/>
    <w:rsid w:val="00815804"/>
    <w:rsid w:val="008158CD"/>
    <w:rsid w:val="00815CCD"/>
    <w:rsid w:val="0081669F"/>
    <w:rsid w:val="008169E7"/>
    <w:rsid w:val="00816A01"/>
    <w:rsid w:val="00816AF2"/>
    <w:rsid w:val="00816F40"/>
    <w:rsid w:val="008170A7"/>
    <w:rsid w:val="00817306"/>
    <w:rsid w:val="008174AC"/>
    <w:rsid w:val="008176D0"/>
    <w:rsid w:val="00817C8F"/>
    <w:rsid w:val="00817EC5"/>
    <w:rsid w:val="0082046C"/>
    <w:rsid w:val="00820B8B"/>
    <w:rsid w:val="00821B37"/>
    <w:rsid w:val="00821E58"/>
    <w:rsid w:val="00822484"/>
    <w:rsid w:val="008228D0"/>
    <w:rsid w:val="00822B64"/>
    <w:rsid w:val="00822DB4"/>
    <w:rsid w:val="008231C8"/>
    <w:rsid w:val="0082340A"/>
    <w:rsid w:val="008235DF"/>
    <w:rsid w:val="008237B7"/>
    <w:rsid w:val="0082386F"/>
    <w:rsid w:val="0082468D"/>
    <w:rsid w:val="0082490E"/>
    <w:rsid w:val="00824E78"/>
    <w:rsid w:val="00824FEB"/>
    <w:rsid w:val="0082515A"/>
    <w:rsid w:val="00825BFB"/>
    <w:rsid w:val="0082618B"/>
    <w:rsid w:val="008262CB"/>
    <w:rsid w:val="00826B30"/>
    <w:rsid w:val="008279B6"/>
    <w:rsid w:val="00827DC8"/>
    <w:rsid w:val="00827F0B"/>
    <w:rsid w:val="00830BA3"/>
    <w:rsid w:val="00830E03"/>
    <w:rsid w:val="0083124B"/>
    <w:rsid w:val="00831442"/>
    <w:rsid w:val="00831CAE"/>
    <w:rsid w:val="00832411"/>
    <w:rsid w:val="00832B58"/>
    <w:rsid w:val="00833088"/>
    <w:rsid w:val="008333B6"/>
    <w:rsid w:val="00833497"/>
    <w:rsid w:val="00833589"/>
    <w:rsid w:val="00833BB0"/>
    <w:rsid w:val="00834A07"/>
    <w:rsid w:val="00834AF1"/>
    <w:rsid w:val="00834F7D"/>
    <w:rsid w:val="00834F89"/>
    <w:rsid w:val="008353C1"/>
    <w:rsid w:val="008356D6"/>
    <w:rsid w:val="00835902"/>
    <w:rsid w:val="00835BFF"/>
    <w:rsid w:val="00836F5B"/>
    <w:rsid w:val="008373DA"/>
    <w:rsid w:val="008376F1"/>
    <w:rsid w:val="008378F4"/>
    <w:rsid w:val="0084082B"/>
    <w:rsid w:val="00840AFE"/>
    <w:rsid w:val="00840BE9"/>
    <w:rsid w:val="008418A3"/>
    <w:rsid w:val="008434B0"/>
    <w:rsid w:val="008435B8"/>
    <w:rsid w:val="0084367E"/>
    <w:rsid w:val="00843C3E"/>
    <w:rsid w:val="00844619"/>
    <w:rsid w:val="00844CC5"/>
    <w:rsid w:val="00844DA5"/>
    <w:rsid w:val="00844FF6"/>
    <w:rsid w:val="008457A3"/>
    <w:rsid w:val="00845F39"/>
    <w:rsid w:val="00846722"/>
    <w:rsid w:val="00846AFA"/>
    <w:rsid w:val="00846BC2"/>
    <w:rsid w:val="00847289"/>
    <w:rsid w:val="00847435"/>
    <w:rsid w:val="0084754F"/>
    <w:rsid w:val="00847701"/>
    <w:rsid w:val="0084794C"/>
    <w:rsid w:val="008479AB"/>
    <w:rsid w:val="00847A23"/>
    <w:rsid w:val="00847B18"/>
    <w:rsid w:val="00847B56"/>
    <w:rsid w:val="00847D72"/>
    <w:rsid w:val="008502AF"/>
    <w:rsid w:val="008502D7"/>
    <w:rsid w:val="008503FB"/>
    <w:rsid w:val="00850527"/>
    <w:rsid w:val="00851048"/>
    <w:rsid w:val="008512C7"/>
    <w:rsid w:val="00851894"/>
    <w:rsid w:val="00851FF8"/>
    <w:rsid w:val="00852200"/>
    <w:rsid w:val="008522DF"/>
    <w:rsid w:val="008529E8"/>
    <w:rsid w:val="00854A54"/>
    <w:rsid w:val="008550B8"/>
    <w:rsid w:val="00855528"/>
    <w:rsid w:val="0085572A"/>
    <w:rsid w:val="00855DA7"/>
    <w:rsid w:val="00855E21"/>
    <w:rsid w:val="008562C7"/>
    <w:rsid w:val="00856861"/>
    <w:rsid w:val="00856BCD"/>
    <w:rsid w:val="00856C1A"/>
    <w:rsid w:val="00856D18"/>
    <w:rsid w:val="00856FEE"/>
    <w:rsid w:val="00857122"/>
    <w:rsid w:val="008576D1"/>
    <w:rsid w:val="00857786"/>
    <w:rsid w:val="008579F7"/>
    <w:rsid w:val="00857E7F"/>
    <w:rsid w:val="00857F59"/>
    <w:rsid w:val="0086015E"/>
    <w:rsid w:val="00860774"/>
    <w:rsid w:val="00860C6F"/>
    <w:rsid w:val="00860E62"/>
    <w:rsid w:val="00860FE1"/>
    <w:rsid w:val="008611EA"/>
    <w:rsid w:val="008612B2"/>
    <w:rsid w:val="0086150D"/>
    <w:rsid w:val="00861591"/>
    <w:rsid w:val="00861CF2"/>
    <w:rsid w:val="00861E8C"/>
    <w:rsid w:val="00862426"/>
    <w:rsid w:val="008624A7"/>
    <w:rsid w:val="0086293E"/>
    <w:rsid w:val="00862B0F"/>
    <w:rsid w:val="00862C55"/>
    <w:rsid w:val="00862E06"/>
    <w:rsid w:val="008636CC"/>
    <w:rsid w:val="00863AB2"/>
    <w:rsid w:val="00863C49"/>
    <w:rsid w:val="0086466B"/>
    <w:rsid w:val="008646D1"/>
    <w:rsid w:val="00864867"/>
    <w:rsid w:val="0086495C"/>
    <w:rsid w:val="008649C4"/>
    <w:rsid w:val="00865032"/>
    <w:rsid w:val="0086506F"/>
    <w:rsid w:val="008654F9"/>
    <w:rsid w:val="00865C2F"/>
    <w:rsid w:val="00866081"/>
    <w:rsid w:val="008667E4"/>
    <w:rsid w:val="0086732D"/>
    <w:rsid w:val="00867B7C"/>
    <w:rsid w:val="00867C8A"/>
    <w:rsid w:val="0087018B"/>
    <w:rsid w:val="00870325"/>
    <w:rsid w:val="00870600"/>
    <w:rsid w:val="00870639"/>
    <w:rsid w:val="00870730"/>
    <w:rsid w:val="008707FD"/>
    <w:rsid w:val="00870BBF"/>
    <w:rsid w:val="00870BE9"/>
    <w:rsid w:val="00870DE4"/>
    <w:rsid w:val="00872517"/>
    <w:rsid w:val="00872AAA"/>
    <w:rsid w:val="00872E44"/>
    <w:rsid w:val="008732BB"/>
    <w:rsid w:val="008736C9"/>
    <w:rsid w:val="008737C4"/>
    <w:rsid w:val="00873D26"/>
    <w:rsid w:val="00873E8A"/>
    <w:rsid w:val="0087449F"/>
    <w:rsid w:val="0087472F"/>
    <w:rsid w:val="00874C32"/>
    <w:rsid w:val="00875662"/>
    <w:rsid w:val="008764E5"/>
    <w:rsid w:val="0087676F"/>
    <w:rsid w:val="00876C0B"/>
    <w:rsid w:val="00877161"/>
    <w:rsid w:val="008777F4"/>
    <w:rsid w:val="00877AA0"/>
    <w:rsid w:val="00880398"/>
    <w:rsid w:val="00880D34"/>
    <w:rsid w:val="0088118C"/>
    <w:rsid w:val="00881618"/>
    <w:rsid w:val="008819B9"/>
    <w:rsid w:val="00881CAB"/>
    <w:rsid w:val="008820A1"/>
    <w:rsid w:val="008821C2"/>
    <w:rsid w:val="00882328"/>
    <w:rsid w:val="00882624"/>
    <w:rsid w:val="00882BB0"/>
    <w:rsid w:val="00882CAE"/>
    <w:rsid w:val="00882CF8"/>
    <w:rsid w:val="00882F16"/>
    <w:rsid w:val="00883CBF"/>
    <w:rsid w:val="0088430B"/>
    <w:rsid w:val="0088443A"/>
    <w:rsid w:val="008853A0"/>
    <w:rsid w:val="00885AAB"/>
    <w:rsid w:val="00885B72"/>
    <w:rsid w:val="00885C20"/>
    <w:rsid w:val="00885E8B"/>
    <w:rsid w:val="00885F0F"/>
    <w:rsid w:val="00886221"/>
    <w:rsid w:val="00887128"/>
    <w:rsid w:val="008875C2"/>
    <w:rsid w:val="0088779D"/>
    <w:rsid w:val="00887E36"/>
    <w:rsid w:val="008903B1"/>
    <w:rsid w:val="008903DC"/>
    <w:rsid w:val="0089062F"/>
    <w:rsid w:val="0089125F"/>
    <w:rsid w:val="0089190A"/>
    <w:rsid w:val="0089201E"/>
    <w:rsid w:val="0089236D"/>
    <w:rsid w:val="008923C3"/>
    <w:rsid w:val="008924E7"/>
    <w:rsid w:val="00892B71"/>
    <w:rsid w:val="00892F36"/>
    <w:rsid w:val="0089370B"/>
    <w:rsid w:val="00893E01"/>
    <w:rsid w:val="00893F06"/>
    <w:rsid w:val="008943BA"/>
    <w:rsid w:val="008943C7"/>
    <w:rsid w:val="00894970"/>
    <w:rsid w:val="00894EC1"/>
    <w:rsid w:val="00895571"/>
    <w:rsid w:val="00895795"/>
    <w:rsid w:val="00896B84"/>
    <w:rsid w:val="00896FC7"/>
    <w:rsid w:val="00897266"/>
    <w:rsid w:val="0089736A"/>
    <w:rsid w:val="008A07E2"/>
    <w:rsid w:val="008A246B"/>
    <w:rsid w:val="008A2E91"/>
    <w:rsid w:val="008A2FBD"/>
    <w:rsid w:val="008A4232"/>
    <w:rsid w:val="008A4366"/>
    <w:rsid w:val="008A4690"/>
    <w:rsid w:val="008A4D78"/>
    <w:rsid w:val="008A4F65"/>
    <w:rsid w:val="008A50DD"/>
    <w:rsid w:val="008A555E"/>
    <w:rsid w:val="008A570A"/>
    <w:rsid w:val="008A578C"/>
    <w:rsid w:val="008A5CE0"/>
    <w:rsid w:val="008A629E"/>
    <w:rsid w:val="008A74C4"/>
    <w:rsid w:val="008A7B04"/>
    <w:rsid w:val="008A7CA4"/>
    <w:rsid w:val="008A7D05"/>
    <w:rsid w:val="008B00E7"/>
    <w:rsid w:val="008B1364"/>
    <w:rsid w:val="008B29A3"/>
    <w:rsid w:val="008B2B3E"/>
    <w:rsid w:val="008B31D1"/>
    <w:rsid w:val="008B325E"/>
    <w:rsid w:val="008B3834"/>
    <w:rsid w:val="008B3835"/>
    <w:rsid w:val="008B45BE"/>
    <w:rsid w:val="008B45F1"/>
    <w:rsid w:val="008B485F"/>
    <w:rsid w:val="008B4B9A"/>
    <w:rsid w:val="008B5169"/>
    <w:rsid w:val="008B534A"/>
    <w:rsid w:val="008B56F0"/>
    <w:rsid w:val="008B5803"/>
    <w:rsid w:val="008B5F7E"/>
    <w:rsid w:val="008B6286"/>
    <w:rsid w:val="008B6815"/>
    <w:rsid w:val="008B694C"/>
    <w:rsid w:val="008B7022"/>
    <w:rsid w:val="008B7544"/>
    <w:rsid w:val="008B790C"/>
    <w:rsid w:val="008C00E8"/>
    <w:rsid w:val="008C03C5"/>
    <w:rsid w:val="008C0B31"/>
    <w:rsid w:val="008C10D2"/>
    <w:rsid w:val="008C15BE"/>
    <w:rsid w:val="008C19BC"/>
    <w:rsid w:val="008C1D7D"/>
    <w:rsid w:val="008C1F30"/>
    <w:rsid w:val="008C31BE"/>
    <w:rsid w:val="008C3631"/>
    <w:rsid w:val="008C3827"/>
    <w:rsid w:val="008C39BF"/>
    <w:rsid w:val="008C3D27"/>
    <w:rsid w:val="008C4036"/>
    <w:rsid w:val="008C4100"/>
    <w:rsid w:val="008C458A"/>
    <w:rsid w:val="008C4956"/>
    <w:rsid w:val="008C5109"/>
    <w:rsid w:val="008C6068"/>
    <w:rsid w:val="008C6AB1"/>
    <w:rsid w:val="008C6C02"/>
    <w:rsid w:val="008C781C"/>
    <w:rsid w:val="008D0914"/>
    <w:rsid w:val="008D0AC9"/>
    <w:rsid w:val="008D0C7B"/>
    <w:rsid w:val="008D1761"/>
    <w:rsid w:val="008D1A8A"/>
    <w:rsid w:val="008D25E4"/>
    <w:rsid w:val="008D2C20"/>
    <w:rsid w:val="008D31A1"/>
    <w:rsid w:val="008D35BB"/>
    <w:rsid w:val="008D36C5"/>
    <w:rsid w:val="008D3AD4"/>
    <w:rsid w:val="008D3DA2"/>
    <w:rsid w:val="008D4438"/>
    <w:rsid w:val="008D4C59"/>
    <w:rsid w:val="008D4E15"/>
    <w:rsid w:val="008D53BC"/>
    <w:rsid w:val="008D5770"/>
    <w:rsid w:val="008D5CC6"/>
    <w:rsid w:val="008D5E2E"/>
    <w:rsid w:val="008D5EB6"/>
    <w:rsid w:val="008D608A"/>
    <w:rsid w:val="008D6793"/>
    <w:rsid w:val="008D72DD"/>
    <w:rsid w:val="008D7378"/>
    <w:rsid w:val="008D771D"/>
    <w:rsid w:val="008D7AEC"/>
    <w:rsid w:val="008E04CE"/>
    <w:rsid w:val="008E07F4"/>
    <w:rsid w:val="008E101F"/>
    <w:rsid w:val="008E11CB"/>
    <w:rsid w:val="008E13A3"/>
    <w:rsid w:val="008E153D"/>
    <w:rsid w:val="008E16D6"/>
    <w:rsid w:val="008E1721"/>
    <w:rsid w:val="008E287D"/>
    <w:rsid w:val="008E2C7E"/>
    <w:rsid w:val="008E346A"/>
    <w:rsid w:val="008E35B4"/>
    <w:rsid w:val="008E4311"/>
    <w:rsid w:val="008E4880"/>
    <w:rsid w:val="008E4A31"/>
    <w:rsid w:val="008E57A7"/>
    <w:rsid w:val="008E6521"/>
    <w:rsid w:val="008E6846"/>
    <w:rsid w:val="008E6856"/>
    <w:rsid w:val="008E719E"/>
    <w:rsid w:val="008E7A18"/>
    <w:rsid w:val="008E7E61"/>
    <w:rsid w:val="008E7F71"/>
    <w:rsid w:val="008F01D4"/>
    <w:rsid w:val="008F0758"/>
    <w:rsid w:val="008F0A19"/>
    <w:rsid w:val="008F0CC6"/>
    <w:rsid w:val="008F1C7D"/>
    <w:rsid w:val="008F2A99"/>
    <w:rsid w:val="008F3464"/>
    <w:rsid w:val="008F3C2E"/>
    <w:rsid w:val="008F3F06"/>
    <w:rsid w:val="008F439D"/>
    <w:rsid w:val="008F49D6"/>
    <w:rsid w:val="008F4DDE"/>
    <w:rsid w:val="008F5358"/>
    <w:rsid w:val="008F587B"/>
    <w:rsid w:val="008F5E89"/>
    <w:rsid w:val="008F63F4"/>
    <w:rsid w:val="008F6446"/>
    <w:rsid w:val="008F6705"/>
    <w:rsid w:val="008F674A"/>
    <w:rsid w:val="008F6C5B"/>
    <w:rsid w:val="008F6E36"/>
    <w:rsid w:val="008F739C"/>
    <w:rsid w:val="008F73C7"/>
    <w:rsid w:val="008F740A"/>
    <w:rsid w:val="008F79C1"/>
    <w:rsid w:val="00900168"/>
    <w:rsid w:val="009003EE"/>
    <w:rsid w:val="00900C99"/>
    <w:rsid w:val="00900F3F"/>
    <w:rsid w:val="00900FB0"/>
    <w:rsid w:val="009014D8"/>
    <w:rsid w:val="0090150D"/>
    <w:rsid w:val="009015A4"/>
    <w:rsid w:val="00901C3C"/>
    <w:rsid w:val="00901D5C"/>
    <w:rsid w:val="0090278B"/>
    <w:rsid w:val="00902C99"/>
    <w:rsid w:val="009035B0"/>
    <w:rsid w:val="0090389F"/>
    <w:rsid w:val="0090438F"/>
    <w:rsid w:val="00904755"/>
    <w:rsid w:val="009049DC"/>
    <w:rsid w:val="00904AB3"/>
    <w:rsid w:val="00905564"/>
    <w:rsid w:val="00905694"/>
    <w:rsid w:val="00905908"/>
    <w:rsid w:val="00905977"/>
    <w:rsid w:val="00906E91"/>
    <w:rsid w:val="00907054"/>
    <w:rsid w:val="0090747E"/>
    <w:rsid w:val="0090754E"/>
    <w:rsid w:val="00907782"/>
    <w:rsid w:val="009078D5"/>
    <w:rsid w:val="00907D7C"/>
    <w:rsid w:val="00907FF4"/>
    <w:rsid w:val="00910452"/>
    <w:rsid w:val="0091053E"/>
    <w:rsid w:val="009106B5"/>
    <w:rsid w:val="00910C20"/>
    <w:rsid w:val="0091172F"/>
    <w:rsid w:val="009119E6"/>
    <w:rsid w:val="009121C2"/>
    <w:rsid w:val="00912356"/>
    <w:rsid w:val="009123F9"/>
    <w:rsid w:val="00912C1C"/>
    <w:rsid w:val="009139BF"/>
    <w:rsid w:val="00913EC0"/>
    <w:rsid w:val="009140B1"/>
    <w:rsid w:val="009141C3"/>
    <w:rsid w:val="009142B9"/>
    <w:rsid w:val="00914866"/>
    <w:rsid w:val="0091499A"/>
    <w:rsid w:val="009153CA"/>
    <w:rsid w:val="009157CA"/>
    <w:rsid w:val="00915E8D"/>
    <w:rsid w:val="00915EE6"/>
    <w:rsid w:val="00916431"/>
    <w:rsid w:val="009167A2"/>
    <w:rsid w:val="00916863"/>
    <w:rsid w:val="00916953"/>
    <w:rsid w:val="00916BF1"/>
    <w:rsid w:val="009170A3"/>
    <w:rsid w:val="0091714F"/>
    <w:rsid w:val="0091727C"/>
    <w:rsid w:val="00917AAA"/>
    <w:rsid w:val="00917FC2"/>
    <w:rsid w:val="009201BA"/>
    <w:rsid w:val="00920901"/>
    <w:rsid w:val="00920CE9"/>
    <w:rsid w:val="00920E2A"/>
    <w:rsid w:val="00921056"/>
    <w:rsid w:val="00921579"/>
    <w:rsid w:val="00921CDD"/>
    <w:rsid w:val="00921DD2"/>
    <w:rsid w:val="00921DFE"/>
    <w:rsid w:val="00922607"/>
    <w:rsid w:val="009228F4"/>
    <w:rsid w:val="00922AC3"/>
    <w:rsid w:val="009231D2"/>
    <w:rsid w:val="00923ACF"/>
    <w:rsid w:val="0092527D"/>
    <w:rsid w:val="009252EA"/>
    <w:rsid w:val="00925815"/>
    <w:rsid w:val="00925FD2"/>
    <w:rsid w:val="0092608E"/>
    <w:rsid w:val="009266F2"/>
    <w:rsid w:val="00926C8C"/>
    <w:rsid w:val="0092756F"/>
    <w:rsid w:val="00927649"/>
    <w:rsid w:val="00927BE3"/>
    <w:rsid w:val="00927E15"/>
    <w:rsid w:val="00927E2D"/>
    <w:rsid w:val="0093001E"/>
    <w:rsid w:val="0093018B"/>
    <w:rsid w:val="00930541"/>
    <w:rsid w:val="00930E38"/>
    <w:rsid w:val="009310A7"/>
    <w:rsid w:val="009315A5"/>
    <w:rsid w:val="0093189A"/>
    <w:rsid w:val="00931927"/>
    <w:rsid w:val="00932424"/>
    <w:rsid w:val="0093283E"/>
    <w:rsid w:val="00932A4F"/>
    <w:rsid w:val="00932C0E"/>
    <w:rsid w:val="00932CCD"/>
    <w:rsid w:val="00932EDF"/>
    <w:rsid w:val="009331BE"/>
    <w:rsid w:val="00933237"/>
    <w:rsid w:val="009336C5"/>
    <w:rsid w:val="00933930"/>
    <w:rsid w:val="009347C3"/>
    <w:rsid w:val="009347EC"/>
    <w:rsid w:val="00935409"/>
    <w:rsid w:val="00936309"/>
    <w:rsid w:val="009365D6"/>
    <w:rsid w:val="009366EC"/>
    <w:rsid w:val="009370BF"/>
    <w:rsid w:val="009370E0"/>
    <w:rsid w:val="0093716E"/>
    <w:rsid w:val="00937193"/>
    <w:rsid w:val="009372DE"/>
    <w:rsid w:val="00937614"/>
    <w:rsid w:val="00940F3C"/>
    <w:rsid w:val="0094162D"/>
    <w:rsid w:val="0094182A"/>
    <w:rsid w:val="00941BF8"/>
    <w:rsid w:val="00942795"/>
    <w:rsid w:val="0094280D"/>
    <w:rsid w:val="00942BC8"/>
    <w:rsid w:val="00942E6C"/>
    <w:rsid w:val="00943223"/>
    <w:rsid w:val="0094329F"/>
    <w:rsid w:val="009433F5"/>
    <w:rsid w:val="009436AB"/>
    <w:rsid w:val="00943842"/>
    <w:rsid w:val="009439A7"/>
    <w:rsid w:val="00944042"/>
    <w:rsid w:val="0094433A"/>
    <w:rsid w:val="00944C3B"/>
    <w:rsid w:val="009457D0"/>
    <w:rsid w:val="009457FF"/>
    <w:rsid w:val="00945C15"/>
    <w:rsid w:val="00945C95"/>
    <w:rsid w:val="00945DE5"/>
    <w:rsid w:val="00946523"/>
    <w:rsid w:val="009466BC"/>
    <w:rsid w:val="009468CE"/>
    <w:rsid w:val="00946AC5"/>
    <w:rsid w:val="00946F12"/>
    <w:rsid w:val="009474FD"/>
    <w:rsid w:val="00947A56"/>
    <w:rsid w:val="0095031A"/>
    <w:rsid w:val="00950BFE"/>
    <w:rsid w:val="0095139F"/>
    <w:rsid w:val="009513DC"/>
    <w:rsid w:val="00951BB3"/>
    <w:rsid w:val="00951EDD"/>
    <w:rsid w:val="009520CD"/>
    <w:rsid w:val="009520E8"/>
    <w:rsid w:val="00952209"/>
    <w:rsid w:val="00952470"/>
    <w:rsid w:val="0095253B"/>
    <w:rsid w:val="00953288"/>
    <w:rsid w:val="00953296"/>
    <w:rsid w:val="00955B37"/>
    <w:rsid w:val="00955E0A"/>
    <w:rsid w:val="009561A6"/>
    <w:rsid w:val="00956C56"/>
    <w:rsid w:val="00956EDC"/>
    <w:rsid w:val="00957B12"/>
    <w:rsid w:val="00957BDA"/>
    <w:rsid w:val="00957CA6"/>
    <w:rsid w:val="00960DBA"/>
    <w:rsid w:val="0096125A"/>
    <w:rsid w:val="00961E6B"/>
    <w:rsid w:val="0096226B"/>
    <w:rsid w:val="00962281"/>
    <w:rsid w:val="009626DE"/>
    <w:rsid w:val="00962E42"/>
    <w:rsid w:val="00962E83"/>
    <w:rsid w:val="00963442"/>
    <w:rsid w:val="009634AB"/>
    <w:rsid w:val="009635EC"/>
    <w:rsid w:val="009637C9"/>
    <w:rsid w:val="00964224"/>
    <w:rsid w:val="0096462D"/>
    <w:rsid w:val="00964CC5"/>
    <w:rsid w:val="00965597"/>
    <w:rsid w:val="00965F96"/>
    <w:rsid w:val="00966014"/>
    <w:rsid w:val="0096602C"/>
    <w:rsid w:val="0096666A"/>
    <w:rsid w:val="009669DF"/>
    <w:rsid w:val="00967423"/>
    <w:rsid w:val="00967600"/>
    <w:rsid w:val="0096798F"/>
    <w:rsid w:val="00967D83"/>
    <w:rsid w:val="00967E2F"/>
    <w:rsid w:val="00967FAE"/>
    <w:rsid w:val="00967FBA"/>
    <w:rsid w:val="00970143"/>
    <w:rsid w:val="00970248"/>
    <w:rsid w:val="00970336"/>
    <w:rsid w:val="00970654"/>
    <w:rsid w:val="009707B3"/>
    <w:rsid w:val="009709C4"/>
    <w:rsid w:val="00970AA4"/>
    <w:rsid w:val="00970B4C"/>
    <w:rsid w:val="00971220"/>
    <w:rsid w:val="00971812"/>
    <w:rsid w:val="00971CA1"/>
    <w:rsid w:val="00972D98"/>
    <w:rsid w:val="00973168"/>
    <w:rsid w:val="0097331A"/>
    <w:rsid w:val="009738A6"/>
    <w:rsid w:val="009738BC"/>
    <w:rsid w:val="00973CD7"/>
    <w:rsid w:val="00973E29"/>
    <w:rsid w:val="00974030"/>
    <w:rsid w:val="00974889"/>
    <w:rsid w:val="009748EC"/>
    <w:rsid w:val="0097507A"/>
    <w:rsid w:val="009750D2"/>
    <w:rsid w:val="009751B3"/>
    <w:rsid w:val="00975626"/>
    <w:rsid w:val="00975857"/>
    <w:rsid w:val="00975A04"/>
    <w:rsid w:val="00975C8D"/>
    <w:rsid w:val="00976C60"/>
    <w:rsid w:val="00976D75"/>
    <w:rsid w:val="00976DE4"/>
    <w:rsid w:val="0097701C"/>
    <w:rsid w:val="0097709B"/>
    <w:rsid w:val="00977179"/>
    <w:rsid w:val="009778BB"/>
    <w:rsid w:val="00977ADD"/>
    <w:rsid w:val="00977AE2"/>
    <w:rsid w:val="00977B20"/>
    <w:rsid w:val="0098088A"/>
    <w:rsid w:val="00980C7C"/>
    <w:rsid w:val="00980F83"/>
    <w:rsid w:val="00981109"/>
    <w:rsid w:val="00981167"/>
    <w:rsid w:val="0098127C"/>
    <w:rsid w:val="00981848"/>
    <w:rsid w:val="00982D34"/>
    <w:rsid w:val="00982F93"/>
    <w:rsid w:val="00983231"/>
    <w:rsid w:val="009835DF"/>
    <w:rsid w:val="009837F3"/>
    <w:rsid w:val="009838A7"/>
    <w:rsid w:val="00984AA5"/>
    <w:rsid w:val="00984AD2"/>
    <w:rsid w:val="009852EF"/>
    <w:rsid w:val="00985F39"/>
    <w:rsid w:val="009862C2"/>
    <w:rsid w:val="0098719D"/>
    <w:rsid w:val="0098782C"/>
    <w:rsid w:val="009900F2"/>
    <w:rsid w:val="00990388"/>
    <w:rsid w:val="009906CF"/>
    <w:rsid w:val="00990BD2"/>
    <w:rsid w:val="00990CDC"/>
    <w:rsid w:val="0099139E"/>
    <w:rsid w:val="00992280"/>
    <w:rsid w:val="009924A6"/>
    <w:rsid w:val="00992550"/>
    <w:rsid w:val="009925B8"/>
    <w:rsid w:val="009928E6"/>
    <w:rsid w:val="00992C84"/>
    <w:rsid w:val="00992E3A"/>
    <w:rsid w:val="009931E0"/>
    <w:rsid w:val="0099343D"/>
    <w:rsid w:val="00993588"/>
    <w:rsid w:val="00993B74"/>
    <w:rsid w:val="00993C9A"/>
    <w:rsid w:val="009942F9"/>
    <w:rsid w:val="009953B0"/>
    <w:rsid w:val="00995477"/>
    <w:rsid w:val="00995846"/>
    <w:rsid w:val="0099627F"/>
    <w:rsid w:val="00996478"/>
    <w:rsid w:val="00996A1A"/>
    <w:rsid w:val="00996B91"/>
    <w:rsid w:val="00996FC3"/>
    <w:rsid w:val="009A023D"/>
    <w:rsid w:val="009A04C0"/>
    <w:rsid w:val="009A09CD"/>
    <w:rsid w:val="009A0F99"/>
    <w:rsid w:val="009A11E0"/>
    <w:rsid w:val="009A14FF"/>
    <w:rsid w:val="009A189B"/>
    <w:rsid w:val="009A1A47"/>
    <w:rsid w:val="009A39D5"/>
    <w:rsid w:val="009A4563"/>
    <w:rsid w:val="009A499F"/>
    <w:rsid w:val="009A55B8"/>
    <w:rsid w:val="009A59CE"/>
    <w:rsid w:val="009A5E35"/>
    <w:rsid w:val="009A5F34"/>
    <w:rsid w:val="009A70DE"/>
    <w:rsid w:val="009B0467"/>
    <w:rsid w:val="009B06F1"/>
    <w:rsid w:val="009B0CF9"/>
    <w:rsid w:val="009B0E62"/>
    <w:rsid w:val="009B150A"/>
    <w:rsid w:val="009B1805"/>
    <w:rsid w:val="009B202C"/>
    <w:rsid w:val="009B28C7"/>
    <w:rsid w:val="009B2CA9"/>
    <w:rsid w:val="009B3BA6"/>
    <w:rsid w:val="009B3F24"/>
    <w:rsid w:val="009B3F9A"/>
    <w:rsid w:val="009B412E"/>
    <w:rsid w:val="009B4197"/>
    <w:rsid w:val="009B43F2"/>
    <w:rsid w:val="009B4A1D"/>
    <w:rsid w:val="009B4BFD"/>
    <w:rsid w:val="009B5202"/>
    <w:rsid w:val="009B53F0"/>
    <w:rsid w:val="009B5496"/>
    <w:rsid w:val="009B55BD"/>
    <w:rsid w:val="009B5839"/>
    <w:rsid w:val="009B5A65"/>
    <w:rsid w:val="009B5A9C"/>
    <w:rsid w:val="009B60F2"/>
    <w:rsid w:val="009B669D"/>
    <w:rsid w:val="009B729F"/>
    <w:rsid w:val="009B7390"/>
    <w:rsid w:val="009B75D7"/>
    <w:rsid w:val="009B7C94"/>
    <w:rsid w:val="009B7CBC"/>
    <w:rsid w:val="009B7D6A"/>
    <w:rsid w:val="009C029C"/>
    <w:rsid w:val="009C0333"/>
    <w:rsid w:val="009C0D34"/>
    <w:rsid w:val="009C0F7A"/>
    <w:rsid w:val="009C10D1"/>
    <w:rsid w:val="009C13C7"/>
    <w:rsid w:val="009C18E2"/>
    <w:rsid w:val="009C194F"/>
    <w:rsid w:val="009C1F6B"/>
    <w:rsid w:val="009C225D"/>
    <w:rsid w:val="009C27B7"/>
    <w:rsid w:val="009C3502"/>
    <w:rsid w:val="009C3E12"/>
    <w:rsid w:val="009C4566"/>
    <w:rsid w:val="009C4720"/>
    <w:rsid w:val="009C478B"/>
    <w:rsid w:val="009C4957"/>
    <w:rsid w:val="009C4C0A"/>
    <w:rsid w:val="009C4E18"/>
    <w:rsid w:val="009C5F2E"/>
    <w:rsid w:val="009C63C5"/>
    <w:rsid w:val="009C6467"/>
    <w:rsid w:val="009C6B88"/>
    <w:rsid w:val="009C7496"/>
    <w:rsid w:val="009C7C4B"/>
    <w:rsid w:val="009C7E23"/>
    <w:rsid w:val="009D039A"/>
    <w:rsid w:val="009D05DB"/>
    <w:rsid w:val="009D074A"/>
    <w:rsid w:val="009D0851"/>
    <w:rsid w:val="009D09AF"/>
    <w:rsid w:val="009D0C9E"/>
    <w:rsid w:val="009D0EBF"/>
    <w:rsid w:val="009D19B3"/>
    <w:rsid w:val="009D2797"/>
    <w:rsid w:val="009D2F4B"/>
    <w:rsid w:val="009D3BD6"/>
    <w:rsid w:val="009D464E"/>
    <w:rsid w:val="009D4898"/>
    <w:rsid w:val="009D491F"/>
    <w:rsid w:val="009D4ABE"/>
    <w:rsid w:val="009D4DAA"/>
    <w:rsid w:val="009D5C1E"/>
    <w:rsid w:val="009D60CF"/>
    <w:rsid w:val="009D61E1"/>
    <w:rsid w:val="009D623F"/>
    <w:rsid w:val="009D63B1"/>
    <w:rsid w:val="009D675C"/>
    <w:rsid w:val="009D68FB"/>
    <w:rsid w:val="009D6D49"/>
    <w:rsid w:val="009D6ECA"/>
    <w:rsid w:val="009D6F29"/>
    <w:rsid w:val="009D7052"/>
    <w:rsid w:val="009D708D"/>
    <w:rsid w:val="009E0013"/>
    <w:rsid w:val="009E057B"/>
    <w:rsid w:val="009E05A2"/>
    <w:rsid w:val="009E068F"/>
    <w:rsid w:val="009E0692"/>
    <w:rsid w:val="009E0B9C"/>
    <w:rsid w:val="009E176F"/>
    <w:rsid w:val="009E17B9"/>
    <w:rsid w:val="009E17D1"/>
    <w:rsid w:val="009E1D03"/>
    <w:rsid w:val="009E2086"/>
    <w:rsid w:val="009E23B8"/>
    <w:rsid w:val="009E26F7"/>
    <w:rsid w:val="009E2EF5"/>
    <w:rsid w:val="009E3529"/>
    <w:rsid w:val="009E3C50"/>
    <w:rsid w:val="009E3D72"/>
    <w:rsid w:val="009E3D98"/>
    <w:rsid w:val="009E3DF2"/>
    <w:rsid w:val="009E42F8"/>
    <w:rsid w:val="009E47BB"/>
    <w:rsid w:val="009E4F3E"/>
    <w:rsid w:val="009E523C"/>
    <w:rsid w:val="009E531E"/>
    <w:rsid w:val="009E5D72"/>
    <w:rsid w:val="009E676F"/>
    <w:rsid w:val="009E6F70"/>
    <w:rsid w:val="009E7077"/>
    <w:rsid w:val="009E707F"/>
    <w:rsid w:val="009E725E"/>
    <w:rsid w:val="009E7A80"/>
    <w:rsid w:val="009F067D"/>
    <w:rsid w:val="009F1082"/>
    <w:rsid w:val="009F13E8"/>
    <w:rsid w:val="009F1482"/>
    <w:rsid w:val="009F15C8"/>
    <w:rsid w:val="009F172C"/>
    <w:rsid w:val="009F18C1"/>
    <w:rsid w:val="009F211A"/>
    <w:rsid w:val="009F2368"/>
    <w:rsid w:val="009F2870"/>
    <w:rsid w:val="009F2EB7"/>
    <w:rsid w:val="009F35C6"/>
    <w:rsid w:val="009F3E35"/>
    <w:rsid w:val="009F4041"/>
    <w:rsid w:val="009F405D"/>
    <w:rsid w:val="009F44F2"/>
    <w:rsid w:val="009F4F75"/>
    <w:rsid w:val="009F515F"/>
    <w:rsid w:val="009F565A"/>
    <w:rsid w:val="009F5C9E"/>
    <w:rsid w:val="009F5E5C"/>
    <w:rsid w:val="009F62C1"/>
    <w:rsid w:val="009F6401"/>
    <w:rsid w:val="009F6681"/>
    <w:rsid w:val="009F698A"/>
    <w:rsid w:val="009F6E6D"/>
    <w:rsid w:val="009F6F1F"/>
    <w:rsid w:val="009F75D5"/>
    <w:rsid w:val="009F77DE"/>
    <w:rsid w:val="009F7BDB"/>
    <w:rsid w:val="009F7C15"/>
    <w:rsid w:val="009F7E94"/>
    <w:rsid w:val="00A001AD"/>
    <w:rsid w:val="00A00624"/>
    <w:rsid w:val="00A017AD"/>
    <w:rsid w:val="00A01B0A"/>
    <w:rsid w:val="00A01B51"/>
    <w:rsid w:val="00A0269D"/>
    <w:rsid w:val="00A02AD0"/>
    <w:rsid w:val="00A02AF8"/>
    <w:rsid w:val="00A02B41"/>
    <w:rsid w:val="00A02FDA"/>
    <w:rsid w:val="00A03179"/>
    <w:rsid w:val="00A032C8"/>
    <w:rsid w:val="00A033F1"/>
    <w:rsid w:val="00A03581"/>
    <w:rsid w:val="00A03A00"/>
    <w:rsid w:val="00A03DBC"/>
    <w:rsid w:val="00A03DE9"/>
    <w:rsid w:val="00A03FE3"/>
    <w:rsid w:val="00A0445F"/>
    <w:rsid w:val="00A04AE0"/>
    <w:rsid w:val="00A04F88"/>
    <w:rsid w:val="00A05483"/>
    <w:rsid w:val="00A05A6C"/>
    <w:rsid w:val="00A05D47"/>
    <w:rsid w:val="00A05FBC"/>
    <w:rsid w:val="00A05FDD"/>
    <w:rsid w:val="00A063A6"/>
    <w:rsid w:val="00A06535"/>
    <w:rsid w:val="00A06D00"/>
    <w:rsid w:val="00A0730A"/>
    <w:rsid w:val="00A07323"/>
    <w:rsid w:val="00A07787"/>
    <w:rsid w:val="00A07997"/>
    <w:rsid w:val="00A10013"/>
    <w:rsid w:val="00A10257"/>
    <w:rsid w:val="00A10775"/>
    <w:rsid w:val="00A10DB7"/>
    <w:rsid w:val="00A11786"/>
    <w:rsid w:val="00A11AC2"/>
    <w:rsid w:val="00A124C9"/>
    <w:rsid w:val="00A12838"/>
    <w:rsid w:val="00A12B4A"/>
    <w:rsid w:val="00A12C13"/>
    <w:rsid w:val="00A13768"/>
    <w:rsid w:val="00A13B1D"/>
    <w:rsid w:val="00A13D5E"/>
    <w:rsid w:val="00A14637"/>
    <w:rsid w:val="00A14D83"/>
    <w:rsid w:val="00A14DBF"/>
    <w:rsid w:val="00A14EDF"/>
    <w:rsid w:val="00A14FEE"/>
    <w:rsid w:val="00A156B4"/>
    <w:rsid w:val="00A15855"/>
    <w:rsid w:val="00A15AEC"/>
    <w:rsid w:val="00A15F45"/>
    <w:rsid w:val="00A16505"/>
    <w:rsid w:val="00A16A45"/>
    <w:rsid w:val="00A16CFB"/>
    <w:rsid w:val="00A1723E"/>
    <w:rsid w:val="00A177E9"/>
    <w:rsid w:val="00A17BC9"/>
    <w:rsid w:val="00A20278"/>
    <w:rsid w:val="00A20455"/>
    <w:rsid w:val="00A20B3B"/>
    <w:rsid w:val="00A20BC1"/>
    <w:rsid w:val="00A20DDD"/>
    <w:rsid w:val="00A2158F"/>
    <w:rsid w:val="00A21613"/>
    <w:rsid w:val="00A217E7"/>
    <w:rsid w:val="00A21ED5"/>
    <w:rsid w:val="00A223ED"/>
    <w:rsid w:val="00A225F9"/>
    <w:rsid w:val="00A228DD"/>
    <w:rsid w:val="00A236D8"/>
    <w:rsid w:val="00A236E3"/>
    <w:rsid w:val="00A23A5B"/>
    <w:rsid w:val="00A23CE2"/>
    <w:rsid w:val="00A23FF5"/>
    <w:rsid w:val="00A24DEB"/>
    <w:rsid w:val="00A2520B"/>
    <w:rsid w:val="00A258C6"/>
    <w:rsid w:val="00A26956"/>
    <w:rsid w:val="00A27ED0"/>
    <w:rsid w:val="00A301E2"/>
    <w:rsid w:val="00A30986"/>
    <w:rsid w:val="00A30CD3"/>
    <w:rsid w:val="00A3106B"/>
    <w:rsid w:val="00A312DC"/>
    <w:rsid w:val="00A31715"/>
    <w:rsid w:val="00A31ACE"/>
    <w:rsid w:val="00A31AE8"/>
    <w:rsid w:val="00A31CF7"/>
    <w:rsid w:val="00A31FC3"/>
    <w:rsid w:val="00A320C3"/>
    <w:rsid w:val="00A321B1"/>
    <w:rsid w:val="00A323C1"/>
    <w:rsid w:val="00A324C3"/>
    <w:rsid w:val="00A3298C"/>
    <w:rsid w:val="00A32A10"/>
    <w:rsid w:val="00A33088"/>
    <w:rsid w:val="00A3319D"/>
    <w:rsid w:val="00A332B6"/>
    <w:rsid w:val="00A33789"/>
    <w:rsid w:val="00A33CB8"/>
    <w:rsid w:val="00A33E86"/>
    <w:rsid w:val="00A33EA5"/>
    <w:rsid w:val="00A34A0A"/>
    <w:rsid w:val="00A35017"/>
    <w:rsid w:val="00A35616"/>
    <w:rsid w:val="00A35CC9"/>
    <w:rsid w:val="00A35D33"/>
    <w:rsid w:val="00A36CF0"/>
    <w:rsid w:val="00A37684"/>
    <w:rsid w:val="00A376AD"/>
    <w:rsid w:val="00A376F8"/>
    <w:rsid w:val="00A37B30"/>
    <w:rsid w:val="00A37EA5"/>
    <w:rsid w:val="00A37EC4"/>
    <w:rsid w:val="00A404E9"/>
    <w:rsid w:val="00A406B7"/>
    <w:rsid w:val="00A407C8"/>
    <w:rsid w:val="00A40D59"/>
    <w:rsid w:val="00A40E1D"/>
    <w:rsid w:val="00A41551"/>
    <w:rsid w:val="00A41D7F"/>
    <w:rsid w:val="00A420F4"/>
    <w:rsid w:val="00A423F1"/>
    <w:rsid w:val="00A42548"/>
    <w:rsid w:val="00A425BA"/>
    <w:rsid w:val="00A42703"/>
    <w:rsid w:val="00A43648"/>
    <w:rsid w:val="00A43C51"/>
    <w:rsid w:val="00A43E87"/>
    <w:rsid w:val="00A43EE9"/>
    <w:rsid w:val="00A4403B"/>
    <w:rsid w:val="00A4411A"/>
    <w:rsid w:val="00A4478B"/>
    <w:rsid w:val="00A44819"/>
    <w:rsid w:val="00A4522C"/>
    <w:rsid w:val="00A452B1"/>
    <w:rsid w:val="00A4551D"/>
    <w:rsid w:val="00A455F3"/>
    <w:rsid w:val="00A45D1A"/>
    <w:rsid w:val="00A45E78"/>
    <w:rsid w:val="00A46CB5"/>
    <w:rsid w:val="00A47950"/>
    <w:rsid w:val="00A50401"/>
    <w:rsid w:val="00A50FBC"/>
    <w:rsid w:val="00A51BCE"/>
    <w:rsid w:val="00A51D8A"/>
    <w:rsid w:val="00A51F1B"/>
    <w:rsid w:val="00A52653"/>
    <w:rsid w:val="00A52BA4"/>
    <w:rsid w:val="00A5371B"/>
    <w:rsid w:val="00A54086"/>
    <w:rsid w:val="00A54731"/>
    <w:rsid w:val="00A54F1B"/>
    <w:rsid w:val="00A55584"/>
    <w:rsid w:val="00A557FD"/>
    <w:rsid w:val="00A55837"/>
    <w:rsid w:val="00A559E7"/>
    <w:rsid w:val="00A55D94"/>
    <w:rsid w:val="00A55FF1"/>
    <w:rsid w:val="00A5608F"/>
    <w:rsid w:val="00A5662C"/>
    <w:rsid w:val="00A56868"/>
    <w:rsid w:val="00A569B8"/>
    <w:rsid w:val="00A569E1"/>
    <w:rsid w:val="00A57175"/>
    <w:rsid w:val="00A57721"/>
    <w:rsid w:val="00A578FF"/>
    <w:rsid w:val="00A57DEB"/>
    <w:rsid w:val="00A57FD7"/>
    <w:rsid w:val="00A60268"/>
    <w:rsid w:val="00A60713"/>
    <w:rsid w:val="00A60AE7"/>
    <w:rsid w:val="00A60D69"/>
    <w:rsid w:val="00A61328"/>
    <w:rsid w:val="00A61937"/>
    <w:rsid w:val="00A6239A"/>
    <w:rsid w:val="00A6242B"/>
    <w:rsid w:val="00A62B42"/>
    <w:rsid w:val="00A62F16"/>
    <w:rsid w:val="00A63103"/>
    <w:rsid w:val="00A632F3"/>
    <w:rsid w:val="00A63C41"/>
    <w:rsid w:val="00A63F52"/>
    <w:rsid w:val="00A64302"/>
    <w:rsid w:val="00A644C8"/>
    <w:rsid w:val="00A644D8"/>
    <w:rsid w:val="00A654CC"/>
    <w:rsid w:val="00A65568"/>
    <w:rsid w:val="00A656F6"/>
    <w:rsid w:val="00A659FD"/>
    <w:rsid w:val="00A65BC4"/>
    <w:rsid w:val="00A66015"/>
    <w:rsid w:val="00A675F9"/>
    <w:rsid w:val="00A67679"/>
    <w:rsid w:val="00A70D5E"/>
    <w:rsid w:val="00A70E5D"/>
    <w:rsid w:val="00A71345"/>
    <w:rsid w:val="00A71545"/>
    <w:rsid w:val="00A717B2"/>
    <w:rsid w:val="00A71A37"/>
    <w:rsid w:val="00A7209A"/>
    <w:rsid w:val="00A72290"/>
    <w:rsid w:val="00A72690"/>
    <w:rsid w:val="00A73082"/>
    <w:rsid w:val="00A731CA"/>
    <w:rsid w:val="00A73271"/>
    <w:rsid w:val="00A73420"/>
    <w:rsid w:val="00A736B1"/>
    <w:rsid w:val="00A73B1B"/>
    <w:rsid w:val="00A73C13"/>
    <w:rsid w:val="00A73FA3"/>
    <w:rsid w:val="00A74098"/>
    <w:rsid w:val="00A741BB"/>
    <w:rsid w:val="00A74380"/>
    <w:rsid w:val="00A74406"/>
    <w:rsid w:val="00A7471D"/>
    <w:rsid w:val="00A74724"/>
    <w:rsid w:val="00A753AE"/>
    <w:rsid w:val="00A7580D"/>
    <w:rsid w:val="00A758E3"/>
    <w:rsid w:val="00A75944"/>
    <w:rsid w:val="00A75DDC"/>
    <w:rsid w:val="00A76664"/>
    <w:rsid w:val="00A76BC7"/>
    <w:rsid w:val="00A76C87"/>
    <w:rsid w:val="00A76D2A"/>
    <w:rsid w:val="00A77100"/>
    <w:rsid w:val="00A77440"/>
    <w:rsid w:val="00A77877"/>
    <w:rsid w:val="00A77A1D"/>
    <w:rsid w:val="00A77AC2"/>
    <w:rsid w:val="00A77C39"/>
    <w:rsid w:val="00A77E77"/>
    <w:rsid w:val="00A8019F"/>
    <w:rsid w:val="00A801E4"/>
    <w:rsid w:val="00A802E4"/>
    <w:rsid w:val="00A80348"/>
    <w:rsid w:val="00A8076E"/>
    <w:rsid w:val="00A808B5"/>
    <w:rsid w:val="00A80ADC"/>
    <w:rsid w:val="00A81BD3"/>
    <w:rsid w:val="00A8242B"/>
    <w:rsid w:val="00A82589"/>
    <w:rsid w:val="00A8295A"/>
    <w:rsid w:val="00A82A3C"/>
    <w:rsid w:val="00A82CEC"/>
    <w:rsid w:val="00A82D2B"/>
    <w:rsid w:val="00A83038"/>
    <w:rsid w:val="00A83171"/>
    <w:rsid w:val="00A8326D"/>
    <w:rsid w:val="00A833DF"/>
    <w:rsid w:val="00A8442A"/>
    <w:rsid w:val="00A844BB"/>
    <w:rsid w:val="00A8455B"/>
    <w:rsid w:val="00A8484E"/>
    <w:rsid w:val="00A8501B"/>
    <w:rsid w:val="00A85195"/>
    <w:rsid w:val="00A8653D"/>
    <w:rsid w:val="00A86790"/>
    <w:rsid w:val="00A872A4"/>
    <w:rsid w:val="00A873D8"/>
    <w:rsid w:val="00A87420"/>
    <w:rsid w:val="00A87555"/>
    <w:rsid w:val="00A875A3"/>
    <w:rsid w:val="00A87AC5"/>
    <w:rsid w:val="00A90FEB"/>
    <w:rsid w:val="00A91067"/>
    <w:rsid w:val="00A9112C"/>
    <w:rsid w:val="00A911A9"/>
    <w:rsid w:val="00A91D65"/>
    <w:rsid w:val="00A91F0E"/>
    <w:rsid w:val="00A921E4"/>
    <w:rsid w:val="00A92920"/>
    <w:rsid w:val="00A92B5A"/>
    <w:rsid w:val="00A92C27"/>
    <w:rsid w:val="00A93426"/>
    <w:rsid w:val="00A93995"/>
    <w:rsid w:val="00A93C22"/>
    <w:rsid w:val="00A93FC2"/>
    <w:rsid w:val="00A9430A"/>
    <w:rsid w:val="00A94CA3"/>
    <w:rsid w:val="00A951FE"/>
    <w:rsid w:val="00A9529E"/>
    <w:rsid w:val="00A95487"/>
    <w:rsid w:val="00A9571D"/>
    <w:rsid w:val="00A95B12"/>
    <w:rsid w:val="00A961C7"/>
    <w:rsid w:val="00A9632B"/>
    <w:rsid w:val="00A964CA"/>
    <w:rsid w:val="00A9673C"/>
    <w:rsid w:val="00A96B47"/>
    <w:rsid w:val="00A96EC5"/>
    <w:rsid w:val="00A979AA"/>
    <w:rsid w:val="00A979AE"/>
    <w:rsid w:val="00A979E7"/>
    <w:rsid w:val="00A97DE6"/>
    <w:rsid w:val="00AA009F"/>
    <w:rsid w:val="00AA03E3"/>
    <w:rsid w:val="00AA0734"/>
    <w:rsid w:val="00AA0B66"/>
    <w:rsid w:val="00AA0B74"/>
    <w:rsid w:val="00AA11BE"/>
    <w:rsid w:val="00AA1468"/>
    <w:rsid w:val="00AA150E"/>
    <w:rsid w:val="00AA1D69"/>
    <w:rsid w:val="00AA1E28"/>
    <w:rsid w:val="00AA23ED"/>
    <w:rsid w:val="00AA275C"/>
    <w:rsid w:val="00AA2A4F"/>
    <w:rsid w:val="00AA2CAE"/>
    <w:rsid w:val="00AA2F73"/>
    <w:rsid w:val="00AA4050"/>
    <w:rsid w:val="00AA43FB"/>
    <w:rsid w:val="00AA46FD"/>
    <w:rsid w:val="00AA4C7E"/>
    <w:rsid w:val="00AA59C5"/>
    <w:rsid w:val="00AA59FB"/>
    <w:rsid w:val="00AA5F03"/>
    <w:rsid w:val="00AA6321"/>
    <w:rsid w:val="00AA6BFE"/>
    <w:rsid w:val="00AA6F8E"/>
    <w:rsid w:val="00AA709A"/>
    <w:rsid w:val="00AA7C03"/>
    <w:rsid w:val="00AB02D2"/>
    <w:rsid w:val="00AB160F"/>
    <w:rsid w:val="00AB1CB3"/>
    <w:rsid w:val="00AB1D0C"/>
    <w:rsid w:val="00AB2D5E"/>
    <w:rsid w:val="00AB2F93"/>
    <w:rsid w:val="00AB30C3"/>
    <w:rsid w:val="00AB33FA"/>
    <w:rsid w:val="00AB3490"/>
    <w:rsid w:val="00AB3944"/>
    <w:rsid w:val="00AB39B8"/>
    <w:rsid w:val="00AB3B8B"/>
    <w:rsid w:val="00AB409E"/>
    <w:rsid w:val="00AB45DD"/>
    <w:rsid w:val="00AB4A85"/>
    <w:rsid w:val="00AB4FDB"/>
    <w:rsid w:val="00AB500D"/>
    <w:rsid w:val="00AB5294"/>
    <w:rsid w:val="00AB5A79"/>
    <w:rsid w:val="00AB5C03"/>
    <w:rsid w:val="00AB6104"/>
    <w:rsid w:val="00AB62C4"/>
    <w:rsid w:val="00AB66D6"/>
    <w:rsid w:val="00AB6B6C"/>
    <w:rsid w:val="00AB6EBF"/>
    <w:rsid w:val="00AB7050"/>
    <w:rsid w:val="00AB7185"/>
    <w:rsid w:val="00AB7240"/>
    <w:rsid w:val="00AB775A"/>
    <w:rsid w:val="00AB7D05"/>
    <w:rsid w:val="00AC0BA6"/>
    <w:rsid w:val="00AC0C91"/>
    <w:rsid w:val="00AC1084"/>
    <w:rsid w:val="00AC188C"/>
    <w:rsid w:val="00AC26AB"/>
    <w:rsid w:val="00AC324E"/>
    <w:rsid w:val="00AC3D08"/>
    <w:rsid w:val="00AC4535"/>
    <w:rsid w:val="00AC45F1"/>
    <w:rsid w:val="00AC4DE0"/>
    <w:rsid w:val="00AC4E0B"/>
    <w:rsid w:val="00AC5BAD"/>
    <w:rsid w:val="00AC65B3"/>
    <w:rsid w:val="00AC6B2C"/>
    <w:rsid w:val="00AC74D2"/>
    <w:rsid w:val="00AC775F"/>
    <w:rsid w:val="00AD064E"/>
    <w:rsid w:val="00AD0799"/>
    <w:rsid w:val="00AD0A6E"/>
    <w:rsid w:val="00AD1598"/>
    <w:rsid w:val="00AD195A"/>
    <w:rsid w:val="00AD1B37"/>
    <w:rsid w:val="00AD1DA1"/>
    <w:rsid w:val="00AD243E"/>
    <w:rsid w:val="00AD2AD3"/>
    <w:rsid w:val="00AD2E1F"/>
    <w:rsid w:val="00AD44DD"/>
    <w:rsid w:val="00AD462D"/>
    <w:rsid w:val="00AD4879"/>
    <w:rsid w:val="00AD4C4B"/>
    <w:rsid w:val="00AD5424"/>
    <w:rsid w:val="00AD54CD"/>
    <w:rsid w:val="00AD55A5"/>
    <w:rsid w:val="00AD56C7"/>
    <w:rsid w:val="00AD59C6"/>
    <w:rsid w:val="00AD5DAB"/>
    <w:rsid w:val="00AD606E"/>
    <w:rsid w:val="00AD6191"/>
    <w:rsid w:val="00AD6245"/>
    <w:rsid w:val="00AD62E4"/>
    <w:rsid w:val="00AD6641"/>
    <w:rsid w:val="00AD7278"/>
    <w:rsid w:val="00AD7612"/>
    <w:rsid w:val="00AD7BFE"/>
    <w:rsid w:val="00AD7D6A"/>
    <w:rsid w:val="00AD7E46"/>
    <w:rsid w:val="00AE04E1"/>
    <w:rsid w:val="00AE117E"/>
    <w:rsid w:val="00AE11F0"/>
    <w:rsid w:val="00AE15D2"/>
    <w:rsid w:val="00AE1D4C"/>
    <w:rsid w:val="00AE2B1A"/>
    <w:rsid w:val="00AE301D"/>
    <w:rsid w:val="00AE3091"/>
    <w:rsid w:val="00AE31A4"/>
    <w:rsid w:val="00AE36E4"/>
    <w:rsid w:val="00AE45AB"/>
    <w:rsid w:val="00AE45BB"/>
    <w:rsid w:val="00AE555D"/>
    <w:rsid w:val="00AE6582"/>
    <w:rsid w:val="00AE68F7"/>
    <w:rsid w:val="00AE6DE6"/>
    <w:rsid w:val="00AE6E37"/>
    <w:rsid w:val="00AE7032"/>
    <w:rsid w:val="00AE768E"/>
    <w:rsid w:val="00AE76C7"/>
    <w:rsid w:val="00AE77BC"/>
    <w:rsid w:val="00AE77E3"/>
    <w:rsid w:val="00AE7EBC"/>
    <w:rsid w:val="00AF0682"/>
    <w:rsid w:val="00AF0702"/>
    <w:rsid w:val="00AF21BF"/>
    <w:rsid w:val="00AF2B62"/>
    <w:rsid w:val="00AF383F"/>
    <w:rsid w:val="00AF43E5"/>
    <w:rsid w:val="00AF4505"/>
    <w:rsid w:val="00AF4579"/>
    <w:rsid w:val="00AF52CB"/>
    <w:rsid w:val="00AF5960"/>
    <w:rsid w:val="00AF5EEC"/>
    <w:rsid w:val="00AF71BF"/>
    <w:rsid w:val="00AF73DD"/>
    <w:rsid w:val="00AF7800"/>
    <w:rsid w:val="00AF78F0"/>
    <w:rsid w:val="00AF7A85"/>
    <w:rsid w:val="00AF7DE2"/>
    <w:rsid w:val="00B001B1"/>
    <w:rsid w:val="00B003E7"/>
    <w:rsid w:val="00B0086B"/>
    <w:rsid w:val="00B00E23"/>
    <w:rsid w:val="00B0111E"/>
    <w:rsid w:val="00B01911"/>
    <w:rsid w:val="00B01EC4"/>
    <w:rsid w:val="00B02AD3"/>
    <w:rsid w:val="00B02EF4"/>
    <w:rsid w:val="00B03069"/>
    <w:rsid w:val="00B033BE"/>
    <w:rsid w:val="00B033E5"/>
    <w:rsid w:val="00B0398D"/>
    <w:rsid w:val="00B03F9B"/>
    <w:rsid w:val="00B0458F"/>
    <w:rsid w:val="00B046BF"/>
    <w:rsid w:val="00B04730"/>
    <w:rsid w:val="00B04F04"/>
    <w:rsid w:val="00B05011"/>
    <w:rsid w:val="00B05490"/>
    <w:rsid w:val="00B057AF"/>
    <w:rsid w:val="00B0599A"/>
    <w:rsid w:val="00B05A60"/>
    <w:rsid w:val="00B05BFF"/>
    <w:rsid w:val="00B06510"/>
    <w:rsid w:val="00B066FD"/>
    <w:rsid w:val="00B06AB0"/>
    <w:rsid w:val="00B06D93"/>
    <w:rsid w:val="00B0712B"/>
    <w:rsid w:val="00B07616"/>
    <w:rsid w:val="00B077E8"/>
    <w:rsid w:val="00B107D0"/>
    <w:rsid w:val="00B10828"/>
    <w:rsid w:val="00B109EC"/>
    <w:rsid w:val="00B10CC0"/>
    <w:rsid w:val="00B11262"/>
    <w:rsid w:val="00B11515"/>
    <w:rsid w:val="00B11E1D"/>
    <w:rsid w:val="00B11FA9"/>
    <w:rsid w:val="00B122FB"/>
    <w:rsid w:val="00B122FE"/>
    <w:rsid w:val="00B12753"/>
    <w:rsid w:val="00B12D99"/>
    <w:rsid w:val="00B12EA6"/>
    <w:rsid w:val="00B137C1"/>
    <w:rsid w:val="00B139EF"/>
    <w:rsid w:val="00B13F49"/>
    <w:rsid w:val="00B13F9A"/>
    <w:rsid w:val="00B142AB"/>
    <w:rsid w:val="00B14A5F"/>
    <w:rsid w:val="00B14C9C"/>
    <w:rsid w:val="00B14E27"/>
    <w:rsid w:val="00B15A01"/>
    <w:rsid w:val="00B15BCF"/>
    <w:rsid w:val="00B15D1B"/>
    <w:rsid w:val="00B16024"/>
    <w:rsid w:val="00B16BEA"/>
    <w:rsid w:val="00B172C7"/>
    <w:rsid w:val="00B173BD"/>
    <w:rsid w:val="00B177C6"/>
    <w:rsid w:val="00B203AC"/>
    <w:rsid w:val="00B203B1"/>
    <w:rsid w:val="00B2041F"/>
    <w:rsid w:val="00B213CB"/>
    <w:rsid w:val="00B217CB"/>
    <w:rsid w:val="00B21D1A"/>
    <w:rsid w:val="00B21D65"/>
    <w:rsid w:val="00B2309E"/>
    <w:rsid w:val="00B23132"/>
    <w:rsid w:val="00B2340D"/>
    <w:rsid w:val="00B2412B"/>
    <w:rsid w:val="00B24CC1"/>
    <w:rsid w:val="00B24EE6"/>
    <w:rsid w:val="00B24FC7"/>
    <w:rsid w:val="00B25293"/>
    <w:rsid w:val="00B256DE"/>
    <w:rsid w:val="00B25774"/>
    <w:rsid w:val="00B25A5D"/>
    <w:rsid w:val="00B26405"/>
    <w:rsid w:val="00B265A0"/>
    <w:rsid w:val="00B2695E"/>
    <w:rsid w:val="00B269B8"/>
    <w:rsid w:val="00B26E32"/>
    <w:rsid w:val="00B30BD8"/>
    <w:rsid w:val="00B30E2D"/>
    <w:rsid w:val="00B31386"/>
    <w:rsid w:val="00B31DCC"/>
    <w:rsid w:val="00B31DFB"/>
    <w:rsid w:val="00B3209A"/>
    <w:rsid w:val="00B32436"/>
    <w:rsid w:val="00B32D63"/>
    <w:rsid w:val="00B32DA9"/>
    <w:rsid w:val="00B32DAD"/>
    <w:rsid w:val="00B33114"/>
    <w:rsid w:val="00B33648"/>
    <w:rsid w:val="00B337C7"/>
    <w:rsid w:val="00B33900"/>
    <w:rsid w:val="00B33AB6"/>
    <w:rsid w:val="00B33B18"/>
    <w:rsid w:val="00B33CAD"/>
    <w:rsid w:val="00B343CF"/>
    <w:rsid w:val="00B347CE"/>
    <w:rsid w:val="00B359E0"/>
    <w:rsid w:val="00B35B31"/>
    <w:rsid w:val="00B35F16"/>
    <w:rsid w:val="00B36284"/>
    <w:rsid w:val="00B3642C"/>
    <w:rsid w:val="00B36877"/>
    <w:rsid w:val="00B370E3"/>
    <w:rsid w:val="00B3797F"/>
    <w:rsid w:val="00B3799E"/>
    <w:rsid w:val="00B40162"/>
    <w:rsid w:val="00B403B9"/>
    <w:rsid w:val="00B410A7"/>
    <w:rsid w:val="00B413EA"/>
    <w:rsid w:val="00B4176C"/>
    <w:rsid w:val="00B4186F"/>
    <w:rsid w:val="00B41904"/>
    <w:rsid w:val="00B4193A"/>
    <w:rsid w:val="00B427B1"/>
    <w:rsid w:val="00B42FAF"/>
    <w:rsid w:val="00B433FA"/>
    <w:rsid w:val="00B436CC"/>
    <w:rsid w:val="00B43A2F"/>
    <w:rsid w:val="00B43A48"/>
    <w:rsid w:val="00B43F7D"/>
    <w:rsid w:val="00B44745"/>
    <w:rsid w:val="00B4522C"/>
    <w:rsid w:val="00B45A74"/>
    <w:rsid w:val="00B462FE"/>
    <w:rsid w:val="00B466F9"/>
    <w:rsid w:val="00B46BFC"/>
    <w:rsid w:val="00B504AA"/>
    <w:rsid w:val="00B50834"/>
    <w:rsid w:val="00B5084B"/>
    <w:rsid w:val="00B50C75"/>
    <w:rsid w:val="00B516EA"/>
    <w:rsid w:val="00B52273"/>
    <w:rsid w:val="00B52AC9"/>
    <w:rsid w:val="00B5362A"/>
    <w:rsid w:val="00B53A54"/>
    <w:rsid w:val="00B53B5B"/>
    <w:rsid w:val="00B53C98"/>
    <w:rsid w:val="00B53CBB"/>
    <w:rsid w:val="00B53DE1"/>
    <w:rsid w:val="00B53F4C"/>
    <w:rsid w:val="00B54071"/>
    <w:rsid w:val="00B545A1"/>
    <w:rsid w:val="00B5473E"/>
    <w:rsid w:val="00B55268"/>
    <w:rsid w:val="00B554CE"/>
    <w:rsid w:val="00B55ABB"/>
    <w:rsid w:val="00B55CA8"/>
    <w:rsid w:val="00B55FAF"/>
    <w:rsid w:val="00B56414"/>
    <w:rsid w:val="00B57F22"/>
    <w:rsid w:val="00B60B72"/>
    <w:rsid w:val="00B60EBA"/>
    <w:rsid w:val="00B60EE9"/>
    <w:rsid w:val="00B61937"/>
    <w:rsid w:val="00B6198E"/>
    <w:rsid w:val="00B61C70"/>
    <w:rsid w:val="00B61CAE"/>
    <w:rsid w:val="00B61F30"/>
    <w:rsid w:val="00B621BB"/>
    <w:rsid w:val="00B62298"/>
    <w:rsid w:val="00B62705"/>
    <w:rsid w:val="00B63741"/>
    <w:rsid w:val="00B63BEC"/>
    <w:rsid w:val="00B63BF5"/>
    <w:rsid w:val="00B63E7B"/>
    <w:rsid w:val="00B63EEA"/>
    <w:rsid w:val="00B6446C"/>
    <w:rsid w:val="00B645E0"/>
    <w:rsid w:val="00B649F7"/>
    <w:rsid w:val="00B64E33"/>
    <w:rsid w:val="00B64F1E"/>
    <w:rsid w:val="00B656E6"/>
    <w:rsid w:val="00B65710"/>
    <w:rsid w:val="00B659C9"/>
    <w:rsid w:val="00B65BFD"/>
    <w:rsid w:val="00B65CA1"/>
    <w:rsid w:val="00B65DA5"/>
    <w:rsid w:val="00B6619B"/>
    <w:rsid w:val="00B66316"/>
    <w:rsid w:val="00B67125"/>
    <w:rsid w:val="00B67408"/>
    <w:rsid w:val="00B67A9A"/>
    <w:rsid w:val="00B67EEA"/>
    <w:rsid w:val="00B702FE"/>
    <w:rsid w:val="00B70709"/>
    <w:rsid w:val="00B707B5"/>
    <w:rsid w:val="00B70A79"/>
    <w:rsid w:val="00B71044"/>
    <w:rsid w:val="00B71C9D"/>
    <w:rsid w:val="00B71DE5"/>
    <w:rsid w:val="00B7203A"/>
    <w:rsid w:val="00B7296D"/>
    <w:rsid w:val="00B72D92"/>
    <w:rsid w:val="00B73996"/>
    <w:rsid w:val="00B73E43"/>
    <w:rsid w:val="00B74796"/>
    <w:rsid w:val="00B74A22"/>
    <w:rsid w:val="00B750BB"/>
    <w:rsid w:val="00B7522B"/>
    <w:rsid w:val="00B7581C"/>
    <w:rsid w:val="00B75D5E"/>
    <w:rsid w:val="00B75FA6"/>
    <w:rsid w:val="00B7619B"/>
    <w:rsid w:val="00B76578"/>
    <w:rsid w:val="00B76645"/>
    <w:rsid w:val="00B76B01"/>
    <w:rsid w:val="00B76F36"/>
    <w:rsid w:val="00B76FB5"/>
    <w:rsid w:val="00B77837"/>
    <w:rsid w:val="00B802F0"/>
    <w:rsid w:val="00B8085A"/>
    <w:rsid w:val="00B80C35"/>
    <w:rsid w:val="00B80D37"/>
    <w:rsid w:val="00B80FE3"/>
    <w:rsid w:val="00B8130F"/>
    <w:rsid w:val="00B813F2"/>
    <w:rsid w:val="00B815C7"/>
    <w:rsid w:val="00B81801"/>
    <w:rsid w:val="00B81A8B"/>
    <w:rsid w:val="00B81EC8"/>
    <w:rsid w:val="00B82606"/>
    <w:rsid w:val="00B82620"/>
    <w:rsid w:val="00B82689"/>
    <w:rsid w:val="00B829A2"/>
    <w:rsid w:val="00B82FF6"/>
    <w:rsid w:val="00B835A8"/>
    <w:rsid w:val="00B83676"/>
    <w:rsid w:val="00B837B7"/>
    <w:rsid w:val="00B83BB9"/>
    <w:rsid w:val="00B847FB"/>
    <w:rsid w:val="00B84907"/>
    <w:rsid w:val="00B84ED7"/>
    <w:rsid w:val="00B84F4C"/>
    <w:rsid w:val="00B8501B"/>
    <w:rsid w:val="00B8507B"/>
    <w:rsid w:val="00B85E2F"/>
    <w:rsid w:val="00B86F9E"/>
    <w:rsid w:val="00B8763C"/>
    <w:rsid w:val="00B87E9D"/>
    <w:rsid w:val="00B87F20"/>
    <w:rsid w:val="00B9026E"/>
    <w:rsid w:val="00B902EC"/>
    <w:rsid w:val="00B90327"/>
    <w:rsid w:val="00B90364"/>
    <w:rsid w:val="00B9038A"/>
    <w:rsid w:val="00B904F3"/>
    <w:rsid w:val="00B90719"/>
    <w:rsid w:val="00B908FB"/>
    <w:rsid w:val="00B90ABB"/>
    <w:rsid w:val="00B90B13"/>
    <w:rsid w:val="00B912D1"/>
    <w:rsid w:val="00B91706"/>
    <w:rsid w:val="00B917E6"/>
    <w:rsid w:val="00B91AA3"/>
    <w:rsid w:val="00B92DE0"/>
    <w:rsid w:val="00B93135"/>
    <w:rsid w:val="00B932CE"/>
    <w:rsid w:val="00B9354F"/>
    <w:rsid w:val="00B936CD"/>
    <w:rsid w:val="00B939A0"/>
    <w:rsid w:val="00B93C9E"/>
    <w:rsid w:val="00B93CE7"/>
    <w:rsid w:val="00B93EBA"/>
    <w:rsid w:val="00B9456D"/>
    <w:rsid w:val="00B960C6"/>
    <w:rsid w:val="00B9679E"/>
    <w:rsid w:val="00B977CE"/>
    <w:rsid w:val="00B97BFA"/>
    <w:rsid w:val="00BA03B6"/>
    <w:rsid w:val="00BA0CD7"/>
    <w:rsid w:val="00BA1911"/>
    <w:rsid w:val="00BA1BB1"/>
    <w:rsid w:val="00BA202E"/>
    <w:rsid w:val="00BA2717"/>
    <w:rsid w:val="00BA280D"/>
    <w:rsid w:val="00BA2EFA"/>
    <w:rsid w:val="00BA3E7D"/>
    <w:rsid w:val="00BA3E87"/>
    <w:rsid w:val="00BA42F6"/>
    <w:rsid w:val="00BA43F1"/>
    <w:rsid w:val="00BA449F"/>
    <w:rsid w:val="00BA4546"/>
    <w:rsid w:val="00BA4866"/>
    <w:rsid w:val="00BA4B07"/>
    <w:rsid w:val="00BA4CE2"/>
    <w:rsid w:val="00BA559D"/>
    <w:rsid w:val="00BA563F"/>
    <w:rsid w:val="00BA56BF"/>
    <w:rsid w:val="00BA58C6"/>
    <w:rsid w:val="00BA5B36"/>
    <w:rsid w:val="00BA618E"/>
    <w:rsid w:val="00BA6821"/>
    <w:rsid w:val="00BA68A7"/>
    <w:rsid w:val="00BA6DEF"/>
    <w:rsid w:val="00BA6FBB"/>
    <w:rsid w:val="00BA7528"/>
    <w:rsid w:val="00BA7CB0"/>
    <w:rsid w:val="00BB02A5"/>
    <w:rsid w:val="00BB0337"/>
    <w:rsid w:val="00BB03D2"/>
    <w:rsid w:val="00BB0478"/>
    <w:rsid w:val="00BB0492"/>
    <w:rsid w:val="00BB064C"/>
    <w:rsid w:val="00BB0921"/>
    <w:rsid w:val="00BB0952"/>
    <w:rsid w:val="00BB0E0A"/>
    <w:rsid w:val="00BB148E"/>
    <w:rsid w:val="00BB168C"/>
    <w:rsid w:val="00BB1B04"/>
    <w:rsid w:val="00BB2303"/>
    <w:rsid w:val="00BB2A71"/>
    <w:rsid w:val="00BB2BC9"/>
    <w:rsid w:val="00BB2E1E"/>
    <w:rsid w:val="00BB2E70"/>
    <w:rsid w:val="00BB32DD"/>
    <w:rsid w:val="00BB3ABD"/>
    <w:rsid w:val="00BB3D72"/>
    <w:rsid w:val="00BB3D8A"/>
    <w:rsid w:val="00BB3FFA"/>
    <w:rsid w:val="00BB4241"/>
    <w:rsid w:val="00BB442F"/>
    <w:rsid w:val="00BB4D2C"/>
    <w:rsid w:val="00BB4D2D"/>
    <w:rsid w:val="00BB4DC5"/>
    <w:rsid w:val="00BB5FED"/>
    <w:rsid w:val="00BB637B"/>
    <w:rsid w:val="00BB71DF"/>
    <w:rsid w:val="00BB7657"/>
    <w:rsid w:val="00BB7AFE"/>
    <w:rsid w:val="00BC01E4"/>
    <w:rsid w:val="00BC02D0"/>
    <w:rsid w:val="00BC0357"/>
    <w:rsid w:val="00BC05C8"/>
    <w:rsid w:val="00BC0672"/>
    <w:rsid w:val="00BC075F"/>
    <w:rsid w:val="00BC0798"/>
    <w:rsid w:val="00BC0808"/>
    <w:rsid w:val="00BC0D04"/>
    <w:rsid w:val="00BC1582"/>
    <w:rsid w:val="00BC1BA0"/>
    <w:rsid w:val="00BC252A"/>
    <w:rsid w:val="00BC2820"/>
    <w:rsid w:val="00BC28B1"/>
    <w:rsid w:val="00BC28CB"/>
    <w:rsid w:val="00BC35C2"/>
    <w:rsid w:val="00BC363D"/>
    <w:rsid w:val="00BC3C99"/>
    <w:rsid w:val="00BC3E52"/>
    <w:rsid w:val="00BC4B31"/>
    <w:rsid w:val="00BC5DE5"/>
    <w:rsid w:val="00BC5F4B"/>
    <w:rsid w:val="00BC65CD"/>
    <w:rsid w:val="00BC6769"/>
    <w:rsid w:val="00BC6AE4"/>
    <w:rsid w:val="00BC7145"/>
    <w:rsid w:val="00BC74C6"/>
    <w:rsid w:val="00BC762C"/>
    <w:rsid w:val="00BC7E9F"/>
    <w:rsid w:val="00BD0362"/>
    <w:rsid w:val="00BD0456"/>
    <w:rsid w:val="00BD0582"/>
    <w:rsid w:val="00BD165C"/>
    <w:rsid w:val="00BD1791"/>
    <w:rsid w:val="00BD17A7"/>
    <w:rsid w:val="00BD1991"/>
    <w:rsid w:val="00BD2306"/>
    <w:rsid w:val="00BD23ED"/>
    <w:rsid w:val="00BD3041"/>
    <w:rsid w:val="00BD34C5"/>
    <w:rsid w:val="00BD3507"/>
    <w:rsid w:val="00BD391A"/>
    <w:rsid w:val="00BD3A3F"/>
    <w:rsid w:val="00BD3AA7"/>
    <w:rsid w:val="00BD3F82"/>
    <w:rsid w:val="00BD442A"/>
    <w:rsid w:val="00BD488D"/>
    <w:rsid w:val="00BD4A0F"/>
    <w:rsid w:val="00BD4AE7"/>
    <w:rsid w:val="00BD4DDC"/>
    <w:rsid w:val="00BD4FF6"/>
    <w:rsid w:val="00BD51E8"/>
    <w:rsid w:val="00BD5760"/>
    <w:rsid w:val="00BD5C50"/>
    <w:rsid w:val="00BD5DC6"/>
    <w:rsid w:val="00BD6117"/>
    <w:rsid w:val="00BD6FB2"/>
    <w:rsid w:val="00BD7740"/>
    <w:rsid w:val="00BD790E"/>
    <w:rsid w:val="00BE0497"/>
    <w:rsid w:val="00BE069C"/>
    <w:rsid w:val="00BE0B52"/>
    <w:rsid w:val="00BE0BC9"/>
    <w:rsid w:val="00BE10EC"/>
    <w:rsid w:val="00BE12EC"/>
    <w:rsid w:val="00BE1F14"/>
    <w:rsid w:val="00BE1F64"/>
    <w:rsid w:val="00BE2434"/>
    <w:rsid w:val="00BE24DB"/>
    <w:rsid w:val="00BE2FC2"/>
    <w:rsid w:val="00BE33DA"/>
    <w:rsid w:val="00BE37ED"/>
    <w:rsid w:val="00BE38B3"/>
    <w:rsid w:val="00BE3ACE"/>
    <w:rsid w:val="00BE3F03"/>
    <w:rsid w:val="00BE4050"/>
    <w:rsid w:val="00BE40D4"/>
    <w:rsid w:val="00BE4547"/>
    <w:rsid w:val="00BE4AA3"/>
    <w:rsid w:val="00BE50E8"/>
    <w:rsid w:val="00BE5586"/>
    <w:rsid w:val="00BE56FF"/>
    <w:rsid w:val="00BE5867"/>
    <w:rsid w:val="00BE58A3"/>
    <w:rsid w:val="00BE5BCF"/>
    <w:rsid w:val="00BE65D5"/>
    <w:rsid w:val="00BE67D6"/>
    <w:rsid w:val="00BE6BFE"/>
    <w:rsid w:val="00BE6F64"/>
    <w:rsid w:val="00BE6FCB"/>
    <w:rsid w:val="00BE780C"/>
    <w:rsid w:val="00BE7851"/>
    <w:rsid w:val="00BE78D6"/>
    <w:rsid w:val="00BF0454"/>
    <w:rsid w:val="00BF065B"/>
    <w:rsid w:val="00BF076A"/>
    <w:rsid w:val="00BF0881"/>
    <w:rsid w:val="00BF103F"/>
    <w:rsid w:val="00BF17C5"/>
    <w:rsid w:val="00BF2018"/>
    <w:rsid w:val="00BF206D"/>
    <w:rsid w:val="00BF2106"/>
    <w:rsid w:val="00BF2724"/>
    <w:rsid w:val="00BF2F36"/>
    <w:rsid w:val="00BF3224"/>
    <w:rsid w:val="00BF3525"/>
    <w:rsid w:val="00BF3865"/>
    <w:rsid w:val="00BF3AEC"/>
    <w:rsid w:val="00BF40E1"/>
    <w:rsid w:val="00BF41C6"/>
    <w:rsid w:val="00BF458A"/>
    <w:rsid w:val="00BF46FB"/>
    <w:rsid w:val="00BF4A26"/>
    <w:rsid w:val="00BF5146"/>
    <w:rsid w:val="00BF5294"/>
    <w:rsid w:val="00BF5521"/>
    <w:rsid w:val="00BF580E"/>
    <w:rsid w:val="00BF5ED4"/>
    <w:rsid w:val="00BF702A"/>
    <w:rsid w:val="00BF75E0"/>
    <w:rsid w:val="00BF772E"/>
    <w:rsid w:val="00BF7C4C"/>
    <w:rsid w:val="00C000A3"/>
    <w:rsid w:val="00C001F5"/>
    <w:rsid w:val="00C004F9"/>
    <w:rsid w:val="00C00907"/>
    <w:rsid w:val="00C00E3D"/>
    <w:rsid w:val="00C014B0"/>
    <w:rsid w:val="00C0191D"/>
    <w:rsid w:val="00C0196D"/>
    <w:rsid w:val="00C01BA4"/>
    <w:rsid w:val="00C01E09"/>
    <w:rsid w:val="00C01EA3"/>
    <w:rsid w:val="00C02277"/>
    <w:rsid w:val="00C023C6"/>
    <w:rsid w:val="00C029C4"/>
    <w:rsid w:val="00C02AAA"/>
    <w:rsid w:val="00C03101"/>
    <w:rsid w:val="00C031E0"/>
    <w:rsid w:val="00C032B6"/>
    <w:rsid w:val="00C0353C"/>
    <w:rsid w:val="00C0368A"/>
    <w:rsid w:val="00C03E80"/>
    <w:rsid w:val="00C044DA"/>
    <w:rsid w:val="00C0497C"/>
    <w:rsid w:val="00C04BF7"/>
    <w:rsid w:val="00C04F9F"/>
    <w:rsid w:val="00C05266"/>
    <w:rsid w:val="00C05AC1"/>
    <w:rsid w:val="00C05C0C"/>
    <w:rsid w:val="00C05CC6"/>
    <w:rsid w:val="00C05DD6"/>
    <w:rsid w:val="00C05DE8"/>
    <w:rsid w:val="00C06245"/>
    <w:rsid w:val="00C06566"/>
    <w:rsid w:val="00C06682"/>
    <w:rsid w:val="00C06878"/>
    <w:rsid w:val="00C06C3E"/>
    <w:rsid w:val="00C07C8E"/>
    <w:rsid w:val="00C10263"/>
    <w:rsid w:val="00C10560"/>
    <w:rsid w:val="00C10BCF"/>
    <w:rsid w:val="00C10D55"/>
    <w:rsid w:val="00C10D88"/>
    <w:rsid w:val="00C10EA8"/>
    <w:rsid w:val="00C1114D"/>
    <w:rsid w:val="00C11548"/>
    <w:rsid w:val="00C11757"/>
    <w:rsid w:val="00C11818"/>
    <w:rsid w:val="00C11A8E"/>
    <w:rsid w:val="00C11B29"/>
    <w:rsid w:val="00C11E77"/>
    <w:rsid w:val="00C134A1"/>
    <w:rsid w:val="00C1393F"/>
    <w:rsid w:val="00C13D47"/>
    <w:rsid w:val="00C13F76"/>
    <w:rsid w:val="00C14075"/>
    <w:rsid w:val="00C14CA6"/>
    <w:rsid w:val="00C150FF"/>
    <w:rsid w:val="00C1510E"/>
    <w:rsid w:val="00C15250"/>
    <w:rsid w:val="00C156D0"/>
    <w:rsid w:val="00C15A9E"/>
    <w:rsid w:val="00C15D6F"/>
    <w:rsid w:val="00C15E2B"/>
    <w:rsid w:val="00C162E9"/>
    <w:rsid w:val="00C1705C"/>
    <w:rsid w:val="00C175AE"/>
    <w:rsid w:val="00C17D60"/>
    <w:rsid w:val="00C17DD4"/>
    <w:rsid w:val="00C17F64"/>
    <w:rsid w:val="00C20018"/>
    <w:rsid w:val="00C206A5"/>
    <w:rsid w:val="00C20716"/>
    <w:rsid w:val="00C208C5"/>
    <w:rsid w:val="00C212D1"/>
    <w:rsid w:val="00C21914"/>
    <w:rsid w:val="00C22565"/>
    <w:rsid w:val="00C226CC"/>
    <w:rsid w:val="00C22C1F"/>
    <w:rsid w:val="00C2342D"/>
    <w:rsid w:val="00C23C9F"/>
    <w:rsid w:val="00C2472B"/>
    <w:rsid w:val="00C2499E"/>
    <w:rsid w:val="00C249A9"/>
    <w:rsid w:val="00C249FE"/>
    <w:rsid w:val="00C24A04"/>
    <w:rsid w:val="00C24ABC"/>
    <w:rsid w:val="00C24C99"/>
    <w:rsid w:val="00C24EDA"/>
    <w:rsid w:val="00C24F49"/>
    <w:rsid w:val="00C25275"/>
    <w:rsid w:val="00C253B7"/>
    <w:rsid w:val="00C25652"/>
    <w:rsid w:val="00C25F66"/>
    <w:rsid w:val="00C25F6C"/>
    <w:rsid w:val="00C2639D"/>
    <w:rsid w:val="00C2709B"/>
    <w:rsid w:val="00C2788C"/>
    <w:rsid w:val="00C27A89"/>
    <w:rsid w:val="00C27BEA"/>
    <w:rsid w:val="00C30658"/>
    <w:rsid w:val="00C31A95"/>
    <w:rsid w:val="00C32046"/>
    <w:rsid w:val="00C3222C"/>
    <w:rsid w:val="00C3261D"/>
    <w:rsid w:val="00C32876"/>
    <w:rsid w:val="00C328DE"/>
    <w:rsid w:val="00C32C80"/>
    <w:rsid w:val="00C3327D"/>
    <w:rsid w:val="00C33327"/>
    <w:rsid w:val="00C334C0"/>
    <w:rsid w:val="00C33537"/>
    <w:rsid w:val="00C3386E"/>
    <w:rsid w:val="00C33918"/>
    <w:rsid w:val="00C341C1"/>
    <w:rsid w:val="00C342E2"/>
    <w:rsid w:val="00C34520"/>
    <w:rsid w:val="00C3476A"/>
    <w:rsid w:val="00C34B34"/>
    <w:rsid w:val="00C3542F"/>
    <w:rsid w:val="00C358D4"/>
    <w:rsid w:val="00C35FDC"/>
    <w:rsid w:val="00C3673A"/>
    <w:rsid w:val="00C372C4"/>
    <w:rsid w:val="00C37AAD"/>
    <w:rsid w:val="00C37D8E"/>
    <w:rsid w:val="00C4032C"/>
    <w:rsid w:val="00C405B6"/>
    <w:rsid w:val="00C40D59"/>
    <w:rsid w:val="00C4186E"/>
    <w:rsid w:val="00C418D6"/>
    <w:rsid w:val="00C419DD"/>
    <w:rsid w:val="00C41BA9"/>
    <w:rsid w:val="00C41E72"/>
    <w:rsid w:val="00C423B5"/>
    <w:rsid w:val="00C42526"/>
    <w:rsid w:val="00C4257E"/>
    <w:rsid w:val="00C42685"/>
    <w:rsid w:val="00C42F42"/>
    <w:rsid w:val="00C42FBD"/>
    <w:rsid w:val="00C43BA9"/>
    <w:rsid w:val="00C44173"/>
    <w:rsid w:val="00C44321"/>
    <w:rsid w:val="00C4501B"/>
    <w:rsid w:val="00C450C2"/>
    <w:rsid w:val="00C450F3"/>
    <w:rsid w:val="00C45537"/>
    <w:rsid w:val="00C45687"/>
    <w:rsid w:val="00C45724"/>
    <w:rsid w:val="00C46F77"/>
    <w:rsid w:val="00C46FA6"/>
    <w:rsid w:val="00C47B29"/>
    <w:rsid w:val="00C47CC6"/>
    <w:rsid w:val="00C47F1A"/>
    <w:rsid w:val="00C5019B"/>
    <w:rsid w:val="00C50F3C"/>
    <w:rsid w:val="00C510CE"/>
    <w:rsid w:val="00C51FF2"/>
    <w:rsid w:val="00C52D0C"/>
    <w:rsid w:val="00C53077"/>
    <w:rsid w:val="00C53588"/>
    <w:rsid w:val="00C535E2"/>
    <w:rsid w:val="00C53FE6"/>
    <w:rsid w:val="00C54C07"/>
    <w:rsid w:val="00C54E39"/>
    <w:rsid w:val="00C5528A"/>
    <w:rsid w:val="00C553E1"/>
    <w:rsid w:val="00C55BCD"/>
    <w:rsid w:val="00C55EBD"/>
    <w:rsid w:val="00C566B2"/>
    <w:rsid w:val="00C56A6C"/>
    <w:rsid w:val="00C56C80"/>
    <w:rsid w:val="00C56F24"/>
    <w:rsid w:val="00C577F1"/>
    <w:rsid w:val="00C57928"/>
    <w:rsid w:val="00C57F4A"/>
    <w:rsid w:val="00C60391"/>
    <w:rsid w:val="00C607CA"/>
    <w:rsid w:val="00C60A7D"/>
    <w:rsid w:val="00C60DBB"/>
    <w:rsid w:val="00C60DFC"/>
    <w:rsid w:val="00C61BEE"/>
    <w:rsid w:val="00C61C3B"/>
    <w:rsid w:val="00C61EC6"/>
    <w:rsid w:val="00C61F92"/>
    <w:rsid w:val="00C627A1"/>
    <w:rsid w:val="00C62BDE"/>
    <w:rsid w:val="00C62CB2"/>
    <w:rsid w:val="00C62F2B"/>
    <w:rsid w:val="00C63058"/>
    <w:rsid w:val="00C63215"/>
    <w:rsid w:val="00C63C5A"/>
    <w:rsid w:val="00C63DE0"/>
    <w:rsid w:val="00C64EC2"/>
    <w:rsid w:val="00C65974"/>
    <w:rsid w:val="00C65AB5"/>
    <w:rsid w:val="00C65DEB"/>
    <w:rsid w:val="00C65FE5"/>
    <w:rsid w:val="00C664F7"/>
    <w:rsid w:val="00C66CD4"/>
    <w:rsid w:val="00C66D2E"/>
    <w:rsid w:val="00C66E0E"/>
    <w:rsid w:val="00C67A9E"/>
    <w:rsid w:val="00C705DA"/>
    <w:rsid w:val="00C70918"/>
    <w:rsid w:val="00C70C32"/>
    <w:rsid w:val="00C71075"/>
    <w:rsid w:val="00C71523"/>
    <w:rsid w:val="00C71661"/>
    <w:rsid w:val="00C71AF7"/>
    <w:rsid w:val="00C723DD"/>
    <w:rsid w:val="00C72843"/>
    <w:rsid w:val="00C72A21"/>
    <w:rsid w:val="00C73098"/>
    <w:rsid w:val="00C7349D"/>
    <w:rsid w:val="00C73F00"/>
    <w:rsid w:val="00C741A5"/>
    <w:rsid w:val="00C74554"/>
    <w:rsid w:val="00C74565"/>
    <w:rsid w:val="00C745E9"/>
    <w:rsid w:val="00C74BFC"/>
    <w:rsid w:val="00C74FD5"/>
    <w:rsid w:val="00C75166"/>
    <w:rsid w:val="00C75599"/>
    <w:rsid w:val="00C75BA4"/>
    <w:rsid w:val="00C75C39"/>
    <w:rsid w:val="00C75E3F"/>
    <w:rsid w:val="00C75EA3"/>
    <w:rsid w:val="00C764AA"/>
    <w:rsid w:val="00C76883"/>
    <w:rsid w:val="00C76BD1"/>
    <w:rsid w:val="00C77452"/>
    <w:rsid w:val="00C77F87"/>
    <w:rsid w:val="00C80A5E"/>
    <w:rsid w:val="00C80AA4"/>
    <w:rsid w:val="00C80AD3"/>
    <w:rsid w:val="00C80BDB"/>
    <w:rsid w:val="00C80D3E"/>
    <w:rsid w:val="00C81119"/>
    <w:rsid w:val="00C81349"/>
    <w:rsid w:val="00C813B4"/>
    <w:rsid w:val="00C819E9"/>
    <w:rsid w:val="00C81C8E"/>
    <w:rsid w:val="00C81F21"/>
    <w:rsid w:val="00C8242E"/>
    <w:rsid w:val="00C82BA1"/>
    <w:rsid w:val="00C82BD4"/>
    <w:rsid w:val="00C82C2B"/>
    <w:rsid w:val="00C83800"/>
    <w:rsid w:val="00C83872"/>
    <w:rsid w:val="00C83AC7"/>
    <w:rsid w:val="00C8427F"/>
    <w:rsid w:val="00C84366"/>
    <w:rsid w:val="00C845CF"/>
    <w:rsid w:val="00C84EF4"/>
    <w:rsid w:val="00C85451"/>
    <w:rsid w:val="00C85465"/>
    <w:rsid w:val="00C85DB3"/>
    <w:rsid w:val="00C861F6"/>
    <w:rsid w:val="00C86245"/>
    <w:rsid w:val="00C866E7"/>
    <w:rsid w:val="00C868F7"/>
    <w:rsid w:val="00C869E3"/>
    <w:rsid w:val="00C86F31"/>
    <w:rsid w:val="00C86F5D"/>
    <w:rsid w:val="00C8722B"/>
    <w:rsid w:val="00C87A49"/>
    <w:rsid w:val="00C906AC"/>
    <w:rsid w:val="00C90775"/>
    <w:rsid w:val="00C90A47"/>
    <w:rsid w:val="00C90BBD"/>
    <w:rsid w:val="00C90E82"/>
    <w:rsid w:val="00C90F8C"/>
    <w:rsid w:val="00C910D8"/>
    <w:rsid w:val="00C917C5"/>
    <w:rsid w:val="00C920F9"/>
    <w:rsid w:val="00C92DA0"/>
    <w:rsid w:val="00C936EA"/>
    <w:rsid w:val="00C9382C"/>
    <w:rsid w:val="00C93D3E"/>
    <w:rsid w:val="00C93DEC"/>
    <w:rsid w:val="00C94014"/>
    <w:rsid w:val="00C943AD"/>
    <w:rsid w:val="00C948A6"/>
    <w:rsid w:val="00C95684"/>
    <w:rsid w:val="00C956FE"/>
    <w:rsid w:val="00C95734"/>
    <w:rsid w:val="00C9599D"/>
    <w:rsid w:val="00C959D0"/>
    <w:rsid w:val="00C95ABC"/>
    <w:rsid w:val="00C96946"/>
    <w:rsid w:val="00C96DD6"/>
    <w:rsid w:val="00C9749C"/>
    <w:rsid w:val="00C97A70"/>
    <w:rsid w:val="00CA02F8"/>
    <w:rsid w:val="00CA0C4A"/>
    <w:rsid w:val="00CA0F9A"/>
    <w:rsid w:val="00CA1520"/>
    <w:rsid w:val="00CA16DC"/>
    <w:rsid w:val="00CA19FD"/>
    <w:rsid w:val="00CA1E0B"/>
    <w:rsid w:val="00CA230F"/>
    <w:rsid w:val="00CA2E0B"/>
    <w:rsid w:val="00CA326D"/>
    <w:rsid w:val="00CA338F"/>
    <w:rsid w:val="00CA342D"/>
    <w:rsid w:val="00CA3507"/>
    <w:rsid w:val="00CA3718"/>
    <w:rsid w:val="00CA3A1A"/>
    <w:rsid w:val="00CA3AB8"/>
    <w:rsid w:val="00CA3D1A"/>
    <w:rsid w:val="00CA3E8A"/>
    <w:rsid w:val="00CA3EFC"/>
    <w:rsid w:val="00CA414A"/>
    <w:rsid w:val="00CA4B4E"/>
    <w:rsid w:val="00CA5D08"/>
    <w:rsid w:val="00CA60E9"/>
    <w:rsid w:val="00CA6762"/>
    <w:rsid w:val="00CA7206"/>
    <w:rsid w:val="00CA7476"/>
    <w:rsid w:val="00CA783D"/>
    <w:rsid w:val="00CA786B"/>
    <w:rsid w:val="00CB0582"/>
    <w:rsid w:val="00CB06B5"/>
    <w:rsid w:val="00CB0CA4"/>
    <w:rsid w:val="00CB0D4D"/>
    <w:rsid w:val="00CB1304"/>
    <w:rsid w:val="00CB14C4"/>
    <w:rsid w:val="00CB159F"/>
    <w:rsid w:val="00CB1721"/>
    <w:rsid w:val="00CB1818"/>
    <w:rsid w:val="00CB1A8A"/>
    <w:rsid w:val="00CB1E49"/>
    <w:rsid w:val="00CB2573"/>
    <w:rsid w:val="00CB2CA5"/>
    <w:rsid w:val="00CB3D04"/>
    <w:rsid w:val="00CB4910"/>
    <w:rsid w:val="00CB4E03"/>
    <w:rsid w:val="00CB505B"/>
    <w:rsid w:val="00CB5065"/>
    <w:rsid w:val="00CB6123"/>
    <w:rsid w:val="00CB625A"/>
    <w:rsid w:val="00CB6DB2"/>
    <w:rsid w:val="00CB71DC"/>
    <w:rsid w:val="00CB72E6"/>
    <w:rsid w:val="00CB7867"/>
    <w:rsid w:val="00CC07CE"/>
    <w:rsid w:val="00CC0CE9"/>
    <w:rsid w:val="00CC1DF5"/>
    <w:rsid w:val="00CC21F1"/>
    <w:rsid w:val="00CC253F"/>
    <w:rsid w:val="00CC2B15"/>
    <w:rsid w:val="00CC2CE5"/>
    <w:rsid w:val="00CC3020"/>
    <w:rsid w:val="00CC3B81"/>
    <w:rsid w:val="00CC465D"/>
    <w:rsid w:val="00CC52B2"/>
    <w:rsid w:val="00CC53FE"/>
    <w:rsid w:val="00CC5747"/>
    <w:rsid w:val="00CC57A4"/>
    <w:rsid w:val="00CC6395"/>
    <w:rsid w:val="00CC65A5"/>
    <w:rsid w:val="00CC6638"/>
    <w:rsid w:val="00CC6A6A"/>
    <w:rsid w:val="00CC6DC2"/>
    <w:rsid w:val="00CC7079"/>
    <w:rsid w:val="00CC756D"/>
    <w:rsid w:val="00CC7AF7"/>
    <w:rsid w:val="00CC7E07"/>
    <w:rsid w:val="00CD003B"/>
    <w:rsid w:val="00CD0319"/>
    <w:rsid w:val="00CD0C4C"/>
    <w:rsid w:val="00CD1353"/>
    <w:rsid w:val="00CD194A"/>
    <w:rsid w:val="00CD1C05"/>
    <w:rsid w:val="00CD1C10"/>
    <w:rsid w:val="00CD20FC"/>
    <w:rsid w:val="00CD240B"/>
    <w:rsid w:val="00CD2FBD"/>
    <w:rsid w:val="00CD3553"/>
    <w:rsid w:val="00CD3851"/>
    <w:rsid w:val="00CD3D86"/>
    <w:rsid w:val="00CD450E"/>
    <w:rsid w:val="00CD47A4"/>
    <w:rsid w:val="00CD4F01"/>
    <w:rsid w:val="00CD5312"/>
    <w:rsid w:val="00CD53C2"/>
    <w:rsid w:val="00CD62DA"/>
    <w:rsid w:val="00CD668B"/>
    <w:rsid w:val="00CD697A"/>
    <w:rsid w:val="00CD6991"/>
    <w:rsid w:val="00CD6A4A"/>
    <w:rsid w:val="00CD6E7B"/>
    <w:rsid w:val="00CD7451"/>
    <w:rsid w:val="00CD7543"/>
    <w:rsid w:val="00CD766F"/>
    <w:rsid w:val="00CD76E5"/>
    <w:rsid w:val="00CE06BE"/>
    <w:rsid w:val="00CE06DF"/>
    <w:rsid w:val="00CE0FDC"/>
    <w:rsid w:val="00CE129F"/>
    <w:rsid w:val="00CE14BE"/>
    <w:rsid w:val="00CE1DFE"/>
    <w:rsid w:val="00CE1F4B"/>
    <w:rsid w:val="00CE20FB"/>
    <w:rsid w:val="00CE2BB5"/>
    <w:rsid w:val="00CE2C62"/>
    <w:rsid w:val="00CE2CE3"/>
    <w:rsid w:val="00CE33B4"/>
    <w:rsid w:val="00CE3BE2"/>
    <w:rsid w:val="00CE4110"/>
    <w:rsid w:val="00CE4340"/>
    <w:rsid w:val="00CE47C5"/>
    <w:rsid w:val="00CE4832"/>
    <w:rsid w:val="00CE4837"/>
    <w:rsid w:val="00CE4BC4"/>
    <w:rsid w:val="00CE4C6C"/>
    <w:rsid w:val="00CE5160"/>
    <w:rsid w:val="00CE531F"/>
    <w:rsid w:val="00CE57C3"/>
    <w:rsid w:val="00CE5912"/>
    <w:rsid w:val="00CE63B3"/>
    <w:rsid w:val="00CE65AB"/>
    <w:rsid w:val="00CE67B8"/>
    <w:rsid w:val="00CE7273"/>
    <w:rsid w:val="00CE731E"/>
    <w:rsid w:val="00CE73C6"/>
    <w:rsid w:val="00CE7569"/>
    <w:rsid w:val="00CE75AF"/>
    <w:rsid w:val="00CF0395"/>
    <w:rsid w:val="00CF1027"/>
    <w:rsid w:val="00CF1187"/>
    <w:rsid w:val="00CF1191"/>
    <w:rsid w:val="00CF14C3"/>
    <w:rsid w:val="00CF190E"/>
    <w:rsid w:val="00CF1C6C"/>
    <w:rsid w:val="00CF1DA0"/>
    <w:rsid w:val="00CF2146"/>
    <w:rsid w:val="00CF2D3D"/>
    <w:rsid w:val="00CF3383"/>
    <w:rsid w:val="00CF34AC"/>
    <w:rsid w:val="00CF34B1"/>
    <w:rsid w:val="00CF378B"/>
    <w:rsid w:val="00CF39B8"/>
    <w:rsid w:val="00CF3DC4"/>
    <w:rsid w:val="00CF42B5"/>
    <w:rsid w:val="00CF4611"/>
    <w:rsid w:val="00CF46B4"/>
    <w:rsid w:val="00CF4BA6"/>
    <w:rsid w:val="00CF4BE3"/>
    <w:rsid w:val="00CF52A2"/>
    <w:rsid w:val="00CF58AD"/>
    <w:rsid w:val="00CF59B9"/>
    <w:rsid w:val="00CF5AC3"/>
    <w:rsid w:val="00CF5D41"/>
    <w:rsid w:val="00CF775B"/>
    <w:rsid w:val="00CF7C92"/>
    <w:rsid w:val="00D002B9"/>
    <w:rsid w:val="00D00566"/>
    <w:rsid w:val="00D00873"/>
    <w:rsid w:val="00D011A5"/>
    <w:rsid w:val="00D0135D"/>
    <w:rsid w:val="00D0154A"/>
    <w:rsid w:val="00D016AC"/>
    <w:rsid w:val="00D018CE"/>
    <w:rsid w:val="00D01CDE"/>
    <w:rsid w:val="00D02C70"/>
    <w:rsid w:val="00D02F1C"/>
    <w:rsid w:val="00D03665"/>
    <w:rsid w:val="00D03E7E"/>
    <w:rsid w:val="00D04C3B"/>
    <w:rsid w:val="00D04E2A"/>
    <w:rsid w:val="00D05DAF"/>
    <w:rsid w:val="00D06612"/>
    <w:rsid w:val="00D06894"/>
    <w:rsid w:val="00D071F9"/>
    <w:rsid w:val="00D100BD"/>
    <w:rsid w:val="00D10276"/>
    <w:rsid w:val="00D10833"/>
    <w:rsid w:val="00D10AEB"/>
    <w:rsid w:val="00D11F7D"/>
    <w:rsid w:val="00D12116"/>
    <w:rsid w:val="00D1213A"/>
    <w:rsid w:val="00D12222"/>
    <w:rsid w:val="00D12487"/>
    <w:rsid w:val="00D12ACC"/>
    <w:rsid w:val="00D12C60"/>
    <w:rsid w:val="00D130A6"/>
    <w:rsid w:val="00D133D7"/>
    <w:rsid w:val="00D1366D"/>
    <w:rsid w:val="00D138FA"/>
    <w:rsid w:val="00D13DDF"/>
    <w:rsid w:val="00D13DF2"/>
    <w:rsid w:val="00D16428"/>
    <w:rsid w:val="00D16A82"/>
    <w:rsid w:val="00D16EFF"/>
    <w:rsid w:val="00D17015"/>
    <w:rsid w:val="00D171C3"/>
    <w:rsid w:val="00D1751A"/>
    <w:rsid w:val="00D17AB7"/>
    <w:rsid w:val="00D17BC8"/>
    <w:rsid w:val="00D20488"/>
    <w:rsid w:val="00D206B6"/>
    <w:rsid w:val="00D20792"/>
    <w:rsid w:val="00D2084E"/>
    <w:rsid w:val="00D20A03"/>
    <w:rsid w:val="00D212DE"/>
    <w:rsid w:val="00D21347"/>
    <w:rsid w:val="00D2196B"/>
    <w:rsid w:val="00D2253C"/>
    <w:rsid w:val="00D22CC3"/>
    <w:rsid w:val="00D24188"/>
    <w:rsid w:val="00D2464C"/>
    <w:rsid w:val="00D24E0F"/>
    <w:rsid w:val="00D260AD"/>
    <w:rsid w:val="00D26244"/>
    <w:rsid w:val="00D267BA"/>
    <w:rsid w:val="00D26D90"/>
    <w:rsid w:val="00D2705A"/>
    <w:rsid w:val="00D2756D"/>
    <w:rsid w:val="00D278A0"/>
    <w:rsid w:val="00D27936"/>
    <w:rsid w:val="00D3041F"/>
    <w:rsid w:val="00D316CE"/>
    <w:rsid w:val="00D33338"/>
    <w:rsid w:val="00D334E6"/>
    <w:rsid w:val="00D3404B"/>
    <w:rsid w:val="00D34AF8"/>
    <w:rsid w:val="00D34CFD"/>
    <w:rsid w:val="00D34E1F"/>
    <w:rsid w:val="00D350B8"/>
    <w:rsid w:val="00D35410"/>
    <w:rsid w:val="00D35450"/>
    <w:rsid w:val="00D35753"/>
    <w:rsid w:val="00D35E3F"/>
    <w:rsid w:val="00D362F6"/>
    <w:rsid w:val="00D36369"/>
    <w:rsid w:val="00D369EA"/>
    <w:rsid w:val="00D37175"/>
    <w:rsid w:val="00D377EB"/>
    <w:rsid w:val="00D4049C"/>
    <w:rsid w:val="00D40682"/>
    <w:rsid w:val="00D40C61"/>
    <w:rsid w:val="00D40E69"/>
    <w:rsid w:val="00D41C18"/>
    <w:rsid w:val="00D4247A"/>
    <w:rsid w:val="00D430BB"/>
    <w:rsid w:val="00D433A4"/>
    <w:rsid w:val="00D43CFB"/>
    <w:rsid w:val="00D43FA1"/>
    <w:rsid w:val="00D4422D"/>
    <w:rsid w:val="00D44541"/>
    <w:rsid w:val="00D44818"/>
    <w:rsid w:val="00D44913"/>
    <w:rsid w:val="00D450E0"/>
    <w:rsid w:val="00D457BD"/>
    <w:rsid w:val="00D45A81"/>
    <w:rsid w:val="00D4612B"/>
    <w:rsid w:val="00D4636A"/>
    <w:rsid w:val="00D46891"/>
    <w:rsid w:val="00D46A13"/>
    <w:rsid w:val="00D46B58"/>
    <w:rsid w:val="00D47004"/>
    <w:rsid w:val="00D4762E"/>
    <w:rsid w:val="00D47857"/>
    <w:rsid w:val="00D47C06"/>
    <w:rsid w:val="00D47CD3"/>
    <w:rsid w:val="00D50047"/>
    <w:rsid w:val="00D50726"/>
    <w:rsid w:val="00D50832"/>
    <w:rsid w:val="00D50C79"/>
    <w:rsid w:val="00D510F3"/>
    <w:rsid w:val="00D51351"/>
    <w:rsid w:val="00D51404"/>
    <w:rsid w:val="00D514B4"/>
    <w:rsid w:val="00D51578"/>
    <w:rsid w:val="00D51DF1"/>
    <w:rsid w:val="00D51F26"/>
    <w:rsid w:val="00D51FB0"/>
    <w:rsid w:val="00D52147"/>
    <w:rsid w:val="00D52171"/>
    <w:rsid w:val="00D52526"/>
    <w:rsid w:val="00D525C2"/>
    <w:rsid w:val="00D526C0"/>
    <w:rsid w:val="00D52AA7"/>
    <w:rsid w:val="00D530B2"/>
    <w:rsid w:val="00D531B3"/>
    <w:rsid w:val="00D533F7"/>
    <w:rsid w:val="00D53CC2"/>
    <w:rsid w:val="00D53D2A"/>
    <w:rsid w:val="00D5429E"/>
    <w:rsid w:val="00D54C0A"/>
    <w:rsid w:val="00D54F12"/>
    <w:rsid w:val="00D5563E"/>
    <w:rsid w:val="00D55B41"/>
    <w:rsid w:val="00D563DA"/>
    <w:rsid w:val="00D56628"/>
    <w:rsid w:val="00D568FF"/>
    <w:rsid w:val="00D56CC5"/>
    <w:rsid w:val="00D56E92"/>
    <w:rsid w:val="00D57585"/>
    <w:rsid w:val="00D577CD"/>
    <w:rsid w:val="00D60725"/>
    <w:rsid w:val="00D60BE9"/>
    <w:rsid w:val="00D60C22"/>
    <w:rsid w:val="00D6124E"/>
    <w:rsid w:val="00D61EA3"/>
    <w:rsid w:val="00D6249D"/>
    <w:rsid w:val="00D62800"/>
    <w:rsid w:val="00D628AB"/>
    <w:rsid w:val="00D62AB4"/>
    <w:rsid w:val="00D62B1F"/>
    <w:rsid w:val="00D6311F"/>
    <w:rsid w:val="00D63AD9"/>
    <w:rsid w:val="00D63EC1"/>
    <w:rsid w:val="00D63F4A"/>
    <w:rsid w:val="00D64157"/>
    <w:rsid w:val="00D65014"/>
    <w:rsid w:val="00D65829"/>
    <w:rsid w:val="00D6592B"/>
    <w:rsid w:val="00D66531"/>
    <w:rsid w:val="00D66668"/>
    <w:rsid w:val="00D66D26"/>
    <w:rsid w:val="00D66F50"/>
    <w:rsid w:val="00D6733C"/>
    <w:rsid w:val="00D6789B"/>
    <w:rsid w:val="00D67F7E"/>
    <w:rsid w:val="00D70171"/>
    <w:rsid w:val="00D70A2B"/>
    <w:rsid w:val="00D71009"/>
    <w:rsid w:val="00D71353"/>
    <w:rsid w:val="00D71FC6"/>
    <w:rsid w:val="00D720D4"/>
    <w:rsid w:val="00D7242A"/>
    <w:rsid w:val="00D72916"/>
    <w:rsid w:val="00D72A7F"/>
    <w:rsid w:val="00D72E70"/>
    <w:rsid w:val="00D72F03"/>
    <w:rsid w:val="00D72FB9"/>
    <w:rsid w:val="00D7330E"/>
    <w:rsid w:val="00D73374"/>
    <w:rsid w:val="00D73420"/>
    <w:rsid w:val="00D73964"/>
    <w:rsid w:val="00D73B3B"/>
    <w:rsid w:val="00D7484C"/>
    <w:rsid w:val="00D74B3C"/>
    <w:rsid w:val="00D74C56"/>
    <w:rsid w:val="00D74E4F"/>
    <w:rsid w:val="00D75A09"/>
    <w:rsid w:val="00D75A45"/>
    <w:rsid w:val="00D76344"/>
    <w:rsid w:val="00D76612"/>
    <w:rsid w:val="00D76656"/>
    <w:rsid w:val="00D76B5C"/>
    <w:rsid w:val="00D76BC8"/>
    <w:rsid w:val="00D76D5F"/>
    <w:rsid w:val="00D776E2"/>
    <w:rsid w:val="00D77E57"/>
    <w:rsid w:val="00D77EBB"/>
    <w:rsid w:val="00D8028E"/>
    <w:rsid w:val="00D80B20"/>
    <w:rsid w:val="00D80DD9"/>
    <w:rsid w:val="00D80FA6"/>
    <w:rsid w:val="00D8148D"/>
    <w:rsid w:val="00D817A6"/>
    <w:rsid w:val="00D81AC2"/>
    <w:rsid w:val="00D82055"/>
    <w:rsid w:val="00D82074"/>
    <w:rsid w:val="00D82233"/>
    <w:rsid w:val="00D826AF"/>
    <w:rsid w:val="00D82847"/>
    <w:rsid w:val="00D82AF7"/>
    <w:rsid w:val="00D83B44"/>
    <w:rsid w:val="00D83BA0"/>
    <w:rsid w:val="00D83BCA"/>
    <w:rsid w:val="00D83C17"/>
    <w:rsid w:val="00D83F40"/>
    <w:rsid w:val="00D83FE5"/>
    <w:rsid w:val="00D84101"/>
    <w:rsid w:val="00D846B6"/>
    <w:rsid w:val="00D84A1D"/>
    <w:rsid w:val="00D84DC8"/>
    <w:rsid w:val="00D85308"/>
    <w:rsid w:val="00D85AC6"/>
    <w:rsid w:val="00D85F43"/>
    <w:rsid w:val="00D86318"/>
    <w:rsid w:val="00D865B0"/>
    <w:rsid w:val="00D86F1C"/>
    <w:rsid w:val="00D86FDD"/>
    <w:rsid w:val="00D8713C"/>
    <w:rsid w:val="00D87746"/>
    <w:rsid w:val="00D87DA6"/>
    <w:rsid w:val="00D90230"/>
    <w:rsid w:val="00D90784"/>
    <w:rsid w:val="00D9168D"/>
    <w:rsid w:val="00D916B1"/>
    <w:rsid w:val="00D91849"/>
    <w:rsid w:val="00D91874"/>
    <w:rsid w:val="00D91F3C"/>
    <w:rsid w:val="00D9260F"/>
    <w:rsid w:val="00D926EA"/>
    <w:rsid w:val="00D928AA"/>
    <w:rsid w:val="00D92F48"/>
    <w:rsid w:val="00D9329D"/>
    <w:rsid w:val="00D93AF8"/>
    <w:rsid w:val="00D93B87"/>
    <w:rsid w:val="00D941CE"/>
    <w:rsid w:val="00D9429D"/>
    <w:rsid w:val="00D94680"/>
    <w:rsid w:val="00D946A2"/>
    <w:rsid w:val="00D950F8"/>
    <w:rsid w:val="00D95334"/>
    <w:rsid w:val="00D9540D"/>
    <w:rsid w:val="00D95AF8"/>
    <w:rsid w:val="00D95FEB"/>
    <w:rsid w:val="00D965E2"/>
    <w:rsid w:val="00D9675E"/>
    <w:rsid w:val="00D96E8B"/>
    <w:rsid w:val="00D97801"/>
    <w:rsid w:val="00D97B09"/>
    <w:rsid w:val="00D97CA8"/>
    <w:rsid w:val="00D97DC9"/>
    <w:rsid w:val="00DA0356"/>
    <w:rsid w:val="00DA037D"/>
    <w:rsid w:val="00DA12A7"/>
    <w:rsid w:val="00DA18B9"/>
    <w:rsid w:val="00DA1CEA"/>
    <w:rsid w:val="00DA26BC"/>
    <w:rsid w:val="00DA285E"/>
    <w:rsid w:val="00DA294E"/>
    <w:rsid w:val="00DA29AD"/>
    <w:rsid w:val="00DA335F"/>
    <w:rsid w:val="00DA35AA"/>
    <w:rsid w:val="00DA3608"/>
    <w:rsid w:val="00DA362E"/>
    <w:rsid w:val="00DA3A7E"/>
    <w:rsid w:val="00DA3C09"/>
    <w:rsid w:val="00DA4659"/>
    <w:rsid w:val="00DA490C"/>
    <w:rsid w:val="00DA50D8"/>
    <w:rsid w:val="00DA54AD"/>
    <w:rsid w:val="00DA5C3B"/>
    <w:rsid w:val="00DA5F45"/>
    <w:rsid w:val="00DA5F5E"/>
    <w:rsid w:val="00DA657B"/>
    <w:rsid w:val="00DA69C7"/>
    <w:rsid w:val="00DA796D"/>
    <w:rsid w:val="00DB0084"/>
    <w:rsid w:val="00DB00E7"/>
    <w:rsid w:val="00DB0189"/>
    <w:rsid w:val="00DB03F3"/>
    <w:rsid w:val="00DB0ACB"/>
    <w:rsid w:val="00DB0C00"/>
    <w:rsid w:val="00DB0E8B"/>
    <w:rsid w:val="00DB1121"/>
    <w:rsid w:val="00DB20EE"/>
    <w:rsid w:val="00DB21E9"/>
    <w:rsid w:val="00DB251E"/>
    <w:rsid w:val="00DB2971"/>
    <w:rsid w:val="00DB2BB5"/>
    <w:rsid w:val="00DB2CCB"/>
    <w:rsid w:val="00DB328D"/>
    <w:rsid w:val="00DB333C"/>
    <w:rsid w:val="00DB3476"/>
    <w:rsid w:val="00DB3580"/>
    <w:rsid w:val="00DB36F5"/>
    <w:rsid w:val="00DB3DAD"/>
    <w:rsid w:val="00DB3FAD"/>
    <w:rsid w:val="00DB3FE1"/>
    <w:rsid w:val="00DB4151"/>
    <w:rsid w:val="00DB46B6"/>
    <w:rsid w:val="00DB4800"/>
    <w:rsid w:val="00DB4BD0"/>
    <w:rsid w:val="00DB4E07"/>
    <w:rsid w:val="00DB5579"/>
    <w:rsid w:val="00DB5583"/>
    <w:rsid w:val="00DB5B9F"/>
    <w:rsid w:val="00DB5C08"/>
    <w:rsid w:val="00DB5D8D"/>
    <w:rsid w:val="00DB6C03"/>
    <w:rsid w:val="00DB6CD1"/>
    <w:rsid w:val="00DB6E2F"/>
    <w:rsid w:val="00DB71A5"/>
    <w:rsid w:val="00DB7907"/>
    <w:rsid w:val="00DB7BE0"/>
    <w:rsid w:val="00DB7C53"/>
    <w:rsid w:val="00DB7DEC"/>
    <w:rsid w:val="00DC0358"/>
    <w:rsid w:val="00DC03ED"/>
    <w:rsid w:val="00DC0539"/>
    <w:rsid w:val="00DC0861"/>
    <w:rsid w:val="00DC0992"/>
    <w:rsid w:val="00DC0C59"/>
    <w:rsid w:val="00DC1038"/>
    <w:rsid w:val="00DC13CE"/>
    <w:rsid w:val="00DC150C"/>
    <w:rsid w:val="00DC156A"/>
    <w:rsid w:val="00DC1E5C"/>
    <w:rsid w:val="00DC22BD"/>
    <w:rsid w:val="00DC2A45"/>
    <w:rsid w:val="00DC2F1E"/>
    <w:rsid w:val="00DC301B"/>
    <w:rsid w:val="00DC3133"/>
    <w:rsid w:val="00DC32C3"/>
    <w:rsid w:val="00DC3609"/>
    <w:rsid w:val="00DC4900"/>
    <w:rsid w:val="00DC4BAB"/>
    <w:rsid w:val="00DC4E1D"/>
    <w:rsid w:val="00DC4E41"/>
    <w:rsid w:val="00DC6031"/>
    <w:rsid w:val="00DC660A"/>
    <w:rsid w:val="00DC6D32"/>
    <w:rsid w:val="00DC78FF"/>
    <w:rsid w:val="00DC7B97"/>
    <w:rsid w:val="00DC7CB2"/>
    <w:rsid w:val="00DC7EF6"/>
    <w:rsid w:val="00DC7FB5"/>
    <w:rsid w:val="00DD0149"/>
    <w:rsid w:val="00DD0C35"/>
    <w:rsid w:val="00DD0E68"/>
    <w:rsid w:val="00DD0E78"/>
    <w:rsid w:val="00DD1121"/>
    <w:rsid w:val="00DD12F8"/>
    <w:rsid w:val="00DD13EE"/>
    <w:rsid w:val="00DD15FA"/>
    <w:rsid w:val="00DD16D7"/>
    <w:rsid w:val="00DD1B4D"/>
    <w:rsid w:val="00DD2303"/>
    <w:rsid w:val="00DD2BCF"/>
    <w:rsid w:val="00DD33EA"/>
    <w:rsid w:val="00DD3B4E"/>
    <w:rsid w:val="00DD3F83"/>
    <w:rsid w:val="00DD42B0"/>
    <w:rsid w:val="00DD46A0"/>
    <w:rsid w:val="00DD4E95"/>
    <w:rsid w:val="00DD5224"/>
    <w:rsid w:val="00DD5414"/>
    <w:rsid w:val="00DD5BD0"/>
    <w:rsid w:val="00DD5D44"/>
    <w:rsid w:val="00DD5D5A"/>
    <w:rsid w:val="00DD5F4A"/>
    <w:rsid w:val="00DD5F89"/>
    <w:rsid w:val="00DD6A65"/>
    <w:rsid w:val="00DD6B4C"/>
    <w:rsid w:val="00DD7367"/>
    <w:rsid w:val="00DD743C"/>
    <w:rsid w:val="00DD78E7"/>
    <w:rsid w:val="00DD7C32"/>
    <w:rsid w:val="00DD7F2D"/>
    <w:rsid w:val="00DE0A5D"/>
    <w:rsid w:val="00DE1123"/>
    <w:rsid w:val="00DE120E"/>
    <w:rsid w:val="00DE19D1"/>
    <w:rsid w:val="00DE1B61"/>
    <w:rsid w:val="00DE1B64"/>
    <w:rsid w:val="00DE1C74"/>
    <w:rsid w:val="00DE2056"/>
    <w:rsid w:val="00DE24E2"/>
    <w:rsid w:val="00DE2CA2"/>
    <w:rsid w:val="00DE3155"/>
    <w:rsid w:val="00DE3852"/>
    <w:rsid w:val="00DE3977"/>
    <w:rsid w:val="00DE4505"/>
    <w:rsid w:val="00DE58A4"/>
    <w:rsid w:val="00DE5D32"/>
    <w:rsid w:val="00DE638B"/>
    <w:rsid w:val="00DE693F"/>
    <w:rsid w:val="00DE6C30"/>
    <w:rsid w:val="00DE70AE"/>
    <w:rsid w:val="00DE7477"/>
    <w:rsid w:val="00DE79D2"/>
    <w:rsid w:val="00DE7FE9"/>
    <w:rsid w:val="00DF0814"/>
    <w:rsid w:val="00DF085A"/>
    <w:rsid w:val="00DF08C7"/>
    <w:rsid w:val="00DF0A49"/>
    <w:rsid w:val="00DF0B99"/>
    <w:rsid w:val="00DF1119"/>
    <w:rsid w:val="00DF11CF"/>
    <w:rsid w:val="00DF11EA"/>
    <w:rsid w:val="00DF1372"/>
    <w:rsid w:val="00DF2DDB"/>
    <w:rsid w:val="00DF3024"/>
    <w:rsid w:val="00DF3652"/>
    <w:rsid w:val="00DF41BE"/>
    <w:rsid w:val="00DF45DC"/>
    <w:rsid w:val="00DF5092"/>
    <w:rsid w:val="00DF527C"/>
    <w:rsid w:val="00DF52D3"/>
    <w:rsid w:val="00DF53BD"/>
    <w:rsid w:val="00DF5DBE"/>
    <w:rsid w:val="00DF5FA6"/>
    <w:rsid w:val="00DF64AD"/>
    <w:rsid w:val="00DF64F2"/>
    <w:rsid w:val="00DF6619"/>
    <w:rsid w:val="00DF6B47"/>
    <w:rsid w:val="00DF6B68"/>
    <w:rsid w:val="00DF6FAC"/>
    <w:rsid w:val="00DF77B4"/>
    <w:rsid w:val="00DF7893"/>
    <w:rsid w:val="00DF7A2B"/>
    <w:rsid w:val="00DF7B3E"/>
    <w:rsid w:val="00E000E8"/>
    <w:rsid w:val="00E001D3"/>
    <w:rsid w:val="00E006BF"/>
    <w:rsid w:val="00E00889"/>
    <w:rsid w:val="00E00B51"/>
    <w:rsid w:val="00E00ED1"/>
    <w:rsid w:val="00E00F3C"/>
    <w:rsid w:val="00E01232"/>
    <w:rsid w:val="00E01A91"/>
    <w:rsid w:val="00E01BB7"/>
    <w:rsid w:val="00E01C77"/>
    <w:rsid w:val="00E027DF"/>
    <w:rsid w:val="00E02B50"/>
    <w:rsid w:val="00E02FB8"/>
    <w:rsid w:val="00E03137"/>
    <w:rsid w:val="00E0368C"/>
    <w:rsid w:val="00E037D8"/>
    <w:rsid w:val="00E03864"/>
    <w:rsid w:val="00E040A8"/>
    <w:rsid w:val="00E04A00"/>
    <w:rsid w:val="00E04BAC"/>
    <w:rsid w:val="00E04C42"/>
    <w:rsid w:val="00E04CDA"/>
    <w:rsid w:val="00E04DEE"/>
    <w:rsid w:val="00E050D5"/>
    <w:rsid w:val="00E05361"/>
    <w:rsid w:val="00E058F9"/>
    <w:rsid w:val="00E059BF"/>
    <w:rsid w:val="00E05B9C"/>
    <w:rsid w:val="00E05C72"/>
    <w:rsid w:val="00E05CE8"/>
    <w:rsid w:val="00E05F9A"/>
    <w:rsid w:val="00E0610D"/>
    <w:rsid w:val="00E06C48"/>
    <w:rsid w:val="00E07C23"/>
    <w:rsid w:val="00E07D62"/>
    <w:rsid w:val="00E10411"/>
    <w:rsid w:val="00E105EF"/>
    <w:rsid w:val="00E1061D"/>
    <w:rsid w:val="00E107DD"/>
    <w:rsid w:val="00E1086C"/>
    <w:rsid w:val="00E10E83"/>
    <w:rsid w:val="00E10F05"/>
    <w:rsid w:val="00E10FA4"/>
    <w:rsid w:val="00E116D2"/>
    <w:rsid w:val="00E11CE2"/>
    <w:rsid w:val="00E11E3B"/>
    <w:rsid w:val="00E12433"/>
    <w:rsid w:val="00E12831"/>
    <w:rsid w:val="00E12BD6"/>
    <w:rsid w:val="00E12C2B"/>
    <w:rsid w:val="00E13567"/>
    <w:rsid w:val="00E13C05"/>
    <w:rsid w:val="00E140AA"/>
    <w:rsid w:val="00E140CD"/>
    <w:rsid w:val="00E14237"/>
    <w:rsid w:val="00E142AB"/>
    <w:rsid w:val="00E1466D"/>
    <w:rsid w:val="00E14B47"/>
    <w:rsid w:val="00E14C86"/>
    <w:rsid w:val="00E14D49"/>
    <w:rsid w:val="00E14F45"/>
    <w:rsid w:val="00E1540A"/>
    <w:rsid w:val="00E15501"/>
    <w:rsid w:val="00E15AC6"/>
    <w:rsid w:val="00E15C37"/>
    <w:rsid w:val="00E15EB8"/>
    <w:rsid w:val="00E16015"/>
    <w:rsid w:val="00E1628A"/>
    <w:rsid w:val="00E16385"/>
    <w:rsid w:val="00E1683A"/>
    <w:rsid w:val="00E16D5E"/>
    <w:rsid w:val="00E16FC7"/>
    <w:rsid w:val="00E171DF"/>
    <w:rsid w:val="00E174F4"/>
    <w:rsid w:val="00E17D27"/>
    <w:rsid w:val="00E2020C"/>
    <w:rsid w:val="00E2027F"/>
    <w:rsid w:val="00E208D6"/>
    <w:rsid w:val="00E20DF0"/>
    <w:rsid w:val="00E21426"/>
    <w:rsid w:val="00E217D9"/>
    <w:rsid w:val="00E21A82"/>
    <w:rsid w:val="00E21AAD"/>
    <w:rsid w:val="00E21CC1"/>
    <w:rsid w:val="00E22169"/>
    <w:rsid w:val="00E22254"/>
    <w:rsid w:val="00E223D4"/>
    <w:rsid w:val="00E2251F"/>
    <w:rsid w:val="00E2289A"/>
    <w:rsid w:val="00E22E69"/>
    <w:rsid w:val="00E2336A"/>
    <w:rsid w:val="00E23563"/>
    <w:rsid w:val="00E23ABE"/>
    <w:rsid w:val="00E23C5F"/>
    <w:rsid w:val="00E23D5D"/>
    <w:rsid w:val="00E23DB7"/>
    <w:rsid w:val="00E23F40"/>
    <w:rsid w:val="00E23F5D"/>
    <w:rsid w:val="00E24109"/>
    <w:rsid w:val="00E2420D"/>
    <w:rsid w:val="00E24F11"/>
    <w:rsid w:val="00E250C5"/>
    <w:rsid w:val="00E25395"/>
    <w:rsid w:val="00E256E3"/>
    <w:rsid w:val="00E25C75"/>
    <w:rsid w:val="00E260A7"/>
    <w:rsid w:val="00E26A7C"/>
    <w:rsid w:val="00E26BBD"/>
    <w:rsid w:val="00E276A2"/>
    <w:rsid w:val="00E27E66"/>
    <w:rsid w:val="00E27F19"/>
    <w:rsid w:val="00E27F47"/>
    <w:rsid w:val="00E300D1"/>
    <w:rsid w:val="00E30223"/>
    <w:rsid w:val="00E30F27"/>
    <w:rsid w:val="00E3143D"/>
    <w:rsid w:val="00E31616"/>
    <w:rsid w:val="00E31698"/>
    <w:rsid w:val="00E318E1"/>
    <w:rsid w:val="00E3258D"/>
    <w:rsid w:val="00E32C3E"/>
    <w:rsid w:val="00E32DC6"/>
    <w:rsid w:val="00E33184"/>
    <w:rsid w:val="00E3393B"/>
    <w:rsid w:val="00E339D1"/>
    <w:rsid w:val="00E33EE8"/>
    <w:rsid w:val="00E344E8"/>
    <w:rsid w:val="00E346BE"/>
    <w:rsid w:val="00E34ABB"/>
    <w:rsid w:val="00E35144"/>
    <w:rsid w:val="00E352FA"/>
    <w:rsid w:val="00E35BDF"/>
    <w:rsid w:val="00E35CFB"/>
    <w:rsid w:val="00E368A7"/>
    <w:rsid w:val="00E36E3A"/>
    <w:rsid w:val="00E36F08"/>
    <w:rsid w:val="00E36FD1"/>
    <w:rsid w:val="00E4031F"/>
    <w:rsid w:val="00E40538"/>
    <w:rsid w:val="00E40ED0"/>
    <w:rsid w:val="00E40FA5"/>
    <w:rsid w:val="00E41447"/>
    <w:rsid w:val="00E42F74"/>
    <w:rsid w:val="00E432AE"/>
    <w:rsid w:val="00E43B5C"/>
    <w:rsid w:val="00E43D2C"/>
    <w:rsid w:val="00E43D3C"/>
    <w:rsid w:val="00E44139"/>
    <w:rsid w:val="00E44A45"/>
    <w:rsid w:val="00E45807"/>
    <w:rsid w:val="00E45F91"/>
    <w:rsid w:val="00E46232"/>
    <w:rsid w:val="00E46741"/>
    <w:rsid w:val="00E4696A"/>
    <w:rsid w:val="00E46BB9"/>
    <w:rsid w:val="00E4784E"/>
    <w:rsid w:val="00E47AB6"/>
    <w:rsid w:val="00E5075E"/>
    <w:rsid w:val="00E507AA"/>
    <w:rsid w:val="00E512C8"/>
    <w:rsid w:val="00E5134C"/>
    <w:rsid w:val="00E516A8"/>
    <w:rsid w:val="00E5179C"/>
    <w:rsid w:val="00E51B31"/>
    <w:rsid w:val="00E51EFB"/>
    <w:rsid w:val="00E51FE9"/>
    <w:rsid w:val="00E521D3"/>
    <w:rsid w:val="00E522ED"/>
    <w:rsid w:val="00E530EB"/>
    <w:rsid w:val="00E537C2"/>
    <w:rsid w:val="00E537CA"/>
    <w:rsid w:val="00E54237"/>
    <w:rsid w:val="00E545EA"/>
    <w:rsid w:val="00E54F28"/>
    <w:rsid w:val="00E5526A"/>
    <w:rsid w:val="00E55B09"/>
    <w:rsid w:val="00E55B5D"/>
    <w:rsid w:val="00E56596"/>
    <w:rsid w:val="00E572FC"/>
    <w:rsid w:val="00E57B45"/>
    <w:rsid w:val="00E57E0F"/>
    <w:rsid w:val="00E60F30"/>
    <w:rsid w:val="00E611D6"/>
    <w:rsid w:val="00E62007"/>
    <w:rsid w:val="00E62068"/>
    <w:rsid w:val="00E62199"/>
    <w:rsid w:val="00E62366"/>
    <w:rsid w:val="00E624D8"/>
    <w:rsid w:val="00E62578"/>
    <w:rsid w:val="00E62EC0"/>
    <w:rsid w:val="00E632ED"/>
    <w:rsid w:val="00E63680"/>
    <w:rsid w:val="00E63873"/>
    <w:rsid w:val="00E64153"/>
    <w:rsid w:val="00E64283"/>
    <w:rsid w:val="00E6466D"/>
    <w:rsid w:val="00E6488A"/>
    <w:rsid w:val="00E64F63"/>
    <w:rsid w:val="00E65019"/>
    <w:rsid w:val="00E654FD"/>
    <w:rsid w:val="00E65664"/>
    <w:rsid w:val="00E6574D"/>
    <w:rsid w:val="00E65E54"/>
    <w:rsid w:val="00E65F4D"/>
    <w:rsid w:val="00E6663C"/>
    <w:rsid w:val="00E66B67"/>
    <w:rsid w:val="00E670C9"/>
    <w:rsid w:val="00E67262"/>
    <w:rsid w:val="00E67DB5"/>
    <w:rsid w:val="00E70358"/>
    <w:rsid w:val="00E70813"/>
    <w:rsid w:val="00E70933"/>
    <w:rsid w:val="00E71319"/>
    <w:rsid w:val="00E714A0"/>
    <w:rsid w:val="00E715B4"/>
    <w:rsid w:val="00E718D5"/>
    <w:rsid w:val="00E71DDF"/>
    <w:rsid w:val="00E72579"/>
    <w:rsid w:val="00E72744"/>
    <w:rsid w:val="00E7293C"/>
    <w:rsid w:val="00E73428"/>
    <w:rsid w:val="00E738D5"/>
    <w:rsid w:val="00E73AE9"/>
    <w:rsid w:val="00E73E00"/>
    <w:rsid w:val="00E73F75"/>
    <w:rsid w:val="00E7402C"/>
    <w:rsid w:val="00E747E8"/>
    <w:rsid w:val="00E74BED"/>
    <w:rsid w:val="00E750B4"/>
    <w:rsid w:val="00E767A7"/>
    <w:rsid w:val="00E80160"/>
    <w:rsid w:val="00E801FF"/>
    <w:rsid w:val="00E8048F"/>
    <w:rsid w:val="00E808CB"/>
    <w:rsid w:val="00E808E7"/>
    <w:rsid w:val="00E80C4C"/>
    <w:rsid w:val="00E80DE3"/>
    <w:rsid w:val="00E8147C"/>
    <w:rsid w:val="00E823D9"/>
    <w:rsid w:val="00E825BB"/>
    <w:rsid w:val="00E82B50"/>
    <w:rsid w:val="00E82B54"/>
    <w:rsid w:val="00E82D6D"/>
    <w:rsid w:val="00E82FE0"/>
    <w:rsid w:val="00E8329B"/>
    <w:rsid w:val="00E83357"/>
    <w:rsid w:val="00E8356A"/>
    <w:rsid w:val="00E840F6"/>
    <w:rsid w:val="00E8429D"/>
    <w:rsid w:val="00E84B04"/>
    <w:rsid w:val="00E84CA7"/>
    <w:rsid w:val="00E856D5"/>
    <w:rsid w:val="00E859DA"/>
    <w:rsid w:val="00E85F26"/>
    <w:rsid w:val="00E86847"/>
    <w:rsid w:val="00E8686C"/>
    <w:rsid w:val="00E86A3D"/>
    <w:rsid w:val="00E87470"/>
    <w:rsid w:val="00E874A1"/>
    <w:rsid w:val="00E8757A"/>
    <w:rsid w:val="00E87866"/>
    <w:rsid w:val="00E87BCD"/>
    <w:rsid w:val="00E90B09"/>
    <w:rsid w:val="00E9132B"/>
    <w:rsid w:val="00E915DC"/>
    <w:rsid w:val="00E91A59"/>
    <w:rsid w:val="00E91B52"/>
    <w:rsid w:val="00E91C85"/>
    <w:rsid w:val="00E91DE9"/>
    <w:rsid w:val="00E9214E"/>
    <w:rsid w:val="00E925F6"/>
    <w:rsid w:val="00E9309D"/>
    <w:rsid w:val="00E9349D"/>
    <w:rsid w:val="00E93789"/>
    <w:rsid w:val="00E93D6F"/>
    <w:rsid w:val="00E93F63"/>
    <w:rsid w:val="00E94045"/>
    <w:rsid w:val="00E9485E"/>
    <w:rsid w:val="00E94987"/>
    <w:rsid w:val="00E94EA7"/>
    <w:rsid w:val="00E9524B"/>
    <w:rsid w:val="00E95506"/>
    <w:rsid w:val="00E9596C"/>
    <w:rsid w:val="00E968ED"/>
    <w:rsid w:val="00E96BCB"/>
    <w:rsid w:val="00E96D09"/>
    <w:rsid w:val="00E97297"/>
    <w:rsid w:val="00EA012C"/>
    <w:rsid w:val="00EA02DF"/>
    <w:rsid w:val="00EA0EE1"/>
    <w:rsid w:val="00EA0F51"/>
    <w:rsid w:val="00EA101C"/>
    <w:rsid w:val="00EA13BD"/>
    <w:rsid w:val="00EA2175"/>
    <w:rsid w:val="00EA22E6"/>
    <w:rsid w:val="00EA258F"/>
    <w:rsid w:val="00EA2EFB"/>
    <w:rsid w:val="00EA3219"/>
    <w:rsid w:val="00EA3DB4"/>
    <w:rsid w:val="00EA48AA"/>
    <w:rsid w:val="00EA4FDE"/>
    <w:rsid w:val="00EA5739"/>
    <w:rsid w:val="00EA5F3E"/>
    <w:rsid w:val="00EA60B1"/>
    <w:rsid w:val="00EA6449"/>
    <w:rsid w:val="00EA6A98"/>
    <w:rsid w:val="00EA6DFA"/>
    <w:rsid w:val="00EA751F"/>
    <w:rsid w:val="00EA77AA"/>
    <w:rsid w:val="00EA7853"/>
    <w:rsid w:val="00EA79DA"/>
    <w:rsid w:val="00EA7A94"/>
    <w:rsid w:val="00EA7EFB"/>
    <w:rsid w:val="00EA7FB0"/>
    <w:rsid w:val="00EB025D"/>
    <w:rsid w:val="00EB02C1"/>
    <w:rsid w:val="00EB07B7"/>
    <w:rsid w:val="00EB0B3C"/>
    <w:rsid w:val="00EB0CA4"/>
    <w:rsid w:val="00EB0FC8"/>
    <w:rsid w:val="00EB1620"/>
    <w:rsid w:val="00EB1D5C"/>
    <w:rsid w:val="00EB1D5F"/>
    <w:rsid w:val="00EB261B"/>
    <w:rsid w:val="00EB2D98"/>
    <w:rsid w:val="00EB347F"/>
    <w:rsid w:val="00EB3B2D"/>
    <w:rsid w:val="00EB3C39"/>
    <w:rsid w:val="00EB44FE"/>
    <w:rsid w:val="00EB488B"/>
    <w:rsid w:val="00EB4BA2"/>
    <w:rsid w:val="00EB5C39"/>
    <w:rsid w:val="00EB5D81"/>
    <w:rsid w:val="00EB5FA5"/>
    <w:rsid w:val="00EB631B"/>
    <w:rsid w:val="00EB6F8F"/>
    <w:rsid w:val="00EB6FE3"/>
    <w:rsid w:val="00EB7104"/>
    <w:rsid w:val="00EB756E"/>
    <w:rsid w:val="00EC13E3"/>
    <w:rsid w:val="00EC17C3"/>
    <w:rsid w:val="00EC2924"/>
    <w:rsid w:val="00EC2BE2"/>
    <w:rsid w:val="00EC2E52"/>
    <w:rsid w:val="00EC32FB"/>
    <w:rsid w:val="00EC3381"/>
    <w:rsid w:val="00EC3459"/>
    <w:rsid w:val="00EC4179"/>
    <w:rsid w:val="00EC43EC"/>
    <w:rsid w:val="00EC4482"/>
    <w:rsid w:val="00EC47FD"/>
    <w:rsid w:val="00EC4990"/>
    <w:rsid w:val="00EC4B30"/>
    <w:rsid w:val="00EC59F2"/>
    <w:rsid w:val="00EC59F9"/>
    <w:rsid w:val="00EC619B"/>
    <w:rsid w:val="00EC6437"/>
    <w:rsid w:val="00EC6860"/>
    <w:rsid w:val="00EC708D"/>
    <w:rsid w:val="00EC77E5"/>
    <w:rsid w:val="00EC7A5E"/>
    <w:rsid w:val="00EC7BD5"/>
    <w:rsid w:val="00EC7C3D"/>
    <w:rsid w:val="00EC7D45"/>
    <w:rsid w:val="00ED065A"/>
    <w:rsid w:val="00ED0B48"/>
    <w:rsid w:val="00ED176A"/>
    <w:rsid w:val="00ED1A95"/>
    <w:rsid w:val="00ED23D2"/>
    <w:rsid w:val="00ED2A07"/>
    <w:rsid w:val="00ED3099"/>
    <w:rsid w:val="00ED341B"/>
    <w:rsid w:val="00ED36CB"/>
    <w:rsid w:val="00ED4010"/>
    <w:rsid w:val="00ED4648"/>
    <w:rsid w:val="00ED4B19"/>
    <w:rsid w:val="00ED516D"/>
    <w:rsid w:val="00ED6543"/>
    <w:rsid w:val="00ED732A"/>
    <w:rsid w:val="00ED7715"/>
    <w:rsid w:val="00ED779D"/>
    <w:rsid w:val="00ED77E9"/>
    <w:rsid w:val="00ED79A5"/>
    <w:rsid w:val="00EE0103"/>
    <w:rsid w:val="00EE029D"/>
    <w:rsid w:val="00EE051F"/>
    <w:rsid w:val="00EE09D5"/>
    <w:rsid w:val="00EE0BD7"/>
    <w:rsid w:val="00EE0E7D"/>
    <w:rsid w:val="00EE15F4"/>
    <w:rsid w:val="00EE175C"/>
    <w:rsid w:val="00EE1ED8"/>
    <w:rsid w:val="00EE20A7"/>
    <w:rsid w:val="00EE24F8"/>
    <w:rsid w:val="00EE25D5"/>
    <w:rsid w:val="00EE2AF4"/>
    <w:rsid w:val="00EE2FBE"/>
    <w:rsid w:val="00EE32A2"/>
    <w:rsid w:val="00EE33E3"/>
    <w:rsid w:val="00EE3563"/>
    <w:rsid w:val="00EE3AE1"/>
    <w:rsid w:val="00EE3C50"/>
    <w:rsid w:val="00EE3C61"/>
    <w:rsid w:val="00EE428D"/>
    <w:rsid w:val="00EE45ED"/>
    <w:rsid w:val="00EE5088"/>
    <w:rsid w:val="00EE5583"/>
    <w:rsid w:val="00EE58BC"/>
    <w:rsid w:val="00EE599D"/>
    <w:rsid w:val="00EE64F7"/>
    <w:rsid w:val="00EE65A4"/>
    <w:rsid w:val="00EE6C4A"/>
    <w:rsid w:val="00EE6D03"/>
    <w:rsid w:val="00EE6D17"/>
    <w:rsid w:val="00EE6D91"/>
    <w:rsid w:val="00EE6EC3"/>
    <w:rsid w:val="00EE7093"/>
    <w:rsid w:val="00EE758A"/>
    <w:rsid w:val="00EE795B"/>
    <w:rsid w:val="00EF0629"/>
    <w:rsid w:val="00EF0A56"/>
    <w:rsid w:val="00EF0D76"/>
    <w:rsid w:val="00EF0E1F"/>
    <w:rsid w:val="00EF1465"/>
    <w:rsid w:val="00EF14EB"/>
    <w:rsid w:val="00EF4202"/>
    <w:rsid w:val="00EF5099"/>
    <w:rsid w:val="00EF5288"/>
    <w:rsid w:val="00EF5395"/>
    <w:rsid w:val="00EF5723"/>
    <w:rsid w:val="00EF5F9B"/>
    <w:rsid w:val="00EF628C"/>
    <w:rsid w:val="00EF651C"/>
    <w:rsid w:val="00EF65D9"/>
    <w:rsid w:val="00EF6668"/>
    <w:rsid w:val="00EF678E"/>
    <w:rsid w:val="00EF6A0F"/>
    <w:rsid w:val="00EF6C18"/>
    <w:rsid w:val="00EF6CC6"/>
    <w:rsid w:val="00EF71C3"/>
    <w:rsid w:val="00EF71F8"/>
    <w:rsid w:val="00EF72E6"/>
    <w:rsid w:val="00EF7385"/>
    <w:rsid w:val="00EF754A"/>
    <w:rsid w:val="00EF78E3"/>
    <w:rsid w:val="00EF7956"/>
    <w:rsid w:val="00EF79EC"/>
    <w:rsid w:val="00EF7E87"/>
    <w:rsid w:val="00EF7EF2"/>
    <w:rsid w:val="00F001AB"/>
    <w:rsid w:val="00F00269"/>
    <w:rsid w:val="00F0027E"/>
    <w:rsid w:val="00F004CD"/>
    <w:rsid w:val="00F00AC5"/>
    <w:rsid w:val="00F0193D"/>
    <w:rsid w:val="00F01C7D"/>
    <w:rsid w:val="00F01DE5"/>
    <w:rsid w:val="00F02268"/>
    <w:rsid w:val="00F024B5"/>
    <w:rsid w:val="00F035C1"/>
    <w:rsid w:val="00F03E59"/>
    <w:rsid w:val="00F03EF1"/>
    <w:rsid w:val="00F041F3"/>
    <w:rsid w:val="00F04566"/>
    <w:rsid w:val="00F0464E"/>
    <w:rsid w:val="00F04DC1"/>
    <w:rsid w:val="00F04E65"/>
    <w:rsid w:val="00F04F24"/>
    <w:rsid w:val="00F050DF"/>
    <w:rsid w:val="00F05291"/>
    <w:rsid w:val="00F0542D"/>
    <w:rsid w:val="00F06504"/>
    <w:rsid w:val="00F065FB"/>
    <w:rsid w:val="00F06693"/>
    <w:rsid w:val="00F06772"/>
    <w:rsid w:val="00F06AB7"/>
    <w:rsid w:val="00F07B73"/>
    <w:rsid w:val="00F10F30"/>
    <w:rsid w:val="00F11151"/>
    <w:rsid w:val="00F11392"/>
    <w:rsid w:val="00F113FC"/>
    <w:rsid w:val="00F11489"/>
    <w:rsid w:val="00F122F2"/>
    <w:rsid w:val="00F12878"/>
    <w:rsid w:val="00F1453C"/>
    <w:rsid w:val="00F14A58"/>
    <w:rsid w:val="00F15293"/>
    <w:rsid w:val="00F15A86"/>
    <w:rsid w:val="00F15D36"/>
    <w:rsid w:val="00F167E6"/>
    <w:rsid w:val="00F16B73"/>
    <w:rsid w:val="00F1736D"/>
    <w:rsid w:val="00F173FE"/>
    <w:rsid w:val="00F17BC3"/>
    <w:rsid w:val="00F17DAA"/>
    <w:rsid w:val="00F17E62"/>
    <w:rsid w:val="00F2066A"/>
    <w:rsid w:val="00F20723"/>
    <w:rsid w:val="00F20728"/>
    <w:rsid w:val="00F2084F"/>
    <w:rsid w:val="00F21202"/>
    <w:rsid w:val="00F21723"/>
    <w:rsid w:val="00F218C7"/>
    <w:rsid w:val="00F21956"/>
    <w:rsid w:val="00F21D1D"/>
    <w:rsid w:val="00F23DA1"/>
    <w:rsid w:val="00F24A97"/>
    <w:rsid w:val="00F24AB1"/>
    <w:rsid w:val="00F25327"/>
    <w:rsid w:val="00F254E6"/>
    <w:rsid w:val="00F26349"/>
    <w:rsid w:val="00F26521"/>
    <w:rsid w:val="00F2674D"/>
    <w:rsid w:val="00F269B7"/>
    <w:rsid w:val="00F2762D"/>
    <w:rsid w:val="00F30022"/>
    <w:rsid w:val="00F30291"/>
    <w:rsid w:val="00F30731"/>
    <w:rsid w:val="00F309FE"/>
    <w:rsid w:val="00F314C5"/>
    <w:rsid w:val="00F31FEA"/>
    <w:rsid w:val="00F3270F"/>
    <w:rsid w:val="00F32C5A"/>
    <w:rsid w:val="00F3313D"/>
    <w:rsid w:val="00F33462"/>
    <w:rsid w:val="00F33E3A"/>
    <w:rsid w:val="00F346C0"/>
    <w:rsid w:val="00F34ADA"/>
    <w:rsid w:val="00F34B8C"/>
    <w:rsid w:val="00F34F9F"/>
    <w:rsid w:val="00F35EB1"/>
    <w:rsid w:val="00F3640D"/>
    <w:rsid w:val="00F36845"/>
    <w:rsid w:val="00F37038"/>
    <w:rsid w:val="00F372FA"/>
    <w:rsid w:val="00F4021A"/>
    <w:rsid w:val="00F40564"/>
    <w:rsid w:val="00F4077B"/>
    <w:rsid w:val="00F40C1C"/>
    <w:rsid w:val="00F41144"/>
    <w:rsid w:val="00F41457"/>
    <w:rsid w:val="00F41601"/>
    <w:rsid w:val="00F4197E"/>
    <w:rsid w:val="00F41DD2"/>
    <w:rsid w:val="00F4282E"/>
    <w:rsid w:val="00F42BB2"/>
    <w:rsid w:val="00F436D1"/>
    <w:rsid w:val="00F446B7"/>
    <w:rsid w:val="00F447D4"/>
    <w:rsid w:val="00F4541D"/>
    <w:rsid w:val="00F45AD1"/>
    <w:rsid w:val="00F45F4B"/>
    <w:rsid w:val="00F46148"/>
    <w:rsid w:val="00F46972"/>
    <w:rsid w:val="00F46B7F"/>
    <w:rsid w:val="00F471D0"/>
    <w:rsid w:val="00F4738B"/>
    <w:rsid w:val="00F473A7"/>
    <w:rsid w:val="00F47423"/>
    <w:rsid w:val="00F47732"/>
    <w:rsid w:val="00F478AA"/>
    <w:rsid w:val="00F47D7B"/>
    <w:rsid w:val="00F47D94"/>
    <w:rsid w:val="00F47F1A"/>
    <w:rsid w:val="00F5073E"/>
    <w:rsid w:val="00F507BB"/>
    <w:rsid w:val="00F50F21"/>
    <w:rsid w:val="00F526D0"/>
    <w:rsid w:val="00F53856"/>
    <w:rsid w:val="00F53898"/>
    <w:rsid w:val="00F54B8E"/>
    <w:rsid w:val="00F54E0F"/>
    <w:rsid w:val="00F559FF"/>
    <w:rsid w:val="00F55F74"/>
    <w:rsid w:val="00F55FF1"/>
    <w:rsid w:val="00F56156"/>
    <w:rsid w:val="00F56639"/>
    <w:rsid w:val="00F56C26"/>
    <w:rsid w:val="00F5760A"/>
    <w:rsid w:val="00F57703"/>
    <w:rsid w:val="00F57885"/>
    <w:rsid w:val="00F57CC7"/>
    <w:rsid w:val="00F57F38"/>
    <w:rsid w:val="00F601BC"/>
    <w:rsid w:val="00F603BD"/>
    <w:rsid w:val="00F606EB"/>
    <w:rsid w:val="00F60CA8"/>
    <w:rsid w:val="00F60DF5"/>
    <w:rsid w:val="00F60E05"/>
    <w:rsid w:val="00F61390"/>
    <w:rsid w:val="00F61981"/>
    <w:rsid w:val="00F622AD"/>
    <w:rsid w:val="00F63811"/>
    <w:rsid w:val="00F63B18"/>
    <w:rsid w:val="00F63BB1"/>
    <w:rsid w:val="00F6407C"/>
    <w:rsid w:val="00F645E4"/>
    <w:rsid w:val="00F6502E"/>
    <w:rsid w:val="00F6530E"/>
    <w:rsid w:val="00F65882"/>
    <w:rsid w:val="00F65999"/>
    <w:rsid w:val="00F66084"/>
    <w:rsid w:val="00F662E2"/>
    <w:rsid w:val="00F666B7"/>
    <w:rsid w:val="00F669E5"/>
    <w:rsid w:val="00F66D5B"/>
    <w:rsid w:val="00F66FBF"/>
    <w:rsid w:val="00F67543"/>
    <w:rsid w:val="00F67970"/>
    <w:rsid w:val="00F67B5C"/>
    <w:rsid w:val="00F67F84"/>
    <w:rsid w:val="00F7028D"/>
    <w:rsid w:val="00F709DB"/>
    <w:rsid w:val="00F71394"/>
    <w:rsid w:val="00F7165A"/>
    <w:rsid w:val="00F71C8A"/>
    <w:rsid w:val="00F72D1E"/>
    <w:rsid w:val="00F72D6D"/>
    <w:rsid w:val="00F738EC"/>
    <w:rsid w:val="00F739EE"/>
    <w:rsid w:val="00F73A5B"/>
    <w:rsid w:val="00F73F46"/>
    <w:rsid w:val="00F7417A"/>
    <w:rsid w:val="00F742E8"/>
    <w:rsid w:val="00F743F6"/>
    <w:rsid w:val="00F74612"/>
    <w:rsid w:val="00F746B6"/>
    <w:rsid w:val="00F74F18"/>
    <w:rsid w:val="00F753A4"/>
    <w:rsid w:val="00F7597D"/>
    <w:rsid w:val="00F75E4C"/>
    <w:rsid w:val="00F7690A"/>
    <w:rsid w:val="00F76C66"/>
    <w:rsid w:val="00F76F77"/>
    <w:rsid w:val="00F77073"/>
    <w:rsid w:val="00F772FC"/>
    <w:rsid w:val="00F77609"/>
    <w:rsid w:val="00F77985"/>
    <w:rsid w:val="00F77CED"/>
    <w:rsid w:val="00F80058"/>
    <w:rsid w:val="00F80242"/>
    <w:rsid w:val="00F8035C"/>
    <w:rsid w:val="00F8047F"/>
    <w:rsid w:val="00F80C32"/>
    <w:rsid w:val="00F81169"/>
    <w:rsid w:val="00F811B1"/>
    <w:rsid w:val="00F811CD"/>
    <w:rsid w:val="00F81694"/>
    <w:rsid w:val="00F81714"/>
    <w:rsid w:val="00F81C79"/>
    <w:rsid w:val="00F81E4C"/>
    <w:rsid w:val="00F81FB3"/>
    <w:rsid w:val="00F8221B"/>
    <w:rsid w:val="00F8271D"/>
    <w:rsid w:val="00F82E96"/>
    <w:rsid w:val="00F83029"/>
    <w:rsid w:val="00F83531"/>
    <w:rsid w:val="00F83621"/>
    <w:rsid w:val="00F836E7"/>
    <w:rsid w:val="00F837F4"/>
    <w:rsid w:val="00F83E0D"/>
    <w:rsid w:val="00F845E6"/>
    <w:rsid w:val="00F85103"/>
    <w:rsid w:val="00F8539B"/>
    <w:rsid w:val="00F85A94"/>
    <w:rsid w:val="00F85D61"/>
    <w:rsid w:val="00F866A3"/>
    <w:rsid w:val="00F86EAC"/>
    <w:rsid w:val="00F86FEF"/>
    <w:rsid w:val="00F87113"/>
    <w:rsid w:val="00F87749"/>
    <w:rsid w:val="00F878DC"/>
    <w:rsid w:val="00F87D67"/>
    <w:rsid w:val="00F87F39"/>
    <w:rsid w:val="00F90013"/>
    <w:rsid w:val="00F901B8"/>
    <w:rsid w:val="00F905FD"/>
    <w:rsid w:val="00F9120F"/>
    <w:rsid w:val="00F91368"/>
    <w:rsid w:val="00F913A8"/>
    <w:rsid w:val="00F916B2"/>
    <w:rsid w:val="00F916C9"/>
    <w:rsid w:val="00F91929"/>
    <w:rsid w:val="00F91A89"/>
    <w:rsid w:val="00F91C8F"/>
    <w:rsid w:val="00F9230D"/>
    <w:rsid w:val="00F92394"/>
    <w:rsid w:val="00F92BD0"/>
    <w:rsid w:val="00F94116"/>
    <w:rsid w:val="00F946C9"/>
    <w:rsid w:val="00F94998"/>
    <w:rsid w:val="00F94EDA"/>
    <w:rsid w:val="00F9569A"/>
    <w:rsid w:val="00F960B7"/>
    <w:rsid w:val="00F962FD"/>
    <w:rsid w:val="00F97B67"/>
    <w:rsid w:val="00FA02D8"/>
    <w:rsid w:val="00FA0495"/>
    <w:rsid w:val="00FA1018"/>
    <w:rsid w:val="00FA1230"/>
    <w:rsid w:val="00FA12BC"/>
    <w:rsid w:val="00FA17A1"/>
    <w:rsid w:val="00FA18CD"/>
    <w:rsid w:val="00FA1915"/>
    <w:rsid w:val="00FA1986"/>
    <w:rsid w:val="00FA1C7F"/>
    <w:rsid w:val="00FA227E"/>
    <w:rsid w:val="00FA2657"/>
    <w:rsid w:val="00FA2ADC"/>
    <w:rsid w:val="00FA2C9C"/>
    <w:rsid w:val="00FA3440"/>
    <w:rsid w:val="00FA392C"/>
    <w:rsid w:val="00FA397C"/>
    <w:rsid w:val="00FA3A2E"/>
    <w:rsid w:val="00FA3C73"/>
    <w:rsid w:val="00FA3DA1"/>
    <w:rsid w:val="00FA3E3F"/>
    <w:rsid w:val="00FA400F"/>
    <w:rsid w:val="00FA4831"/>
    <w:rsid w:val="00FA4B2B"/>
    <w:rsid w:val="00FA4C78"/>
    <w:rsid w:val="00FA51C9"/>
    <w:rsid w:val="00FA5946"/>
    <w:rsid w:val="00FA5F8D"/>
    <w:rsid w:val="00FA6303"/>
    <w:rsid w:val="00FA63BB"/>
    <w:rsid w:val="00FA6D4C"/>
    <w:rsid w:val="00FA73DD"/>
    <w:rsid w:val="00FA77D6"/>
    <w:rsid w:val="00FA7E6A"/>
    <w:rsid w:val="00FB003C"/>
    <w:rsid w:val="00FB03CC"/>
    <w:rsid w:val="00FB04FF"/>
    <w:rsid w:val="00FB050E"/>
    <w:rsid w:val="00FB05BD"/>
    <w:rsid w:val="00FB0F9B"/>
    <w:rsid w:val="00FB1082"/>
    <w:rsid w:val="00FB113D"/>
    <w:rsid w:val="00FB1184"/>
    <w:rsid w:val="00FB1612"/>
    <w:rsid w:val="00FB1DB0"/>
    <w:rsid w:val="00FB2CE7"/>
    <w:rsid w:val="00FB33DE"/>
    <w:rsid w:val="00FB33FA"/>
    <w:rsid w:val="00FB3536"/>
    <w:rsid w:val="00FB3D30"/>
    <w:rsid w:val="00FB44DC"/>
    <w:rsid w:val="00FB4720"/>
    <w:rsid w:val="00FB5059"/>
    <w:rsid w:val="00FB533B"/>
    <w:rsid w:val="00FB57A8"/>
    <w:rsid w:val="00FB5BAA"/>
    <w:rsid w:val="00FB5CC7"/>
    <w:rsid w:val="00FB5F86"/>
    <w:rsid w:val="00FB635A"/>
    <w:rsid w:val="00FB6804"/>
    <w:rsid w:val="00FB6B40"/>
    <w:rsid w:val="00FB795E"/>
    <w:rsid w:val="00FB7CB2"/>
    <w:rsid w:val="00FB7D4E"/>
    <w:rsid w:val="00FB7EBE"/>
    <w:rsid w:val="00FC01E6"/>
    <w:rsid w:val="00FC024E"/>
    <w:rsid w:val="00FC07A5"/>
    <w:rsid w:val="00FC09CF"/>
    <w:rsid w:val="00FC0A52"/>
    <w:rsid w:val="00FC1346"/>
    <w:rsid w:val="00FC1544"/>
    <w:rsid w:val="00FC19C9"/>
    <w:rsid w:val="00FC23EA"/>
    <w:rsid w:val="00FC24BA"/>
    <w:rsid w:val="00FC3A94"/>
    <w:rsid w:val="00FC3D59"/>
    <w:rsid w:val="00FC3ED0"/>
    <w:rsid w:val="00FC3FAC"/>
    <w:rsid w:val="00FC4633"/>
    <w:rsid w:val="00FC477C"/>
    <w:rsid w:val="00FC4EBB"/>
    <w:rsid w:val="00FC5135"/>
    <w:rsid w:val="00FC668A"/>
    <w:rsid w:val="00FC668E"/>
    <w:rsid w:val="00FC6987"/>
    <w:rsid w:val="00FC6AA2"/>
    <w:rsid w:val="00FC7B37"/>
    <w:rsid w:val="00FD0146"/>
    <w:rsid w:val="00FD0A37"/>
    <w:rsid w:val="00FD1290"/>
    <w:rsid w:val="00FD1589"/>
    <w:rsid w:val="00FD1FEA"/>
    <w:rsid w:val="00FD2062"/>
    <w:rsid w:val="00FD206F"/>
    <w:rsid w:val="00FD34C7"/>
    <w:rsid w:val="00FD353E"/>
    <w:rsid w:val="00FD35BE"/>
    <w:rsid w:val="00FD4086"/>
    <w:rsid w:val="00FD4110"/>
    <w:rsid w:val="00FD4884"/>
    <w:rsid w:val="00FD5600"/>
    <w:rsid w:val="00FD561F"/>
    <w:rsid w:val="00FD5681"/>
    <w:rsid w:val="00FD5B1C"/>
    <w:rsid w:val="00FD5C65"/>
    <w:rsid w:val="00FD6507"/>
    <w:rsid w:val="00FD6B64"/>
    <w:rsid w:val="00FD6B9F"/>
    <w:rsid w:val="00FD6D8F"/>
    <w:rsid w:val="00FD71F5"/>
    <w:rsid w:val="00FD7828"/>
    <w:rsid w:val="00FD782F"/>
    <w:rsid w:val="00FD7D6B"/>
    <w:rsid w:val="00FE21DC"/>
    <w:rsid w:val="00FE2478"/>
    <w:rsid w:val="00FE2BA1"/>
    <w:rsid w:val="00FE2D19"/>
    <w:rsid w:val="00FE3D85"/>
    <w:rsid w:val="00FE3D8C"/>
    <w:rsid w:val="00FE65D8"/>
    <w:rsid w:val="00FE6798"/>
    <w:rsid w:val="00FE6AC7"/>
    <w:rsid w:val="00FE7060"/>
    <w:rsid w:val="00FE737B"/>
    <w:rsid w:val="00FE7694"/>
    <w:rsid w:val="00FE7CBF"/>
    <w:rsid w:val="00FE7D51"/>
    <w:rsid w:val="00FE7D75"/>
    <w:rsid w:val="00FE7D99"/>
    <w:rsid w:val="00FF02EA"/>
    <w:rsid w:val="00FF059A"/>
    <w:rsid w:val="00FF0C29"/>
    <w:rsid w:val="00FF0CD7"/>
    <w:rsid w:val="00FF0CF7"/>
    <w:rsid w:val="00FF2624"/>
    <w:rsid w:val="00FF2712"/>
    <w:rsid w:val="00FF28D2"/>
    <w:rsid w:val="00FF310E"/>
    <w:rsid w:val="00FF3580"/>
    <w:rsid w:val="00FF37A5"/>
    <w:rsid w:val="00FF39AF"/>
    <w:rsid w:val="00FF3E5F"/>
    <w:rsid w:val="00FF40E4"/>
    <w:rsid w:val="00FF4632"/>
    <w:rsid w:val="00FF4750"/>
    <w:rsid w:val="00FF4785"/>
    <w:rsid w:val="00FF47BC"/>
    <w:rsid w:val="00FF5098"/>
    <w:rsid w:val="00FF50CC"/>
    <w:rsid w:val="00FF5964"/>
    <w:rsid w:val="00FF6024"/>
    <w:rsid w:val="00FF6A10"/>
    <w:rsid w:val="00FF6A7E"/>
    <w:rsid w:val="00FF6C51"/>
    <w:rsid w:val="00FF7470"/>
    <w:rsid w:val="00FF7847"/>
    <w:rsid w:val="01F47A33"/>
    <w:rsid w:val="023B31B5"/>
    <w:rsid w:val="035B0FDD"/>
    <w:rsid w:val="041A00D1"/>
    <w:rsid w:val="05AA5F48"/>
    <w:rsid w:val="05C4627E"/>
    <w:rsid w:val="066719A6"/>
    <w:rsid w:val="072E0AA7"/>
    <w:rsid w:val="0818423E"/>
    <w:rsid w:val="08A059D4"/>
    <w:rsid w:val="0AF809B3"/>
    <w:rsid w:val="0D531267"/>
    <w:rsid w:val="0D984ECC"/>
    <w:rsid w:val="0DF037F0"/>
    <w:rsid w:val="0ED927D2"/>
    <w:rsid w:val="0EE4486D"/>
    <w:rsid w:val="0F1C3703"/>
    <w:rsid w:val="11553C6D"/>
    <w:rsid w:val="12FE37FC"/>
    <w:rsid w:val="13683243"/>
    <w:rsid w:val="137B5074"/>
    <w:rsid w:val="139879D4"/>
    <w:rsid w:val="13A041ED"/>
    <w:rsid w:val="14144D54"/>
    <w:rsid w:val="14181BE5"/>
    <w:rsid w:val="14186D67"/>
    <w:rsid w:val="141943BE"/>
    <w:rsid w:val="143562F4"/>
    <w:rsid w:val="14CE0A6A"/>
    <w:rsid w:val="1646691B"/>
    <w:rsid w:val="18C45E6C"/>
    <w:rsid w:val="1A9329AF"/>
    <w:rsid w:val="1A9D2FE0"/>
    <w:rsid w:val="1B7F1479"/>
    <w:rsid w:val="1CC51829"/>
    <w:rsid w:val="1CD35F20"/>
    <w:rsid w:val="1E3F2F0B"/>
    <w:rsid w:val="1FBB33C8"/>
    <w:rsid w:val="249D232F"/>
    <w:rsid w:val="25082377"/>
    <w:rsid w:val="25217484"/>
    <w:rsid w:val="259F138B"/>
    <w:rsid w:val="25F63CE3"/>
    <w:rsid w:val="269C2654"/>
    <w:rsid w:val="279A13BE"/>
    <w:rsid w:val="28D15FBB"/>
    <w:rsid w:val="295E4093"/>
    <w:rsid w:val="2AB54EB7"/>
    <w:rsid w:val="2B0E33F4"/>
    <w:rsid w:val="2C40312B"/>
    <w:rsid w:val="2CDE24A4"/>
    <w:rsid w:val="2D0068BE"/>
    <w:rsid w:val="2DEA36F7"/>
    <w:rsid w:val="2E8C546A"/>
    <w:rsid w:val="2EF51D26"/>
    <w:rsid w:val="2F5E549D"/>
    <w:rsid w:val="345614B9"/>
    <w:rsid w:val="374942BF"/>
    <w:rsid w:val="387A7AE6"/>
    <w:rsid w:val="38907A75"/>
    <w:rsid w:val="3A02442A"/>
    <w:rsid w:val="3AB8419F"/>
    <w:rsid w:val="3B3E0B0A"/>
    <w:rsid w:val="3BF75330"/>
    <w:rsid w:val="3C095063"/>
    <w:rsid w:val="3C4E2FE4"/>
    <w:rsid w:val="3C6841B3"/>
    <w:rsid w:val="3CC91F5A"/>
    <w:rsid w:val="3D72678F"/>
    <w:rsid w:val="3DDA0FAC"/>
    <w:rsid w:val="3E165D4B"/>
    <w:rsid w:val="3F7A7ADC"/>
    <w:rsid w:val="3F941936"/>
    <w:rsid w:val="409A26D5"/>
    <w:rsid w:val="40A94EC6"/>
    <w:rsid w:val="415C0E47"/>
    <w:rsid w:val="42EE02B7"/>
    <w:rsid w:val="43805C0B"/>
    <w:rsid w:val="43AA3D08"/>
    <w:rsid w:val="44BE49CC"/>
    <w:rsid w:val="44D66A11"/>
    <w:rsid w:val="470F0B20"/>
    <w:rsid w:val="48052DBE"/>
    <w:rsid w:val="4C64478F"/>
    <w:rsid w:val="4CB56ED4"/>
    <w:rsid w:val="4D9E1A99"/>
    <w:rsid w:val="4EC26469"/>
    <w:rsid w:val="51226D1C"/>
    <w:rsid w:val="51CD358C"/>
    <w:rsid w:val="52BC5B6B"/>
    <w:rsid w:val="532F6F4B"/>
    <w:rsid w:val="54577FD0"/>
    <w:rsid w:val="546E4EB3"/>
    <w:rsid w:val="5561592C"/>
    <w:rsid w:val="56EE4F2B"/>
    <w:rsid w:val="57336AB9"/>
    <w:rsid w:val="57F67374"/>
    <w:rsid w:val="581966C7"/>
    <w:rsid w:val="59512F60"/>
    <w:rsid w:val="5A4710C9"/>
    <w:rsid w:val="5F6718CC"/>
    <w:rsid w:val="60FA4DF7"/>
    <w:rsid w:val="61722BDF"/>
    <w:rsid w:val="61F12921"/>
    <w:rsid w:val="624E5B31"/>
    <w:rsid w:val="62CC6829"/>
    <w:rsid w:val="6302552C"/>
    <w:rsid w:val="632601F3"/>
    <w:rsid w:val="63F0428F"/>
    <w:rsid w:val="64017097"/>
    <w:rsid w:val="651A3CD6"/>
    <w:rsid w:val="6619616F"/>
    <w:rsid w:val="692405E5"/>
    <w:rsid w:val="6A6266DA"/>
    <w:rsid w:val="6B8063F8"/>
    <w:rsid w:val="6C307308"/>
    <w:rsid w:val="6C8652D8"/>
    <w:rsid w:val="6CCD4A91"/>
    <w:rsid w:val="6E4429BE"/>
    <w:rsid w:val="6E45415B"/>
    <w:rsid w:val="6F5311FC"/>
    <w:rsid w:val="6F5F2604"/>
    <w:rsid w:val="6FDB5A36"/>
    <w:rsid w:val="70273785"/>
    <w:rsid w:val="7459021C"/>
    <w:rsid w:val="74AA7D2B"/>
    <w:rsid w:val="74B858DD"/>
    <w:rsid w:val="756E480E"/>
    <w:rsid w:val="75D60362"/>
    <w:rsid w:val="774C5DD1"/>
    <w:rsid w:val="7843597C"/>
    <w:rsid w:val="7B641393"/>
    <w:rsid w:val="7C2470E4"/>
    <w:rsid w:val="7CCB4B2D"/>
    <w:rsid w:val="7DCC3140"/>
    <w:rsid w:val="7DFD0B98"/>
    <w:rsid w:val="7F7F2C3F"/>
    <w:rsid w:val="7FB93F8F"/>
    <w:rsid w:val="7FC701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qFormat="1" w:unhideWhenUsed="0" w:uiPriority="0" w:semiHidden="0"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nhideWhenUsed="0" w:uiPriority="0" w:name="Table Professional"/>
    <w:lsdException w:uiPriority="99" w:name="Table Subtle 1"/>
    <w:lsdException w:uiPriority="99" w:name="Table Subtle 2"/>
    <w:lsdException w:uiPriority="99" w:name="Table Web 1"/>
    <w:lsdException w:uiPriority="99" w:name="Table Web 2"/>
    <w:lsdException w:qFormat="1" w:unhideWhenUsed="0" w:uiPriority="0" w:semiHidden="0" w:name="Table Web 3"/>
    <w:lsdException w:qFormat="1" w:uiPriority="0" w:semiHidden="0" w:name="Balloon Text"/>
    <w:lsdException w:qFormat="1" w:unhideWhenUsed="0" w:uiPriority="0" w:semiHidden="0" w:name="Table Grid"/>
    <w:lsdException w:qFormat="1" w:unhideWhenUsed="0" w:uiPriority="0" w:semiHidden="0"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1"/>
    <w:qFormat/>
    <w:uiPriority w:val="0"/>
    <w:pPr>
      <w:keepNext/>
      <w:keepLines/>
      <w:tabs>
        <w:tab w:val="left" w:pos="432"/>
      </w:tabs>
      <w:spacing w:before="340" w:after="330" w:line="578" w:lineRule="auto"/>
      <w:ind w:left="432" w:hanging="432"/>
      <w:outlineLvl w:val="0"/>
    </w:pPr>
    <w:rPr>
      <w:rFonts w:ascii="Times New Roman" w:hAnsi="Times New Roman" w:eastAsia="宋体" w:cs="Times New Roman"/>
      <w:b/>
      <w:bCs/>
      <w:kern w:val="44"/>
      <w:sz w:val="44"/>
      <w:szCs w:val="44"/>
    </w:rPr>
  </w:style>
  <w:style w:type="paragraph" w:styleId="4">
    <w:name w:val="heading 2"/>
    <w:basedOn w:val="1"/>
    <w:next w:val="1"/>
    <w:link w:val="112"/>
    <w:qFormat/>
    <w:uiPriority w:val="0"/>
    <w:pPr>
      <w:keepNext/>
      <w:keepLines/>
      <w:tabs>
        <w:tab w:val="left" w:pos="576"/>
      </w:tabs>
      <w:spacing w:before="260" w:after="260" w:line="416" w:lineRule="auto"/>
      <w:ind w:left="576" w:hanging="576"/>
      <w:outlineLvl w:val="1"/>
    </w:pPr>
    <w:rPr>
      <w:rFonts w:ascii="Arial" w:hAnsi="Arial" w:eastAsia="黑体" w:cs="Times New Roman"/>
      <w:b/>
      <w:bCs/>
      <w:sz w:val="32"/>
      <w:szCs w:val="32"/>
    </w:rPr>
  </w:style>
  <w:style w:type="paragraph" w:styleId="5">
    <w:name w:val="heading 3"/>
    <w:basedOn w:val="1"/>
    <w:next w:val="1"/>
    <w:link w:val="113"/>
    <w:qFormat/>
    <w:uiPriority w:val="0"/>
    <w:pPr>
      <w:keepNext/>
      <w:keepLines/>
      <w:tabs>
        <w:tab w:val="left" w:pos="720"/>
      </w:tabs>
      <w:spacing w:before="260" w:after="260" w:line="416" w:lineRule="auto"/>
      <w:ind w:left="720" w:hanging="720"/>
      <w:outlineLvl w:val="2"/>
    </w:pPr>
    <w:rPr>
      <w:rFonts w:ascii="Times New Roman" w:hAnsi="Times New Roman" w:eastAsia="宋体" w:cs="Times New Roman"/>
      <w:b/>
      <w:bCs/>
      <w:sz w:val="32"/>
      <w:szCs w:val="32"/>
    </w:rPr>
  </w:style>
  <w:style w:type="paragraph" w:styleId="6">
    <w:name w:val="heading 4"/>
    <w:basedOn w:val="1"/>
    <w:next w:val="2"/>
    <w:link w:val="114"/>
    <w:qFormat/>
    <w:uiPriority w:val="0"/>
    <w:pPr>
      <w:keepNext/>
      <w:keepLines/>
      <w:tabs>
        <w:tab w:val="left" w:pos="864"/>
      </w:tabs>
      <w:spacing w:before="120"/>
      <w:ind w:left="864" w:hanging="864"/>
      <w:outlineLvl w:val="3"/>
    </w:pPr>
    <w:rPr>
      <w:rFonts w:ascii="Times New Roman" w:hAnsi="Times New Roman" w:eastAsia="宋体" w:cs="Times New Roman"/>
      <w:b/>
      <w:sz w:val="24"/>
      <w:szCs w:val="20"/>
    </w:rPr>
  </w:style>
  <w:style w:type="paragraph" w:styleId="7">
    <w:name w:val="heading 5"/>
    <w:basedOn w:val="1"/>
    <w:next w:val="1"/>
    <w:link w:val="115"/>
    <w:qFormat/>
    <w:uiPriority w:val="0"/>
    <w:pPr>
      <w:keepLines/>
      <w:tabs>
        <w:tab w:val="left" w:pos="1008"/>
      </w:tabs>
      <w:adjustRightInd w:val="0"/>
      <w:spacing w:before="280" w:after="290" w:line="376" w:lineRule="auto"/>
      <w:ind w:left="1008" w:hanging="1008"/>
      <w:jc w:val="center"/>
      <w:textAlignment w:val="baseline"/>
      <w:outlineLvl w:val="4"/>
    </w:pPr>
    <w:rPr>
      <w:rFonts w:ascii="宋体" w:hAnsi="Arial" w:eastAsia="宋体" w:cs="Times New Roman"/>
      <w:b/>
      <w:kern w:val="0"/>
      <w:sz w:val="24"/>
      <w:szCs w:val="20"/>
      <w:lang w:val="zh-CN" w:eastAsia="zh-CN"/>
    </w:rPr>
  </w:style>
  <w:style w:type="paragraph" w:styleId="8">
    <w:name w:val="heading 6"/>
    <w:basedOn w:val="1"/>
    <w:next w:val="1"/>
    <w:link w:val="116"/>
    <w:qFormat/>
    <w:uiPriority w:val="0"/>
    <w:pPr>
      <w:keepLines/>
      <w:tabs>
        <w:tab w:val="left" w:pos="1152"/>
      </w:tabs>
      <w:adjustRightInd w:val="0"/>
      <w:spacing w:before="240" w:after="64" w:line="320" w:lineRule="auto"/>
      <w:ind w:left="1152" w:hanging="1152"/>
      <w:jc w:val="center"/>
      <w:textAlignment w:val="baseline"/>
      <w:outlineLvl w:val="5"/>
    </w:pPr>
    <w:rPr>
      <w:rFonts w:ascii="Arial" w:hAnsi="Arial" w:eastAsia="黑体" w:cs="Times New Roman"/>
      <w:b/>
      <w:kern w:val="0"/>
      <w:sz w:val="24"/>
      <w:szCs w:val="20"/>
      <w:lang w:val="zh-CN" w:eastAsia="zh-CN"/>
    </w:rPr>
  </w:style>
  <w:style w:type="paragraph" w:styleId="9">
    <w:name w:val="heading 7"/>
    <w:basedOn w:val="1"/>
    <w:next w:val="1"/>
    <w:link w:val="117"/>
    <w:qFormat/>
    <w:uiPriority w:val="0"/>
    <w:pPr>
      <w:keepLines/>
      <w:tabs>
        <w:tab w:val="left" w:pos="1296"/>
      </w:tabs>
      <w:adjustRightInd w:val="0"/>
      <w:spacing w:before="240" w:after="64" w:line="320" w:lineRule="auto"/>
      <w:ind w:left="1296" w:hanging="1296"/>
      <w:jc w:val="center"/>
      <w:textAlignment w:val="baseline"/>
      <w:outlineLvl w:val="6"/>
    </w:pPr>
    <w:rPr>
      <w:rFonts w:ascii="宋体" w:hAnsi="Arial" w:eastAsia="宋体" w:cs="Times New Roman"/>
      <w:b/>
      <w:kern w:val="0"/>
      <w:sz w:val="24"/>
      <w:szCs w:val="20"/>
      <w:lang w:val="zh-CN" w:eastAsia="zh-CN"/>
    </w:rPr>
  </w:style>
  <w:style w:type="paragraph" w:styleId="10">
    <w:name w:val="heading 8"/>
    <w:basedOn w:val="1"/>
    <w:next w:val="1"/>
    <w:link w:val="118"/>
    <w:qFormat/>
    <w:uiPriority w:val="0"/>
    <w:pPr>
      <w:keepLines/>
      <w:tabs>
        <w:tab w:val="left" w:pos="1440"/>
      </w:tabs>
      <w:adjustRightInd w:val="0"/>
      <w:spacing w:before="240" w:after="64" w:line="320" w:lineRule="auto"/>
      <w:ind w:left="1440" w:hanging="1440"/>
      <w:jc w:val="center"/>
      <w:textAlignment w:val="baseline"/>
      <w:outlineLvl w:val="7"/>
    </w:pPr>
    <w:rPr>
      <w:rFonts w:ascii="Arial" w:hAnsi="Arial" w:eastAsia="黑体" w:cs="Times New Roman"/>
      <w:kern w:val="0"/>
      <w:sz w:val="24"/>
      <w:szCs w:val="20"/>
      <w:lang w:val="zh-CN" w:eastAsia="zh-CN"/>
    </w:rPr>
  </w:style>
  <w:style w:type="paragraph" w:styleId="11">
    <w:name w:val="heading 9"/>
    <w:basedOn w:val="1"/>
    <w:next w:val="1"/>
    <w:link w:val="119"/>
    <w:qFormat/>
    <w:uiPriority w:val="0"/>
    <w:pPr>
      <w:keepLines/>
      <w:tabs>
        <w:tab w:val="left" w:pos="1584"/>
      </w:tabs>
      <w:adjustRightInd w:val="0"/>
      <w:spacing w:before="240" w:after="64" w:line="320" w:lineRule="auto"/>
      <w:ind w:left="1584" w:hanging="1584"/>
      <w:jc w:val="center"/>
      <w:textAlignment w:val="baseline"/>
      <w:outlineLvl w:val="8"/>
    </w:pPr>
    <w:rPr>
      <w:rFonts w:ascii="Arial" w:hAnsi="Arial" w:eastAsia="黑体" w:cs="Times New Roman"/>
      <w:kern w:val="0"/>
      <w:szCs w:val="20"/>
      <w:lang w:val="zh-CN" w:eastAsia="zh-CN"/>
    </w:rPr>
  </w:style>
  <w:style w:type="character" w:default="1" w:styleId="58">
    <w:name w:val="Default Paragraph Font"/>
    <w:semiHidden/>
    <w:unhideWhenUsed/>
    <w:qFormat/>
    <w:uiPriority w:val="1"/>
  </w:style>
  <w:style w:type="table" w:default="1" w:styleId="5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75"/>
    <w:unhideWhenUsed/>
    <w:qFormat/>
    <w:uiPriority w:val="0"/>
    <w:pPr>
      <w:ind w:firstLine="420" w:firstLineChars="200"/>
    </w:pPr>
  </w:style>
  <w:style w:type="paragraph" w:styleId="12">
    <w:name w:val="List 3"/>
    <w:basedOn w:val="1"/>
    <w:link w:val="89"/>
    <w:qFormat/>
    <w:uiPriority w:val="0"/>
    <w:pPr>
      <w:ind w:left="100" w:leftChars="400" w:hanging="200" w:hangingChars="200"/>
      <w:contextualSpacing/>
    </w:pPr>
    <w:rPr>
      <w:rFonts w:ascii="Arial" w:hAnsi="Arial"/>
      <w:sz w:val="24"/>
      <w:szCs w:val="24"/>
      <w:lang w:val="zh-CN"/>
    </w:rPr>
  </w:style>
  <w:style w:type="paragraph" w:styleId="13">
    <w:name w:val="toc 7"/>
    <w:basedOn w:val="1"/>
    <w:next w:val="1"/>
    <w:qFormat/>
    <w:uiPriority w:val="39"/>
    <w:pPr>
      <w:ind w:left="1260"/>
      <w:jc w:val="left"/>
    </w:pPr>
    <w:rPr>
      <w:rFonts w:ascii="Times New Roman" w:hAnsi="Times New Roman" w:eastAsia="宋体" w:cs="Times New Roman"/>
      <w:sz w:val="18"/>
      <w:szCs w:val="18"/>
    </w:rPr>
  </w:style>
  <w:style w:type="paragraph" w:styleId="14">
    <w:name w:val="List Number"/>
    <w:basedOn w:val="15"/>
    <w:qFormat/>
    <w:uiPriority w:val="0"/>
    <w:pPr>
      <w:widowControl/>
      <w:adjustRightInd/>
      <w:spacing w:line="360" w:lineRule="auto"/>
      <w:ind w:left="360" w:right="720" w:firstLine="0"/>
      <w:textAlignment w:val="auto"/>
    </w:pPr>
    <w:rPr>
      <w:rFonts w:ascii="Garamond" w:hAnsi="Garamond" w:eastAsia="楷体_GB2312"/>
      <w:kern w:val="0"/>
      <w:sz w:val="32"/>
      <w:szCs w:val="20"/>
    </w:rPr>
  </w:style>
  <w:style w:type="paragraph" w:styleId="15">
    <w:name w:val="List"/>
    <w:basedOn w:val="1"/>
    <w:qFormat/>
    <w:uiPriority w:val="0"/>
    <w:pPr>
      <w:adjustRightInd w:val="0"/>
      <w:spacing w:line="312" w:lineRule="atLeast"/>
      <w:ind w:left="420" w:hanging="420"/>
      <w:textAlignment w:val="baseline"/>
    </w:pPr>
    <w:rPr>
      <w:rFonts w:ascii="Times New Roman" w:hAnsi="Times New Roman" w:eastAsia="宋体" w:cs="Times New Roman"/>
      <w:sz w:val="27"/>
      <w:szCs w:val="24"/>
    </w:rPr>
  </w:style>
  <w:style w:type="paragraph" w:styleId="16">
    <w:name w:val="caption"/>
    <w:basedOn w:val="1"/>
    <w:next w:val="1"/>
    <w:link w:val="191"/>
    <w:qFormat/>
    <w:uiPriority w:val="0"/>
    <w:rPr>
      <w:rFonts w:ascii="Arial" w:hAnsi="Arial" w:eastAsia="黑体" w:cs="Arial"/>
    </w:rPr>
  </w:style>
  <w:style w:type="paragraph" w:styleId="17">
    <w:name w:val="Document Map"/>
    <w:basedOn w:val="1"/>
    <w:link w:val="78"/>
    <w:unhideWhenUsed/>
    <w:qFormat/>
    <w:uiPriority w:val="0"/>
    <w:rPr>
      <w:rFonts w:ascii="宋体" w:eastAsia="宋体"/>
      <w:sz w:val="18"/>
      <w:szCs w:val="18"/>
    </w:rPr>
  </w:style>
  <w:style w:type="paragraph" w:styleId="18">
    <w:name w:val="annotation text"/>
    <w:basedOn w:val="1"/>
    <w:link w:val="79"/>
    <w:unhideWhenUsed/>
    <w:qFormat/>
    <w:uiPriority w:val="99"/>
    <w:pPr>
      <w:jc w:val="left"/>
    </w:pPr>
  </w:style>
  <w:style w:type="paragraph" w:styleId="19">
    <w:name w:val="Body Text 3"/>
    <w:basedOn w:val="1"/>
    <w:link w:val="308"/>
    <w:qFormat/>
    <w:uiPriority w:val="0"/>
    <w:pPr>
      <w:spacing w:after="120"/>
    </w:pPr>
    <w:rPr>
      <w:sz w:val="16"/>
      <w:szCs w:val="16"/>
    </w:rPr>
  </w:style>
  <w:style w:type="paragraph" w:styleId="20">
    <w:name w:val="Body Text"/>
    <w:basedOn w:val="1"/>
    <w:link w:val="102"/>
    <w:qFormat/>
    <w:uiPriority w:val="0"/>
    <w:pPr>
      <w:spacing w:after="120"/>
    </w:pPr>
    <w:rPr>
      <w:rFonts w:ascii="Times New Roman" w:hAnsi="Times New Roman" w:eastAsia="宋体" w:cs="Times New Roman"/>
      <w:szCs w:val="20"/>
    </w:rPr>
  </w:style>
  <w:style w:type="paragraph" w:styleId="21">
    <w:name w:val="Body Text Indent"/>
    <w:basedOn w:val="1"/>
    <w:link w:val="241"/>
    <w:qFormat/>
    <w:uiPriority w:val="0"/>
    <w:pPr>
      <w:spacing w:after="120"/>
      <w:ind w:left="420" w:leftChars="200"/>
    </w:pPr>
    <w:rPr>
      <w:rFonts w:ascii="宋体"/>
      <w:sz w:val="24"/>
    </w:rPr>
  </w:style>
  <w:style w:type="paragraph" w:styleId="22">
    <w:name w:val="List 2"/>
    <w:basedOn w:val="1"/>
    <w:qFormat/>
    <w:uiPriority w:val="0"/>
    <w:pPr>
      <w:spacing w:line="500" w:lineRule="atLeast"/>
      <w:ind w:firstLine="480" w:firstLineChars="200"/>
      <w:outlineLvl w:val="2"/>
    </w:pPr>
    <w:rPr>
      <w:rFonts w:ascii="Times New Roman" w:hAnsi="Times New Roman" w:eastAsia="宋体" w:cs="Times New Roman"/>
      <w:sz w:val="24"/>
      <w:szCs w:val="24"/>
    </w:rPr>
  </w:style>
  <w:style w:type="paragraph" w:styleId="23">
    <w:name w:val="Block Text"/>
    <w:basedOn w:val="1"/>
    <w:qFormat/>
    <w:uiPriority w:val="0"/>
    <w:pPr>
      <w:widowControl/>
      <w:spacing w:line="240" w:lineRule="exact"/>
      <w:ind w:left="113" w:right="113"/>
      <w:jc w:val="center"/>
      <w:textAlignment w:val="top"/>
    </w:pPr>
    <w:rPr>
      <w:rFonts w:ascii="宋体" w:hAnsi="宋体" w:eastAsia="宋体" w:cs="Times New Roman"/>
      <w:b/>
      <w:spacing w:val="20"/>
      <w:sz w:val="18"/>
      <w:szCs w:val="18"/>
    </w:rPr>
  </w:style>
  <w:style w:type="paragraph" w:styleId="24">
    <w:name w:val="toc 5"/>
    <w:basedOn w:val="1"/>
    <w:next w:val="1"/>
    <w:qFormat/>
    <w:uiPriority w:val="39"/>
    <w:pPr>
      <w:ind w:left="840"/>
      <w:jc w:val="left"/>
    </w:pPr>
    <w:rPr>
      <w:rFonts w:ascii="Times New Roman" w:hAnsi="Times New Roman" w:eastAsia="宋体" w:cs="Times New Roman"/>
      <w:sz w:val="18"/>
      <w:szCs w:val="18"/>
    </w:rPr>
  </w:style>
  <w:style w:type="paragraph" w:styleId="25">
    <w:name w:val="toc 3"/>
    <w:basedOn w:val="1"/>
    <w:next w:val="1"/>
    <w:qFormat/>
    <w:uiPriority w:val="39"/>
    <w:pPr>
      <w:spacing w:line="440" w:lineRule="exact"/>
      <w:ind w:left="200" w:leftChars="200"/>
      <w:jc w:val="left"/>
    </w:pPr>
    <w:rPr>
      <w:rFonts w:ascii="Times New Roman" w:hAnsi="Times New Roman" w:eastAsia="宋体" w:cs="Times New Roman"/>
      <w:iCs/>
      <w:sz w:val="24"/>
      <w:szCs w:val="20"/>
    </w:rPr>
  </w:style>
  <w:style w:type="paragraph" w:styleId="26">
    <w:name w:val="Plain Text"/>
    <w:basedOn w:val="1"/>
    <w:link w:val="239"/>
    <w:qFormat/>
    <w:uiPriority w:val="0"/>
    <w:rPr>
      <w:rFonts w:ascii="宋体" w:hAnsi="Courier New" w:eastAsia="宋体"/>
    </w:rPr>
  </w:style>
  <w:style w:type="paragraph" w:styleId="27">
    <w:name w:val="List Bullet 5"/>
    <w:basedOn w:val="1"/>
    <w:qFormat/>
    <w:uiPriority w:val="0"/>
    <w:pPr>
      <w:tabs>
        <w:tab w:val="left" w:pos="360"/>
      </w:tabs>
    </w:pPr>
    <w:rPr>
      <w:rFonts w:hint="eastAsia" w:ascii="宋体" w:hAnsi="宋体" w:eastAsia="宋体" w:cs="Times New Roman"/>
      <w:sz w:val="24"/>
      <w:szCs w:val="24"/>
    </w:rPr>
  </w:style>
  <w:style w:type="paragraph" w:styleId="28">
    <w:name w:val="List Number 4"/>
    <w:basedOn w:val="1"/>
    <w:qFormat/>
    <w:uiPriority w:val="0"/>
    <w:pPr>
      <w:numPr>
        <w:ilvl w:val="0"/>
        <w:numId w:val="1"/>
      </w:numPr>
      <w:adjustRightInd w:val="0"/>
      <w:snapToGrid w:val="0"/>
      <w:spacing w:line="360" w:lineRule="auto"/>
    </w:pPr>
    <w:rPr>
      <w:rFonts w:ascii="Times New Roman" w:hAnsi="Times New Roman" w:eastAsia="宋体" w:cs="Times New Roman"/>
      <w:sz w:val="24"/>
      <w:szCs w:val="24"/>
    </w:rPr>
  </w:style>
  <w:style w:type="paragraph" w:styleId="29">
    <w:name w:val="toc 8"/>
    <w:basedOn w:val="1"/>
    <w:next w:val="1"/>
    <w:qFormat/>
    <w:uiPriority w:val="39"/>
    <w:pPr>
      <w:ind w:left="1470"/>
      <w:jc w:val="left"/>
    </w:pPr>
    <w:rPr>
      <w:rFonts w:ascii="Times New Roman" w:hAnsi="Times New Roman" w:eastAsia="宋体" w:cs="Times New Roman"/>
      <w:sz w:val="18"/>
      <w:szCs w:val="18"/>
    </w:rPr>
  </w:style>
  <w:style w:type="paragraph" w:styleId="30">
    <w:name w:val="Date"/>
    <w:basedOn w:val="1"/>
    <w:next w:val="1"/>
    <w:link w:val="84"/>
    <w:unhideWhenUsed/>
    <w:qFormat/>
    <w:uiPriority w:val="0"/>
    <w:pPr>
      <w:ind w:left="100" w:leftChars="2500"/>
    </w:pPr>
  </w:style>
  <w:style w:type="paragraph" w:styleId="31">
    <w:name w:val="Body Text Indent 2"/>
    <w:basedOn w:val="1"/>
    <w:link w:val="123"/>
    <w:qFormat/>
    <w:uiPriority w:val="0"/>
    <w:pPr>
      <w:spacing w:after="120" w:line="480" w:lineRule="auto"/>
      <w:ind w:left="420" w:leftChars="200"/>
    </w:pPr>
    <w:rPr>
      <w:szCs w:val="24"/>
    </w:rPr>
  </w:style>
  <w:style w:type="paragraph" w:styleId="32">
    <w:name w:val="endnote text"/>
    <w:basedOn w:val="1"/>
    <w:link w:val="909"/>
    <w:qFormat/>
    <w:uiPriority w:val="0"/>
    <w:pPr>
      <w:snapToGrid w:val="0"/>
      <w:jc w:val="left"/>
    </w:pPr>
    <w:rPr>
      <w:rFonts w:ascii="Times New Roman" w:hAnsi="Times New Roman" w:eastAsia="宋体" w:cs="Times New Roman"/>
      <w:szCs w:val="20"/>
    </w:rPr>
  </w:style>
  <w:style w:type="paragraph" w:styleId="33">
    <w:name w:val="Balloon Text"/>
    <w:basedOn w:val="1"/>
    <w:link w:val="77"/>
    <w:unhideWhenUsed/>
    <w:qFormat/>
    <w:uiPriority w:val="0"/>
    <w:rPr>
      <w:sz w:val="18"/>
      <w:szCs w:val="18"/>
    </w:rPr>
  </w:style>
  <w:style w:type="paragraph" w:styleId="34">
    <w:name w:val="footer"/>
    <w:basedOn w:val="1"/>
    <w:link w:val="74"/>
    <w:unhideWhenUsed/>
    <w:qFormat/>
    <w:uiPriority w:val="0"/>
    <w:pPr>
      <w:tabs>
        <w:tab w:val="center" w:pos="4153"/>
        <w:tab w:val="right" w:pos="8306"/>
      </w:tabs>
      <w:snapToGrid w:val="0"/>
      <w:jc w:val="left"/>
    </w:pPr>
    <w:rPr>
      <w:sz w:val="18"/>
      <w:szCs w:val="18"/>
    </w:rPr>
  </w:style>
  <w:style w:type="paragraph" w:styleId="35">
    <w:name w:val="header"/>
    <w:basedOn w:val="1"/>
    <w:link w:val="73"/>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spacing w:line="360" w:lineRule="auto"/>
      <w:jc w:val="left"/>
    </w:pPr>
    <w:rPr>
      <w:rFonts w:ascii="Times New Roman" w:hAnsi="Times New Roman" w:eastAsia="宋体" w:cs="Times New Roman"/>
      <w:b/>
      <w:bCs/>
      <w:i/>
      <w:iCs/>
      <w:sz w:val="24"/>
      <w:szCs w:val="28"/>
    </w:rPr>
  </w:style>
  <w:style w:type="paragraph" w:styleId="37">
    <w:name w:val="toc 4"/>
    <w:basedOn w:val="1"/>
    <w:next w:val="1"/>
    <w:qFormat/>
    <w:uiPriority w:val="39"/>
    <w:pPr>
      <w:ind w:left="630"/>
      <w:jc w:val="left"/>
    </w:pPr>
    <w:rPr>
      <w:rFonts w:ascii="Times New Roman" w:hAnsi="Times New Roman" w:eastAsia="宋体" w:cs="Times New Roman"/>
      <w:sz w:val="18"/>
      <w:szCs w:val="18"/>
    </w:rPr>
  </w:style>
  <w:style w:type="paragraph" w:styleId="38">
    <w:name w:val="index heading"/>
    <w:basedOn w:val="1"/>
    <w:next w:val="39"/>
    <w:qFormat/>
    <w:uiPriority w:val="0"/>
    <w:rPr>
      <w:rFonts w:ascii="Times New Roman" w:hAnsi="Times New Roman" w:eastAsia="宋体" w:cs="Times New Roman"/>
      <w:szCs w:val="24"/>
    </w:rPr>
  </w:style>
  <w:style w:type="paragraph" w:styleId="39">
    <w:name w:val="index 1"/>
    <w:basedOn w:val="1"/>
    <w:next w:val="1"/>
    <w:autoRedefine/>
    <w:unhideWhenUsed/>
    <w:qFormat/>
    <w:uiPriority w:val="0"/>
  </w:style>
  <w:style w:type="paragraph" w:styleId="40">
    <w:name w:val="Subtitle"/>
    <w:basedOn w:val="1"/>
    <w:next w:val="1"/>
    <w:link w:val="417"/>
    <w:qFormat/>
    <w:uiPriority w:val="0"/>
    <w:pPr>
      <w:spacing w:before="240" w:after="60" w:line="312" w:lineRule="auto"/>
      <w:jc w:val="center"/>
      <w:outlineLvl w:val="1"/>
    </w:pPr>
    <w:rPr>
      <w:rFonts w:ascii="Cambria" w:hAnsi="Cambria" w:eastAsia="宋体" w:cs="Times New Roman"/>
      <w:b/>
      <w:bCs/>
      <w:kern w:val="28"/>
      <w:sz w:val="32"/>
      <w:szCs w:val="32"/>
      <w:lang w:val="zh-CN" w:eastAsia="zh-CN"/>
    </w:rPr>
  </w:style>
  <w:style w:type="paragraph" w:styleId="41">
    <w:name w:val="toc 6"/>
    <w:basedOn w:val="1"/>
    <w:next w:val="1"/>
    <w:qFormat/>
    <w:uiPriority w:val="39"/>
    <w:pPr>
      <w:ind w:left="1050"/>
      <w:jc w:val="left"/>
    </w:pPr>
    <w:rPr>
      <w:rFonts w:ascii="Times New Roman" w:hAnsi="Times New Roman" w:eastAsia="宋体" w:cs="Times New Roman"/>
      <w:sz w:val="18"/>
      <w:szCs w:val="18"/>
    </w:rPr>
  </w:style>
  <w:style w:type="paragraph" w:styleId="42">
    <w:name w:val="Body Text Indent 3"/>
    <w:basedOn w:val="1"/>
    <w:link w:val="383"/>
    <w:qFormat/>
    <w:uiPriority w:val="0"/>
    <w:pPr>
      <w:spacing w:after="120"/>
      <w:ind w:left="420" w:leftChars="200"/>
    </w:pPr>
    <w:rPr>
      <w:sz w:val="16"/>
      <w:szCs w:val="16"/>
    </w:rPr>
  </w:style>
  <w:style w:type="paragraph" w:styleId="43">
    <w:name w:val="toc 2"/>
    <w:basedOn w:val="1"/>
    <w:next w:val="1"/>
    <w:autoRedefine/>
    <w:unhideWhenUsed/>
    <w:qFormat/>
    <w:uiPriority w:val="39"/>
    <w:pPr>
      <w:ind w:left="420" w:leftChars="200"/>
    </w:pPr>
  </w:style>
  <w:style w:type="paragraph" w:styleId="44">
    <w:name w:val="toc 9"/>
    <w:basedOn w:val="1"/>
    <w:next w:val="1"/>
    <w:qFormat/>
    <w:uiPriority w:val="39"/>
    <w:pPr>
      <w:ind w:left="1680"/>
      <w:jc w:val="left"/>
    </w:pPr>
    <w:rPr>
      <w:rFonts w:ascii="Times New Roman" w:hAnsi="Times New Roman" w:eastAsia="宋体" w:cs="Times New Roman"/>
      <w:sz w:val="18"/>
      <w:szCs w:val="18"/>
    </w:rPr>
  </w:style>
  <w:style w:type="paragraph" w:styleId="45">
    <w:name w:val="Body Text 2"/>
    <w:basedOn w:val="1"/>
    <w:link w:val="416"/>
    <w:qFormat/>
    <w:uiPriority w:val="0"/>
    <w:pPr>
      <w:spacing w:after="120" w:line="480" w:lineRule="auto"/>
    </w:pPr>
    <w:rPr>
      <w:rFonts w:ascii="Times New Roman" w:hAnsi="Times New Roman" w:eastAsia="宋体" w:cs="Times New Roman"/>
      <w:szCs w:val="24"/>
    </w:rPr>
  </w:style>
  <w:style w:type="paragraph" w:styleId="46">
    <w:name w:val="HTML Preformatted"/>
    <w:basedOn w:val="1"/>
    <w:link w:val="1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szCs w:val="21"/>
    </w:rPr>
  </w:style>
  <w:style w:type="paragraph" w:styleId="47">
    <w:name w:val="Normal (Web)"/>
    <w:basedOn w:val="1"/>
    <w:link w:val="86"/>
    <w:qFormat/>
    <w:uiPriority w:val="99"/>
    <w:pPr>
      <w:widowControl/>
      <w:spacing w:before="100" w:beforeAutospacing="1" w:after="100" w:afterAutospacing="1"/>
      <w:jc w:val="left"/>
    </w:pPr>
    <w:rPr>
      <w:rFonts w:ascii="宋体" w:hAnsi="宋体" w:eastAsia="宋体"/>
      <w:sz w:val="24"/>
    </w:rPr>
  </w:style>
  <w:style w:type="paragraph" w:styleId="48">
    <w:name w:val="Title"/>
    <w:basedOn w:val="1"/>
    <w:link w:val="415"/>
    <w:qFormat/>
    <w:uiPriority w:val="0"/>
    <w:pPr>
      <w:spacing w:before="60" w:after="60" w:line="460" w:lineRule="exact"/>
      <w:jc w:val="left"/>
      <w:outlineLvl w:val="0"/>
    </w:pPr>
    <w:rPr>
      <w:rFonts w:ascii="宋体" w:hAnsi="宋体" w:eastAsia="宋体" w:cs="Times New Roman"/>
      <w:b/>
      <w:sz w:val="30"/>
      <w:szCs w:val="20"/>
    </w:rPr>
  </w:style>
  <w:style w:type="paragraph" w:styleId="49">
    <w:name w:val="annotation subject"/>
    <w:basedOn w:val="18"/>
    <w:next w:val="18"/>
    <w:link w:val="80"/>
    <w:unhideWhenUsed/>
    <w:qFormat/>
    <w:uiPriority w:val="0"/>
    <w:rPr>
      <w:b/>
      <w:bCs/>
    </w:rPr>
  </w:style>
  <w:style w:type="paragraph" w:styleId="50">
    <w:name w:val="Body Text First Indent"/>
    <w:basedOn w:val="20"/>
    <w:link w:val="185"/>
    <w:qFormat/>
    <w:uiPriority w:val="0"/>
    <w:pPr>
      <w:ind w:firstLine="420" w:firstLineChars="100"/>
    </w:pPr>
    <w:rPr>
      <w:rFonts w:ascii="Arial" w:hAnsi="Arial" w:cstheme="minorBidi"/>
      <w:sz w:val="24"/>
      <w:szCs w:val="24"/>
    </w:rPr>
  </w:style>
  <w:style w:type="paragraph" w:styleId="51">
    <w:name w:val="Body Text First Indent 2"/>
    <w:basedOn w:val="21"/>
    <w:link w:val="265"/>
    <w:qFormat/>
    <w:uiPriority w:val="0"/>
    <w:pPr>
      <w:ind w:firstLine="210" w:firstLineChars="200"/>
    </w:pPr>
    <w:rPr>
      <w:sz w:val="21"/>
      <w:szCs w:val="24"/>
    </w:r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4">
    <w:name w:val="Table Theme"/>
    <w:basedOn w:val="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5">
    <w:name w:val="Table Grid 1"/>
    <w:basedOn w:val="52"/>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56">
    <w:name w:val="Table Web 3"/>
    <w:basedOn w:val="52"/>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57">
    <w:name w:val="Table Professional"/>
    <w:basedOn w:val="52"/>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59">
    <w:name w:val="Strong"/>
    <w:basedOn w:val="58"/>
    <w:qFormat/>
    <w:uiPriority w:val="0"/>
    <w:rPr>
      <w:b/>
      <w:bCs/>
    </w:rPr>
  </w:style>
  <w:style w:type="character" w:styleId="60">
    <w:name w:val="endnote reference"/>
    <w:qFormat/>
    <w:uiPriority w:val="0"/>
    <w:rPr>
      <w:vertAlign w:val="superscript"/>
    </w:rPr>
  </w:style>
  <w:style w:type="character" w:styleId="61">
    <w:name w:val="page number"/>
    <w:qFormat/>
    <w:uiPriority w:val="0"/>
  </w:style>
  <w:style w:type="character" w:styleId="62">
    <w:name w:val="FollowedHyperlink"/>
    <w:qFormat/>
    <w:uiPriority w:val="0"/>
    <w:rPr>
      <w:color w:val="338DE6"/>
      <w:u w:val="none"/>
    </w:rPr>
  </w:style>
  <w:style w:type="character" w:styleId="63">
    <w:name w:val="Emphasis"/>
    <w:qFormat/>
    <w:uiPriority w:val="0"/>
    <w:rPr>
      <w:color w:val="CC0033"/>
    </w:rPr>
  </w:style>
  <w:style w:type="character" w:styleId="64">
    <w:name w:val="HTML Definition"/>
    <w:qFormat/>
    <w:uiPriority w:val="0"/>
  </w:style>
  <w:style w:type="character" w:styleId="65">
    <w:name w:val="HTML Acronym"/>
    <w:basedOn w:val="58"/>
    <w:qFormat/>
    <w:uiPriority w:val="0"/>
  </w:style>
  <w:style w:type="character" w:styleId="66">
    <w:name w:val="HTML Variable"/>
    <w:qFormat/>
    <w:uiPriority w:val="0"/>
  </w:style>
  <w:style w:type="character" w:styleId="67">
    <w:name w:val="Hyperlink"/>
    <w:basedOn w:val="58"/>
    <w:unhideWhenUsed/>
    <w:qFormat/>
    <w:uiPriority w:val="99"/>
    <w:rPr>
      <w:color w:val="0563C1" w:themeColor="hyperlink"/>
      <w:u w:val="single"/>
      <w14:textFill>
        <w14:solidFill>
          <w14:schemeClr w14:val="hlink"/>
        </w14:solidFill>
      </w14:textFill>
    </w:rPr>
  </w:style>
  <w:style w:type="character" w:styleId="68">
    <w:name w:val="HTML Code"/>
    <w:qFormat/>
    <w:uiPriority w:val="0"/>
    <w:rPr>
      <w:rFonts w:ascii="黑体" w:hAnsi="Courier New" w:eastAsia="黑体" w:cs="Courier New"/>
      <w:sz w:val="24"/>
      <w:szCs w:val="24"/>
    </w:rPr>
  </w:style>
  <w:style w:type="character" w:styleId="69">
    <w:name w:val="annotation reference"/>
    <w:basedOn w:val="58"/>
    <w:unhideWhenUsed/>
    <w:qFormat/>
    <w:uiPriority w:val="0"/>
    <w:rPr>
      <w:sz w:val="21"/>
      <w:szCs w:val="21"/>
    </w:rPr>
  </w:style>
  <w:style w:type="character" w:styleId="70">
    <w:name w:val="HTML Cite"/>
    <w:qFormat/>
    <w:uiPriority w:val="0"/>
  </w:style>
  <w:style w:type="character" w:styleId="71">
    <w:name w:val="HTML Keyboard"/>
    <w:qFormat/>
    <w:uiPriority w:val="0"/>
    <w:rPr>
      <w:rFonts w:hint="default" w:ascii="monospace" w:hAnsi="monospace" w:eastAsia="monospace" w:cs="monospace"/>
      <w:sz w:val="21"/>
      <w:szCs w:val="21"/>
    </w:rPr>
  </w:style>
  <w:style w:type="character" w:styleId="72">
    <w:name w:val="HTML Sample"/>
    <w:qFormat/>
    <w:uiPriority w:val="0"/>
    <w:rPr>
      <w:rFonts w:hint="default" w:ascii="monospace" w:hAnsi="monospace" w:eastAsia="monospace" w:cs="monospace"/>
      <w:sz w:val="21"/>
      <w:szCs w:val="21"/>
    </w:rPr>
  </w:style>
  <w:style w:type="character" w:customStyle="1" w:styleId="73">
    <w:name w:val="页眉 Char"/>
    <w:basedOn w:val="58"/>
    <w:link w:val="35"/>
    <w:qFormat/>
    <w:uiPriority w:val="99"/>
    <w:rPr>
      <w:sz w:val="18"/>
      <w:szCs w:val="18"/>
    </w:rPr>
  </w:style>
  <w:style w:type="character" w:customStyle="1" w:styleId="74">
    <w:name w:val="页脚 Char2"/>
    <w:basedOn w:val="58"/>
    <w:link w:val="34"/>
    <w:qFormat/>
    <w:uiPriority w:val="0"/>
    <w:rPr>
      <w:sz w:val="18"/>
      <w:szCs w:val="18"/>
    </w:rPr>
  </w:style>
  <w:style w:type="character" w:customStyle="1" w:styleId="75">
    <w:name w:val="正文缩进 Char4"/>
    <w:link w:val="2"/>
    <w:qFormat/>
    <w:uiPriority w:val="0"/>
  </w:style>
  <w:style w:type="paragraph" w:styleId="76">
    <w:name w:val="List Paragraph"/>
    <w:basedOn w:val="1"/>
    <w:link w:val="104"/>
    <w:qFormat/>
    <w:uiPriority w:val="34"/>
  </w:style>
  <w:style w:type="character" w:customStyle="1" w:styleId="77">
    <w:name w:val="批注框文本 Char"/>
    <w:basedOn w:val="58"/>
    <w:link w:val="33"/>
    <w:qFormat/>
    <w:uiPriority w:val="0"/>
    <w:rPr>
      <w:sz w:val="18"/>
      <w:szCs w:val="18"/>
    </w:rPr>
  </w:style>
  <w:style w:type="character" w:customStyle="1" w:styleId="78">
    <w:name w:val="文档结构图 Char"/>
    <w:basedOn w:val="58"/>
    <w:link w:val="17"/>
    <w:qFormat/>
    <w:uiPriority w:val="0"/>
    <w:rPr>
      <w:rFonts w:ascii="宋体" w:eastAsia="宋体"/>
      <w:sz w:val="18"/>
      <w:szCs w:val="18"/>
    </w:rPr>
  </w:style>
  <w:style w:type="character" w:customStyle="1" w:styleId="79">
    <w:name w:val="批注文字 Char"/>
    <w:basedOn w:val="58"/>
    <w:link w:val="18"/>
    <w:qFormat/>
    <w:uiPriority w:val="99"/>
  </w:style>
  <w:style w:type="character" w:customStyle="1" w:styleId="80">
    <w:name w:val="批注主题 Char"/>
    <w:basedOn w:val="79"/>
    <w:link w:val="49"/>
    <w:qFormat/>
    <w:uiPriority w:val="0"/>
    <w:rPr>
      <w:b/>
      <w:bCs/>
    </w:rPr>
  </w:style>
  <w:style w:type="table" w:customStyle="1" w:styleId="81">
    <w:name w:val="网格型1"/>
    <w:basedOn w:val="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
    <w:name w:val="网格型7"/>
    <w:basedOn w:val="5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3">
    <w:name w:val="常用正文样式"/>
    <w:basedOn w:val="1"/>
    <w:link w:val="94"/>
    <w:qFormat/>
    <w:uiPriority w:val="0"/>
    <w:pPr>
      <w:spacing w:line="360" w:lineRule="auto"/>
      <w:ind w:firstLine="480" w:firstLineChars="200"/>
    </w:pPr>
    <w:rPr>
      <w:rFonts w:ascii="Times New Roman" w:hAnsi="Times New Roman" w:eastAsia="宋体" w:cs="Times New Roman"/>
      <w:kern w:val="28"/>
      <w:sz w:val="24"/>
      <w:szCs w:val="24"/>
    </w:rPr>
  </w:style>
  <w:style w:type="character" w:customStyle="1" w:styleId="84">
    <w:name w:val="日期 Char"/>
    <w:basedOn w:val="58"/>
    <w:link w:val="30"/>
    <w:qFormat/>
    <w:uiPriority w:val="99"/>
  </w:style>
  <w:style w:type="table" w:customStyle="1" w:styleId="85">
    <w:name w:val="网格型51"/>
    <w:basedOn w:val="52"/>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6">
    <w:name w:val="普通(网站) Char1"/>
    <w:link w:val="47"/>
    <w:qFormat/>
    <w:locked/>
    <w:uiPriority w:val="0"/>
    <w:rPr>
      <w:rFonts w:ascii="宋体" w:hAnsi="宋体" w:eastAsia="宋体"/>
      <w:sz w:val="24"/>
    </w:rPr>
  </w:style>
  <w:style w:type="character" w:customStyle="1" w:styleId="87">
    <w:name w:val="表格 Char"/>
    <w:link w:val="88"/>
    <w:qFormat/>
    <w:locked/>
    <w:uiPriority w:val="0"/>
    <w:rPr>
      <w:rFonts w:ascii="宋体"/>
    </w:rPr>
  </w:style>
  <w:style w:type="paragraph" w:customStyle="1" w:styleId="88">
    <w:name w:val="表格"/>
    <w:basedOn w:val="1"/>
    <w:next w:val="1"/>
    <w:link w:val="87"/>
    <w:qFormat/>
    <w:uiPriority w:val="0"/>
    <w:pPr>
      <w:adjustRightInd w:val="0"/>
      <w:snapToGrid w:val="0"/>
      <w:spacing w:beforeLines="10" w:afterLines="10" w:line="259" w:lineRule="auto"/>
      <w:jc w:val="center"/>
    </w:pPr>
    <w:rPr>
      <w:rFonts w:ascii="宋体"/>
    </w:rPr>
  </w:style>
  <w:style w:type="character" w:customStyle="1" w:styleId="89">
    <w:name w:val="列表 3 Char"/>
    <w:link w:val="12"/>
    <w:qFormat/>
    <w:uiPriority w:val="0"/>
    <w:rPr>
      <w:rFonts w:ascii="Arial" w:hAnsi="Arial"/>
      <w:sz w:val="24"/>
      <w:szCs w:val="24"/>
      <w:lang w:val="zh-CN"/>
    </w:rPr>
  </w:style>
  <w:style w:type="paragraph" w:customStyle="1" w:styleId="90">
    <w:name w:val="Char5"/>
    <w:basedOn w:val="1"/>
    <w:qFormat/>
    <w:uiPriority w:val="0"/>
    <w:pPr>
      <w:spacing w:line="360" w:lineRule="auto"/>
      <w:ind w:firstLine="200" w:firstLineChars="200"/>
    </w:pPr>
    <w:rPr>
      <w:rFonts w:ascii="宋体" w:hAnsi="宋体" w:eastAsia="宋体" w:cs="宋体"/>
      <w:sz w:val="24"/>
      <w:szCs w:val="24"/>
    </w:rPr>
  </w:style>
  <w:style w:type="character" w:customStyle="1" w:styleId="91">
    <w:name w:val="正文01 Char"/>
    <w:link w:val="92"/>
    <w:qFormat/>
    <w:uiPriority w:val="0"/>
    <w:rPr>
      <w:rFonts w:eastAsia="宋体"/>
      <w:sz w:val="24"/>
      <w:szCs w:val="24"/>
    </w:rPr>
  </w:style>
  <w:style w:type="paragraph" w:customStyle="1" w:styleId="92">
    <w:name w:val="正文01"/>
    <w:basedOn w:val="1"/>
    <w:link w:val="91"/>
    <w:qFormat/>
    <w:uiPriority w:val="0"/>
    <w:pPr>
      <w:spacing w:before="60" w:line="460" w:lineRule="exact"/>
      <w:ind w:firstLine="200" w:firstLineChars="200"/>
    </w:pPr>
    <w:rPr>
      <w:rFonts w:eastAsia="宋体"/>
      <w:sz w:val="24"/>
      <w:szCs w:val="24"/>
    </w:rPr>
  </w:style>
  <w:style w:type="paragraph" w:customStyle="1" w:styleId="93">
    <w:name w:val="正文-7"/>
    <w:basedOn w:val="1"/>
    <w:qFormat/>
    <w:uiPriority w:val="0"/>
    <w:pPr>
      <w:spacing w:before="30" w:beforeLines="30" w:line="460" w:lineRule="exact"/>
      <w:ind w:firstLine="200" w:firstLineChars="200"/>
    </w:pPr>
    <w:rPr>
      <w:rFonts w:ascii="Times New Roman" w:hAnsi="Times New Roman" w:eastAsia="宋体" w:cs="Times New Roman"/>
      <w:snapToGrid w:val="0"/>
      <w:kern w:val="0"/>
      <w:sz w:val="24"/>
      <w:szCs w:val="24"/>
    </w:rPr>
  </w:style>
  <w:style w:type="character" w:customStyle="1" w:styleId="94">
    <w:name w:val="常用正文样式 Char1"/>
    <w:link w:val="83"/>
    <w:qFormat/>
    <w:uiPriority w:val="0"/>
    <w:rPr>
      <w:rFonts w:ascii="Times New Roman" w:hAnsi="Times New Roman" w:eastAsia="宋体" w:cs="Times New Roman"/>
      <w:kern w:val="28"/>
      <w:sz w:val="24"/>
      <w:szCs w:val="24"/>
    </w:rPr>
  </w:style>
  <w:style w:type="character" w:customStyle="1" w:styleId="95">
    <w:name w:val="正文缩进 Char2"/>
    <w:qFormat/>
    <w:uiPriority w:val="0"/>
  </w:style>
  <w:style w:type="paragraph" w:customStyle="1" w:styleId="96">
    <w:name w:val="二级标题8"/>
    <w:basedOn w:val="1"/>
    <w:qFormat/>
    <w:uiPriority w:val="0"/>
    <w:pPr>
      <w:spacing w:before="60" w:line="460" w:lineRule="exact"/>
      <w:outlineLvl w:val="1"/>
    </w:pPr>
    <w:rPr>
      <w:rFonts w:ascii="Times New Roman" w:hAnsi="Times New Roman" w:eastAsia="宋体" w:cs="宋体"/>
      <w:b/>
      <w:bCs/>
      <w:snapToGrid w:val="0"/>
      <w:kern w:val="0"/>
      <w:sz w:val="28"/>
      <w:szCs w:val="20"/>
    </w:rPr>
  </w:style>
  <w:style w:type="character" w:customStyle="1" w:styleId="97">
    <w:name w:val="表格正文 Char2"/>
    <w:link w:val="98"/>
    <w:qFormat/>
    <w:uiPriority w:val="0"/>
    <w:rPr>
      <w:rFonts w:ascii="Times New Roman" w:hAnsi="Times New Roman" w:eastAsia="宋体" w:cs="Times New Roman"/>
      <w:szCs w:val="21"/>
    </w:rPr>
  </w:style>
  <w:style w:type="paragraph" w:customStyle="1" w:styleId="98">
    <w:name w:val="表格正文"/>
    <w:basedOn w:val="1"/>
    <w:link w:val="97"/>
    <w:qFormat/>
    <w:uiPriority w:val="0"/>
    <w:pPr>
      <w:spacing w:line="360" w:lineRule="exact"/>
      <w:jc w:val="center"/>
    </w:pPr>
    <w:rPr>
      <w:rFonts w:ascii="Times New Roman" w:hAnsi="Times New Roman" w:eastAsia="宋体" w:cs="Times New Roman"/>
      <w:szCs w:val="21"/>
    </w:rPr>
  </w:style>
  <w:style w:type="paragraph" w:customStyle="1" w:styleId="99">
    <w:name w:val="表格正文8"/>
    <w:basedOn w:val="1"/>
    <w:qFormat/>
    <w:uiPriority w:val="0"/>
    <w:pPr>
      <w:spacing w:line="360" w:lineRule="exact"/>
      <w:jc w:val="center"/>
    </w:pPr>
    <w:rPr>
      <w:rFonts w:ascii="Times New Roman" w:hAnsi="Times New Roman" w:eastAsia="宋体" w:cs="Times New Roman"/>
      <w:snapToGrid w:val="0"/>
      <w:kern w:val="0"/>
      <w:szCs w:val="21"/>
    </w:rPr>
  </w:style>
  <w:style w:type="paragraph" w:customStyle="1" w:styleId="100">
    <w:name w:val="样式7"/>
    <w:basedOn w:val="1"/>
    <w:link w:val="790"/>
    <w:qFormat/>
    <w:uiPriority w:val="0"/>
    <w:pPr>
      <w:spacing w:line="360" w:lineRule="auto"/>
      <w:jc w:val="center"/>
    </w:pPr>
    <w:rPr>
      <w:rFonts w:ascii="仿宋_GB2312" w:hAnsi="Arial" w:eastAsia="仿宋_GB2312" w:cs="Times New Roman"/>
      <w:b/>
      <w:sz w:val="24"/>
      <w:szCs w:val="20"/>
    </w:rPr>
  </w:style>
  <w:style w:type="paragraph" w:customStyle="1" w:styleId="101">
    <w:name w:val="表内表"/>
    <w:basedOn w:val="1"/>
    <w:qFormat/>
    <w:uiPriority w:val="0"/>
    <w:pPr>
      <w:jc w:val="center"/>
    </w:pPr>
    <w:rPr>
      <w:rFonts w:ascii="Times New Roman" w:hAnsi="Times New Roman" w:eastAsia="仿宋_GB2312" w:cs="Times New Roman"/>
      <w:kern w:val="0"/>
      <w:szCs w:val="20"/>
    </w:rPr>
  </w:style>
  <w:style w:type="character" w:customStyle="1" w:styleId="102">
    <w:name w:val="正文文本 Char1"/>
    <w:basedOn w:val="58"/>
    <w:link w:val="20"/>
    <w:qFormat/>
    <w:uiPriority w:val="0"/>
    <w:rPr>
      <w:rFonts w:ascii="Times New Roman" w:hAnsi="Times New Roman" w:eastAsia="宋体" w:cs="Times New Roman"/>
      <w:szCs w:val="20"/>
    </w:rPr>
  </w:style>
  <w:style w:type="character" w:styleId="103">
    <w:name w:val="Placeholder Text"/>
    <w:basedOn w:val="58"/>
    <w:semiHidden/>
    <w:qFormat/>
    <w:uiPriority w:val="99"/>
    <w:rPr>
      <w:color w:val="808080"/>
    </w:rPr>
  </w:style>
  <w:style w:type="character" w:customStyle="1" w:styleId="104">
    <w:name w:val="列出段落 Char"/>
    <w:link w:val="76"/>
    <w:qFormat/>
    <w:uiPriority w:val="34"/>
  </w:style>
  <w:style w:type="paragraph" w:customStyle="1" w:styleId="105">
    <w:name w:val="正文01新"/>
    <w:basedOn w:val="1"/>
    <w:link w:val="106"/>
    <w:qFormat/>
    <w:uiPriority w:val="0"/>
    <w:pPr>
      <w:snapToGrid w:val="0"/>
      <w:spacing w:beforeLines="30" w:line="460" w:lineRule="exact"/>
      <w:ind w:firstLine="200" w:firstLineChars="200"/>
    </w:pPr>
    <w:rPr>
      <w:rFonts w:ascii="Times New Roman" w:hAnsi="Times New Roman" w:eastAsia="宋体" w:cs="Times New Roman"/>
      <w:kern w:val="0"/>
      <w:sz w:val="24"/>
      <w:szCs w:val="24"/>
    </w:rPr>
  </w:style>
  <w:style w:type="character" w:customStyle="1" w:styleId="106">
    <w:name w:val="正文01新 Char"/>
    <w:link w:val="105"/>
    <w:qFormat/>
    <w:uiPriority w:val="0"/>
    <w:rPr>
      <w:rFonts w:ascii="Times New Roman" w:hAnsi="Times New Roman" w:eastAsia="宋体" w:cs="Times New Roman"/>
      <w:kern w:val="0"/>
      <w:sz w:val="24"/>
      <w:szCs w:val="24"/>
    </w:rPr>
  </w:style>
  <w:style w:type="character" w:customStyle="1" w:styleId="107">
    <w:name w:val="表格标题-02 Char"/>
    <w:link w:val="108"/>
    <w:qFormat/>
    <w:locked/>
    <w:uiPriority w:val="0"/>
    <w:rPr>
      <w:snapToGrid w:val="0"/>
      <w:sz w:val="24"/>
      <w:szCs w:val="24"/>
    </w:rPr>
  </w:style>
  <w:style w:type="paragraph" w:customStyle="1" w:styleId="108">
    <w:name w:val="表格标题-02"/>
    <w:basedOn w:val="1"/>
    <w:link w:val="107"/>
    <w:qFormat/>
    <w:uiPriority w:val="0"/>
    <w:pPr>
      <w:snapToGrid w:val="0"/>
      <w:spacing w:beforeLines="30" w:line="460" w:lineRule="exact"/>
      <w:jc w:val="center"/>
    </w:pPr>
    <w:rPr>
      <w:snapToGrid w:val="0"/>
      <w:sz w:val="24"/>
      <w:szCs w:val="24"/>
    </w:rPr>
  </w:style>
  <w:style w:type="paragraph" w:customStyle="1" w:styleId="109">
    <w:name w:val="样式 表格正文 + 行距: 单倍行距"/>
    <w:basedOn w:val="98"/>
    <w:qFormat/>
    <w:uiPriority w:val="0"/>
    <w:pPr>
      <w:spacing w:line="240" w:lineRule="auto"/>
    </w:pPr>
    <w:rPr>
      <w:rFonts w:ascii="Arial" w:hAnsi="Arial" w:cs="宋体"/>
      <w:szCs w:val="20"/>
    </w:rPr>
  </w:style>
  <w:style w:type="paragraph" w:customStyle="1" w:styleId="110">
    <w:name w:val="表格标题-1"/>
    <w:basedOn w:val="1"/>
    <w:qFormat/>
    <w:uiPriority w:val="0"/>
    <w:pPr>
      <w:spacing w:before="60" w:line="460" w:lineRule="exact"/>
      <w:jc w:val="center"/>
    </w:pPr>
    <w:rPr>
      <w:rFonts w:ascii="Times New Roman" w:hAnsi="Times New Roman" w:eastAsia="宋体" w:cs="Times New Roman"/>
      <w:bCs/>
      <w:kern w:val="0"/>
      <w:sz w:val="24"/>
      <w:szCs w:val="24"/>
    </w:rPr>
  </w:style>
  <w:style w:type="character" w:customStyle="1" w:styleId="111">
    <w:name w:val="标题 1 Char"/>
    <w:basedOn w:val="58"/>
    <w:link w:val="3"/>
    <w:qFormat/>
    <w:uiPriority w:val="0"/>
    <w:rPr>
      <w:rFonts w:ascii="Times New Roman" w:hAnsi="Times New Roman" w:eastAsia="宋体" w:cs="Times New Roman"/>
      <w:b/>
      <w:bCs/>
      <w:kern w:val="44"/>
      <w:sz w:val="44"/>
      <w:szCs w:val="44"/>
    </w:rPr>
  </w:style>
  <w:style w:type="character" w:customStyle="1" w:styleId="112">
    <w:name w:val="标题 2 Char1"/>
    <w:basedOn w:val="58"/>
    <w:link w:val="4"/>
    <w:qFormat/>
    <w:uiPriority w:val="0"/>
    <w:rPr>
      <w:rFonts w:ascii="Arial" w:hAnsi="Arial" w:eastAsia="黑体" w:cs="Times New Roman"/>
      <w:b/>
      <w:bCs/>
      <w:sz w:val="32"/>
      <w:szCs w:val="32"/>
    </w:rPr>
  </w:style>
  <w:style w:type="character" w:customStyle="1" w:styleId="113">
    <w:name w:val="标题 3 Char2"/>
    <w:basedOn w:val="58"/>
    <w:link w:val="5"/>
    <w:qFormat/>
    <w:uiPriority w:val="0"/>
    <w:rPr>
      <w:rFonts w:ascii="Times New Roman" w:hAnsi="Times New Roman" w:eastAsia="宋体" w:cs="Times New Roman"/>
      <w:b/>
      <w:bCs/>
      <w:sz w:val="32"/>
      <w:szCs w:val="32"/>
    </w:rPr>
  </w:style>
  <w:style w:type="character" w:customStyle="1" w:styleId="114">
    <w:name w:val="标题 4 Char"/>
    <w:basedOn w:val="58"/>
    <w:link w:val="6"/>
    <w:qFormat/>
    <w:uiPriority w:val="0"/>
    <w:rPr>
      <w:rFonts w:ascii="Times New Roman" w:hAnsi="Times New Roman" w:eastAsia="宋体" w:cs="Times New Roman"/>
      <w:b/>
      <w:sz w:val="24"/>
      <w:szCs w:val="20"/>
    </w:rPr>
  </w:style>
  <w:style w:type="character" w:customStyle="1" w:styleId="115">
    <w:name w:val="标题 5 Char"/>
    <w:basedOn w:val="58"/>
    <w:link w:val="7"/>
    <w:qFormat/>
    <w:uiPriority w:val="0"/>
    <w:rPr>
      <w:rFonts w:ascii="宋体" w:hAnsi="Arial" w:eastAsia="宋体" w:cs="Times New Roman"/>
      <w:b/>
      <w:kern w:val="0"/>
      <w:sz w:val="24"/>
      <w:szCs w:val="20"/>
      <w:lang w:val="zh-CN" w:eastAsia="zh-CN"/>
    </w:rPr>
  </w:style>
  <w:style w:type="character" w:customStyle="1" w:styleId="116">
    <w:name w:val="标题 6 Char"/>
    <w:basedOn w:val="58"/>
    <w:link w:val="8"/>
    <w:qFormat/>
    <w:uiPriority w:val="0"/>
    <w:rPr>
      <w:rFonts w:ascii="Arial" w:hAnsi="Arial" w:eastAsia="黑体" w:cs="Times New Roman"/>
      <w:b/>
      <w:kern w:val="0"/>
      <w:sz w:val="24"/>
      <w:szCs w:val="20"/>
      <w:lang w:val="zh-CN" w:eastAsia="zh-CN"/>
    </w:rPr>
  </w:style>
  <w:style w:type="character" w:customStyle="1" w:styleId="117">
    <w:name w:val="标题 7 Char"/>
    <w:basedOn w:val="58"/>
    <w:link w:val="9"/>
    <w:qFormat/>
    <w:uiPriority w:val="0"/>
    <w:rPr>
      <w:rFonts w:ascii="宋体" w:hAnsi="Arial" w:eastAsia="宋体" w:cs="Times New Roman"/>
      <w:b/>
      <w:kern w:val="0"/>
      <w:sz w:val="24"/>
      <w:szCs w:val="20"/>
      <w:lang w:val="zh-CN" w:eastAsia="zh-CN"/>
    </w:rPr>
  </w:style>
  <w:style w:type="character" w:customStyle="1" w:styleId="118">
    <w:name w:val="标题 8 Char"/>
    <w:basedOn w:val="58"/>
    <w:link w:val="10"/>
    <w:qFormat/>
    <w:uiPriority w:val="0"/>
    <w:rPr>
      <w:rFonts w:ascii="Arial" w:hAnsi="Arial" w:eastAsia="黑体" w:cs="Times New Roman"/>
      <w:kern w:val="0"/>
      <w:sz w:val="24"/>
      <w:szCs w:val="20"/>
      <w:lang w:val="zh-CN" w:eastAsia="zh-CN"/>
    </w:rPr>
  </w:style>
  <w:style w:type="character" w:customStyle="1" w:styleId="119">
    <w:name w:val="标题 9 Char"/>
    <w:basedOn w:val="58"/>
    <w:link w:val="11"/>
    <w:qFormat/>
    <w:uiPriority w:val="0"/>
    <w:rPr>
      <w:rFonts w:ascii="Arial" w:hAnsi="Arial" w:eastAsia="黑体" w:cs="Times New Roman"/>
      <w:kern w:val="0"/>
      <w:szCs w:val="20"/>
      <w:lang w:val="zh-CN" w:eastAsia="zh-CN"/>
    </w:rPr>
  </w:style>
  <w:style w:type="paragraph" w:customStyle="1" w:styleId="120">
    <w:name w:val="样式4"/>
    <w:basedOn w:val="1"/>
    <w:qFormat/>
    <w:uiPriority w:val="0"/>
    <w:pPr>
      <w:spacing w:before="60" w:line="460" w:lineRule="atLeast"/>
      <w:ind w:firstLine="200" w:firstLineChars="200"/>
      <w:jc w:val="left"/>
    </w:pPr>
    <w:rPr>
      <w:rFonts w:ascii="Arial" w:hAnsi="Arial" w:eastAsia="宋体" w:cs="Times New Roman"/>
      <w:sz w:val="24"/>
      <w:szCs w:val="24"/>
    </w:rPr>
  </w:style>
  <w:style w:type="character" w:customStyle="1" w:styleId="121">
    <w:name w:val="正文缩进 字符1"/>
    <w:qFormat/>
    <w:uiPriority w:val="0"/>
    <w:rPr>
      <w:rFonts w:eastAsia="宋体"/>
      <w:kern w:val="2"/>
      <w:sz w:val="24"/>
      <w:lang w:val="en-US" w:eastAsia="zh-CN" w:bidi="ar-SA"/>
    </w:rPr>
  </w:style>
  <w:style w:type="character" w:customStyle="1" w:styleId="122">
    <w:name w:val="12heiwuxian"/>
    <w:qFormat/>
    <w:uiPriority w:val="0"/>
  </w:style>
  <w:style w:type="character" w:customStyle="1" w:styleId="123">
    <w:name w:val="正文文本缩进 2 Char"/>
    <w:link w:val="31"/>
    <w:qFormat/>
    <w:uiPriority w:val="0"/>
    <w:rPr>
      <w:szCs w:val="24"/>
    </w:rPr>
  </w:style>
  <w:style w:type="character" w:customStyle="1" w:styleId="124">
    <w:name w:val="正文文本缩进 2 字符1"/>
    <w:basedOn w:val="58"/>
    <w:semiHidden/>
    <w:qFormat/>
    <w:uiPriority w:val="99"/>
  </w:style>
  <w:style w:type="character" w:customStyle="1" w:styleId="125">
    <w:name w:val="articlecontent"/>
    <w:qFormat/>
    <w:uiPriority w:val="0"/>
  </w:style>
  <w:style w:type="character" w:customStyle="1" w:styleId="126">
    <w:name w:val="标题 3 Char"/>
    <w:semiHidden/>
    <w:qFormat/>
    <w:uiPriority w:val="0"/>
    <w:rPr>
      <w:b/>
      <w:bCs/>
      <w:kern w:val="2"/>
      <w:sz w:val="32"/>
      <w:szCs w:val="32"/>
    </w:rPr>
  </w:style>
  <w:style w:type="character" w:customStyle="1" w:styleId="127">
    <w:name w:val="orange6"/>
    <w:qFormat/>
    <w:uiPriority w:val="0"/>
    <w:rPr>
      <w:color w:val="3FB58F"/>
    </w:rPr>
  </w:style>
  <w:style w:type="character" w:customStyle="1" w:styleId="128">
    <w:name w:val="标题 8 Char1"/>
    <w:semiHidden/>
    <w:qFormat/>
    <w:uiPriority w:val="0"/>
    <w:rPr>
      <w:rFonts w:ascii="Cambria" w:hAnsi="Cambria" w:eastAsia="宋体" w:cs="Times New Roman"/>
      <w:kern w:val="2"/>
      <w:sz w:val="24"/>
      <w:szCs w:val="24"/>
    </w:rPr>
  </w:style>
  <w:style w:type="character" w:customStyle="1" w:styleId="129">
    <w:name w:val="pzg正文 Char Char"/>
    <w:link w:val="130"/>
    <w:qFormat/>
    <w:uiPriority w:val="0"/>
    <w:rPr>
      <w:sz w:val="24"/>
      <w:szCs w:val="24"/>
    </w:rPr>
  </w:style>
  <w:style w:type="paragraph" w:customStyle="1" w:styleId="130">
    <w:name w:val="pzg正文"/>
    <w:link w:val="129"/>
    <w:qFormat/>
    <w:uiPriority w:val="0"/>
    <w:pPr>
      <w:ind w:firstLine="200" w:firstLineChars="200"/>
      <w:jc w:val="both"/>
    </w:pPr>
    <w:rPr>
      <w:rFonts w:asciiTheme="minorHAnsi" w:hAnsiTheme="minorHAnsi" w:eastAsiaTheme="minorEastAsia" w:cstheme="minorBidi"/>
      <w:kern w:val="2"/>
      <w:sz w:val="24"/>
      <w:szCs w:val="24"/>
      <w:lang w:val="en-US" w:eastAsia="zh-CN" w:bidi="ar-SA"/>
    </w:rPr>
  </w:style>
  <w:style w:type="character" w:customStyle="1" w:styleId="131">
    <w:name w:val="正文01 Char2"/>
    <w:qFormat/>
    <w:uiPriority w:val="0"/>
    <w:rPr>
      <w:rFonts w:eastAsia="宋体"/>
      <w:kern w:val="2"/>
      <w:sz w:val="24"/>
      <w:szCs w:val="24"/>
      <w:lang w:val="en-US" w:eastAsia="zh-CN" w:bidi="ar-SA"/>
    </w:rPr>
  </w:style>
  <w:style w:type="character" w:customStyle="1" w:styleId="132">
    <w:name w:val="no6"/>
    <w:basedOn w:val="58"/>
    <w:qFormat/>
    <w:uiPriority w:val="0"/>
  </w:style>
  <w:style w:type="character" w:customStyle="1" w:styleId="133">
    <w:name w:val="正文首行缩进 2 + Times New Roman Char"/>
    <w:link w:val="134"/>
    <w:qFormat/>
    <w:uiPriority w:val="0"/>
    <w:rPr>
      <w:rFonts w:ascii="Arial" w:hAnsi="Arial" w:eastAsia="宋体" w:cs="Arial"/>
      <w:color w:val="000000"/>
      <w:sz w:val="24"/>
      <w:szCs w:val="24"/>
    </w:rPr>
  </w:style>
  <w:style w:type="paragraph" w:customStyle="1" w:styleId="134">
    <w:name w:val="正文首行缩进 2 + Times New Roman"/>
    <w:basedOn w:val="1"/>
    <w:link w:val="133"/>
    <w:qFormat/>
    <w:uiPriority w:val="0"/>
    <w:pPr>
      <w:tabs>
        <w:tab w:val="left" w:pos="0"/>
        <w:tab w:val="left" w:pos="870"/>
        <w:tab w:val="left" w:pos="3150"/>
      </w:tabs>
      <w:autoSpaceDE w:val="0"/>
      <w:autoSpaceDN w:val="0"/>
      <w:spacing w:line="400" w:lineRule="exact"/>
      <w:ind w:firstLine="480" w:firstLineChars="200"/>
    </w:pPr>
    <w:rPr>
      <w:rFonts w:ascii="Arial" w:hAnsi="Arial" w:eastAsia="宋体" w:cs="Arial"/>
      <w:color w:val="000000"/>
      <w:sz w:val="24"/>
      <w:szCs w:val="24"/>
    </w:rPr>
  </w:style>
  <w:style w:type="character" w:customStyle="1" w:styleId="135">
    <w:name w:val="bt Char"/>
    <w:qFormat/>
    <w:uiPriority w:val="0"/>
    <w:rPr>
      <w:rFonts w:eastAsia="宋体"/>
      <w:kern w:val="2"/>
      <w:sz w:val="24"/>
      <w:szCs w:val="24"/>
      <w:lang w:val="en-US" w:eastAsia="zh-CN" w:bidi="ar-SA"/>
    </w:rPr>
  </w:style>
  <w:style w:type="character" w:customStyle="1" w:styleId="136">
    <w:name w:val="正文文本_"/>
    <w:link w:val="137"/>
    <w:qFormat/>
    <w:locked/>
    <w:uiPriority w:val="0"/>
    <w:rPr>
      <w:rFonts w:ascii="Arial Unicode MS" w:hAnsi="Arial Unicode MS" w:eastAsia="Arial Unicode MS" w:cs="Arial Unicode MS"/>
      <w:sz w:val="23"/>
      <w:szCs w:val="23"/>
      <w:shd w:val="clear" w:color="auto" w:fill="FFFFFF"/>
    </w:rPr>
  </w:style>
  <w:style w:type="paragraph" w:customStyle="1" w:styleId="137">
    <w:name w:val="正文文本6"/>
    <w:basedOn w:val="1"/>
    <w:link w:val="136"/>
    <w:qFormat/>
    <w:uiPriority w:val="0"/>
    <w:pPr>
      <w:widowControl/>
      <w:shd w:val="clear" w:color="auto" w:fill="FFFFFF"/>
      <w:spacing w:before="300" w:after="1260" w:line="622" w:lineRule="exact"/>
      <w:ind w:hanging="480"/>
      <w:jc w:val="left"/>
    </w:pPr>
    <w:rPr>
      <w:rFonts w:ascii="Arial Unicode MS" w:hAnsi="Arial Unicode MS" w:eastAsia="Arial Unicode MS" w:cs="Arial Unicode MS"/>
      <w:sz w:val="23"/>
      <w:szCs w:val="23"/>
    </w:rPr>
  </w:style>
  <w:style w:type="character" w:customStyle="1" w:styleId="138">
    <w:name w:val="书正文 Char"/>
    <w:link w:val="139"/>
    <w:qFormat/>
    <w:uiPriority w:val="0"/>
    <w:rPr>
      <w:rFonts w:ascii="Arial" w:hAnsi="Arial" w:cs="Arial"/>
      <w:sz w:val="24"/>
      <w:szCs w:val="24"/>
    </w:rPr>
  </w:style>
  <w:style w:type="paragraph" w:customStyle="1" w:styleId="139">
    <w:name w:val="书正文"/>
    <w:basedOn w:val="1"/>
    <w:link w:val="138"/>
    <w:qFormat/>
    <w:uiPriority w:val="0"/>
    <w:pPr>
      <w:widowControl/>
      <w:spacing w:before="60" w:line="460" w:lineRule="exact"/>
      <w:ind w:firstLine="200" w:firstLineChars="200"/>
    </w:pPr>
    <w:rPr>
      <w:rFonts w:ascii="Arial" w:hAnsi="Arial" w:cs="Arial"/>
      <w:sz w:val="24"/>
      <w:szCs w:val="24"/>
    </w:rPr>
  </w:style>
  <w:style w:type="character" w:customStyle="1" w:styleId="140">
    <w:name w:val="xl26 Char"/>
    <w:link w:val="141"/>
    <w:qFormat/>
    <w:uiPriority w:val="0"/>
    <w:rPr>
      <w:rFonts w:ascii="宋体" w:hAnsi="宋体"/>
      <w:szCs w:val="21"/>
    </w:rPr>
  </w:style>
  <w:style w:type="paragraph" w:customStyle="1" w:styleId="141">
    <w:name w:val="xl26"/>
    <w:basedOn w:val="1"/>
    <w:link w:val="140"/>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szCs w:val="21"/>
    </w:rPr>
  </w:style>
  <w:style w:type="character" w:customStyle="1" w:styleId="142">
    <w:name w:val="样式 样式 正文缩进 + 小四 首行缩进:  2 字符 + 首行缩进:  2 字符 + 首行缩进:  2 字符 Char"/>
    <w:link w:val="143"/>
    <w:qFormat/>
    <w:uiPriority w:val="0"/>
    <w:rPr>
      <w:sz w:val="24"/>
    </w:rPr>
  </w:style>
  <w:style w:type="paragraph" w:customStyle="1" w:styleId="143">
    <w:name w:val="样式 样式 正文缩进 + 小四 首行缩进:  2 字符 + 首行缩进:  2 字符 + 首行缩进:  2 字符"/>
    <w:basedOn w:val="1"/>
    <w:link w:val="142"/>
    <w:qFormat/>
    <w:uiPriority w:val="0"/>
    <w:pPr>
      <w:spacing w:line="324" w:lineRule="auto"/>
      <w:ind w:firstLine="200" w:firstLineChars="200"/>
    </w:pPr>
    <w:rPr>
      <w:sz w:val="24"/>
    </w:rPr>
  </w:style>
  <w:style w:type="character" w:customStyle="1" w:styleId="144">
    <w:name w:val="HTML 预设格式 Char"/>
    <w:link w:val="46"/>
    <w:qFormat/>
    <w:uiPriority w:val="99"/>
    <w:rPr>
      <w:rFonts w:ascii="Arial" w:hAnsi="Arial" w:cs="Arial"/>
      <w:szCs w:val="21"/>
    </w:rPr>
  </w:style>
  <w:style w:type="character" w:customStyle="1" w:styleId="145">
    <w:name w:val="HTML 预设格式 字符1"/>
    <w:basedOn w:val="58"/>
    <w:semiHidden/>
    <w:qFormat/>
    <w:uiPriority w:val="99"/>
    <w:rPr>
      <w:rFonts w:ascii="Courier New" w:hAnsi="Courier New" w:cs="Courier New"/>
      <w:sz w:val="20"/>
      <w:szCs w:val="20"/>
    </w:rPr>
  </w:style>
  <w:style w:type="character" w:customStyle="1" w:styleId="146">
    <w:name w:val="fs"/>
    <w:qFormat/>
    <w:uiPriority w:val="0"/>
  </w:style>
  <w:style w:type="character" w:customStyle="1" w:styleId="147">
    <w:name w:val="bdh2"/>
    <w:qFormat/>
    <w:uiPriority w:val="0"/>
  </w:style>
  <w:style w:type="character" w:customStyle="1" w:styleId="148">
    <w:name w:val="my-notice1"/>
    <w:basedOn w:val="58"/>
    <w:qFormat/>
    <w:uiPriority w:val="0"/>
  </w:style>
  <w:style w:type="character" w:customStyle="1" w:styleId="149">
    <w:name w:val="content_11"/>
    <w:qFormat/>
    <w:uiPriority w:val="0"/>
    <w:rPr>
      <w:color w:val="333333"/>
      <w:sz w:val="18"/>
      <w:szCs w:val="18"/>
    </w:rPr>
  </w:style>
  <w:style w:type="character" w:customStyle="1" w:styleId="150">
    <w:name w:val="bds_nopic1"/>
    <w:basedOn w:val="58"/>
    <w:qFormat/>
    <w:uiPriority w:val="0"/>
  </w:style>
  <w:style w:type="character" w:customStyle="1" w:styleId="151">
    <w:name w:val="下划线"/>
    <w:qFormat/>
    <w:uiPriority w:val="0"/>
    <w:rPr>
      <w:rFonts w:ascii="Times New Roman" w:hAnsi="Times New Roman" w:eastAsia="仿宋_GB2312"/>
      <w:b/>
      <w:sz w:val="32"/>
      <w:u w:val="single"/>
    </w:rPr>
  </w:style>
  <w:style w:type="character" w:customStyle="1" w:styleId="152">
    <w:name w:val="my-class"/>
    <w:basedOn w:val="58"/>
    <w:qFormat/>
    <w:uiPriority w:val="0"/>
  </w:style>
  <w:style w:type="character" w:customStyle="1" w:styleId="153">
    <w:name w:val="Char Char26"/>
    <w:qFormat/>
    <w:uiPriority w:val="0"/>
    <w:rPr>
      <w:rFonts w:ascii="宋体"/>
      <w:kern w:val="2"/>
      <w:sz w:val="21"/>
      <w:szCs w:val="24"/>
    </w:rPr>
  </w:style>
  <w:style w:type="character" w:customStyle="1" w:styleId="154">
    <w:name w:val="Char Char2"/>
    <w:qFormat/>
    <w:locked/>
    <w:uiPriority w:val="0"/>
    <w:rPr>
      <w:rFonts w:ascii="宋体" w:hAnsi="宋体" w:eastAsia="宋体"/>
      <w:kern w:val="2"/>
      <w:sz w:val="18"/>
      <w:szCs w:val="18"/>
      <w:lang w:val="en-US" w:eastAsia="zh-CN" w:bidi="ar-SA"/>
    </w:rPr>
  </w:style>
  <w:style w:type="character" w:customStyle="1" w:styleId="155">
    <w:name w:val="样式 (中文) 宋体 加粗"/>
    <w:qFormat/>
    <w:uiPriority w:val="0"/>
    <w:rPr>
      <w:rFonts w:hint="eastAsia" w:ascii="宋体" w:hAnsi="宋体" w:eastAsia="宋体"/>
      <w:b/>
      <w:bCs/>
      <w:sz w:val="24"/>
      <w:szCs w:val="24"/>
    </w:rPr>
  </w:style>
  <w:style w:type="character" w:customStyle="1" w:styleId="156">
    <w:name w:val="正文文本缩进 2 Char Char"/>
    <w:link w:val="157"/>
    <w:qFormat/>
    <w:uiPriority w:val="0"/>
    <w:rPr>
      <w:szCs w:val="24"/>
    </w:rPr>
  </w:style>
  <w:style w:type="paragraph" w:customStyle="1" w:styleId="157">
    <w:name w:val="正文文本缩进 21"/>
    <w:basedOn w:val="1"/>
    <w:link w:val="156"/>
    <w:qFormat/>
    <w:uiPriority w:val="0"/>
    <w:pPr>
      <w:spacing w:after="120" w:line="480" w:lineRule="auto"/>
      <w:ind w:left="420" w:leftChars="200"/>
    </w:pPr>
    <w:rPr>
      <w:szCs w:val="24"/>
    </w:rPr>
  </w:style>
  <w:style w:type="character" w:customStyle="1" w:styleId="158">
    <w:name w:val="no62"/>
    <w:basedOn w:val="58"/>
    <w:qFormat/>
    <w:uiPriority w:val="0"/>
  </w:style>
  <w:style w:type="character" w:customStyle="1" w:styleId="159">
    <w:name w:val="tip12"/>
    <w:qFormat/>
    <w:uiPriority w:val="0"/>
    <w:rPr>
      <w:vanish/>
      <w:color w:val="FF0000"/>
      <w:sz w:val="18"/>
      <w:szCs w:val="18"/>
    </w:rPr>
  </w:style>
  <w:style w:type="character" w:customStyle="1" w:styleId="160">
    <w:name w:val="fontborder"/>
    <w:qFormat/>
    <w:uiPriority w:val="0"/>
    <w:rPr>
      <w:bdr w:val="single" w:color="000000" w:sz="6" w:space="0"/>
    </w:rPr>
  </w:style>
  <w:style w:type="character" w:customStyle="1" w:styleId="161">
    <w:name w:val="my-notice"/>
    <w:basedOn w:val="58"/>
    <w:qFormat/>
    <w:uiPriority w:val="0"/>
  </w:style>
  <w:style w:type="character" w:customStyle="1" w:styleId="162">
    <w:name w:val="a"/>
    <w:basedOn w:val="58"/>
    <w:qFormat/>
    <w:uiPriority w:val="0"/>
  </w:style>
  <w:style w:type="character" w:customStyle="1" w:styleId="163">
    <w:name w:val="bds_more2"/>
    <w:basedOn w:val="58"/>
    <w:qFormat/>
    <w:uiPriority w:val="0"/>
  </w:style>
  <w:style w:type="character" w:customStyle="1" w:styleId="164">
    <w:name w:val="Char Char1 Char Char Char Char Char Char Char Char Char Char Char Char Char Char Char Char Char Char Char Char1 Char Char"/>
    <w:link w:val="165"/>
    <w:qFormat/>
    <w:uiPriority w:val="0"/>
    <w:rPr>
      <w:rFonts w:ascii="宋体" w:hAnsi="宋体" w:eastAsia="宋体" w:cs="宋体"/>
      <w:sz w:val="24"/>
      <w:szCs w:val="24"/>
    </w:rPr>
  </w:style>
  <w:style w:type="paragraph" w:customStyle="1" w:styleId="165">
    <w:name w:val="Char Char1 Char Char Char Char Char Char Char Char Char Char Char Char Char Char Char Char Char Char Char Char1 Char"/>
    <w:basedOn w:val="1"/>
    <w:link w:val="164"/>
    <w:qFormat/>
    <w:uiPriority w:val="0"/>
    <w:pPr>
      <w:spacing w:line="360" w:lineRule="auto"/>
      <w:ind w:firstLine="200" w:firstLineChars="200"/>
    </w:pPr>
    <w:rPr>
      <w:rFonts w:ascii="宋体" w:hAnsi="宋体" w:eastAsia="宋体" w:cs="宋体"/>
      <w:sz w:val="24"/>
      <w:szCs w:val="24"/>
    </w:rPr>
  </w:style>
  <w:style w:type="character" w:customStyle="1" w:styleId="166">
    <w:name w:val="正文文字1 Char1"/>
    <w:qFormat/>
    <w:uiPriority w:val="0"/>
    <w:rPr>
      <w:rFonts w:eastAsia="宋体"/>
      <w:kern w:val="2"/>
      <w:sz w:val="21"/>
      <w:szCs w:val="24"/>
      <w:lang w:val="en-US" w:eastAsia="zh-CN" w:bidi="ar-SA"/>
    </w:rPr>
  </w:style>
  <w:style w:type="character" w:customStyle="1" w:styleId="167">
    <w:name w:val="正文文本缩进 3 Char1"/>
    <w:semiHidden/>
    <w:qFormat/>
    <w:uiPriority w:val="0"/>
    <w:rPr>
      <w:kern w:val="2"/>
      <w:sz w:val="16"/>
      <w:szCs w:val="16"/>
    </w:rPr>
  </w:style>
  <w:style w:type="character" w:customStyle="1" w:styleId="168">
    <w:name w:val="t-14"/>
    <w:qFormat/>
    <w:uiPriority w:val="0"/>
    <w:rPr>
      <w:rFonts w:cs="Times New Roman"/>
    </w:rPr>
  </w:style>
  <w:style w:type="character" w:customStyle="1" w:styleId="169">
    <w:name w:val="日期 Char1"/>
    <w:qFormat/>
    <w:uiPriority w:val="0"/>
    <w:rPr>
      <w:kern w:val="2"/>
      <w:sz w:val="21"/>
      <w:szCs w:val="24"/>
    </w:rPr>
  </w:style>
  <w:style w:type="character" w:customStyle="1" w:styleId="170">
    <w:name w:val="Char Char1 Char Char Char Char Char Char Char Char Char Char Char Char Char Char Char Char Char Char Char Char1 Char Char Char"/>
    <w:qFormat/>
    <w:uiPriority w:val="0"/>
    <w:rPr>
      <w:rFonts w:ascii="宋体" w:hAnsi="宋体" w:eastAsia="宋体" w:cs="宋体"/>
      <w:kern w:val="2"/>
      <w:sz w:val="24"/>
      <w:szCs w:val="24"/>
      <w:lang w:val="en-US" w:eastAsia="zh-CN" w:bidi="ar-SA"/>
    </w:rPr>
  </w:style>
  <w:style w:type="character" w:customStyle="1" w:styleId="171">
    <w:name w:val="no72"/>
    <w:basedOn w:val="58"/>
    <w:qFormat/>
    <w:uiPriority w:val="0"/>
  </w:style>
  <w:style w:type="character" w:customStyle="1" w:styleId="172">
    <w:name w:val="标题 Char1"/>
    <w:qFormat/>
    <w:uiPriority w:val="0"/>
    <w:rPr>
      <w:rFonts w:ascii="Cambria" w:hAnsi="Cambria" w:cs="Times New Roman"/>
      <w:b/>
      <w:bCs/>
      <w:kern w:val="2"/>
      <w:sz w:val="32"/>
      <w:szCs w:val="32"/>
    </w:rPr>
  </w:style>
  <w:style w:type="character" w:customStyle="1" w:styleId="173">
    <w:name w:val="company-content"/>
    <w:basedOn w:val="58"/>
    <w:qFormat/>
    <w:uiPriority w:val="0"/>
  </w:style>
  <w:style w:type="character" w:customStyle="1" w:styleId="174">
    <w:name w:val="正文文本缩进 2 Char1"/>
    <w:semiHidden/>
    <w:qFormat/>
    <w:uiPriority w:val="0"/>
    <w:rPr>
      <w:kern w:val="2"/>
      <w:sz w:val="21"/>
      <w:szCs w:val="24"/>
    </w:rPr>
  </w:style>
  <w:style w:type="character" w:customStyle="1" w:styleId="175">
    <w:name w:val="正文文本缩进 Char1"/>
    <w:qFormat/>
    <w:uiPriority w:val="0"/>
    <w:rPr>
      <w:kern w:val="2"/>
      <w:sz w:val="21"/>
      <w:szCs w:val="24"/>
    </w:rPr>
  </w:style>
  <w:style w:type="character" w:customStyle="1" w:styleId="176">
    <w:name w:val="无页眉 Char1"/>
    <w:qFormat/>
    <w:locked/>
    <w:uiPriority w:val="0"/>
    <w:rPr>
      <w:sz w:val="18"/>
      <w:szCs w:val="18"/>
    </w:rPr>
  </w:style>
  <w:style w:type="character" w:customStyle="1" w:styleId="177">
    <w:name w:val="ziti21"/>
    <w:qFormat/>
    <w:uiPriority w:val="0"/>
  </w:style>
  <w:style w:type="character" w:customStyle="1" w:styleId="178">
    <w:name w:val="无页眉 Char2"/>
    <w:qFormat/>
    <w:uiPriority w:val="0"/>
    <w:rPr>
      <w:kern w:val="2"/>
      <w:sz w:val="18"/>
      <w:szCs w:val="18"/>
    </w:rPr>
  </w:style>
  <w:style w:type="character" w:customStyle="1" w:styleId="179">
    <w:name w:val="表内容 Char"/>
    <w:link w:val="180"/>
    <w:qFormat/>
    <w:uiPriority w:val="0"/>
    <w:rPr>
      <w:rFonts w:ascii="宋体" w:hAnsi="宋体" w:eastAsia="宋体"/>
      <w:snapToGrid w:val="0"/>
    </w:rPr>
  </w:style>
  <w:style w:type="paragraph" w:customStyle="1" w:styleId="180">
    <w:name w:val="表内容"/>
    <w:basedOn w:val="1"/>
    <w:link w:val="179"/>
    <w:qFormat/>
    <w:uiPriority w:val="0"/>
    <w:pPr>
      <w:spacing w:line="200" w:lineRule="atLeast"/>
      <w:jc w:val="center"/>
    </w:pPr>
    <w:rPr>
      <w:rFonts w:ascii="宋体" w:hAnsi="宋体" w:eastAsia="宋体"/>
      <w:snapToGrid w:val="0"/>
    </w:rPr>
  </w:style>
  <w:style w:type="character" w:customStyle="1" w:styleId="181">
    <w:name w:val="样式 正文001 + 首行缩进:  2 字符 Char Char Char Char"/>
    <w:qFormat/>
    <w:uiPriority w:val="0"/>
    <w:rPr>
      <w:rFonts w:eastAsia="宋体" w:cs="宋体"/>
      <w:kern w:val="2"/>
      <w:sz w:val="24"/>
      <w:lang w:val="en-US" w:eastAsia="zh-CN" w:bidi="ar-SA"/>
    </w:rPr>
  </w:style>
  <w:style w:type="character" w:customStyle="1" w:styleId="182">
    <w:name w:val="style101"/>
    <w:qFormat/>
    <w:uiPriority w:val="0"/>
    <w:rPr>
      <w:color w:val="000000"/>
    </w:rPr>
  </w:style>
  <w:style w:type="character" w:customStyle="1" w:styleId="183">
    <w:name w:val="正文01 Char3"/>
    <w:qFormat/>
    <w:uiPriority w:val="0"/>
    <w:rPr>
      <w:rFonts w:eastAsia="宋体"/>
      <w:bCs/>
      <w:kern w:val="2"/>
      <w:sz w:val="24"/>
      <w:szCs w:val="24"/>
      <w:lang w:val="en-US" w:eastAsia="zh-CN" w:bidi="ar-SA"/>
    </w:rPr>
  </w:style>
  <w:style w:type="character" w:customStyle="1" w:styleId="184">
    <w:name w:val="Char Char3"/>
    <w:qFormat/>
    <w:locked/>
    <w:uiPriority w:val="0"/>
    <w:rPr>
      <w:rFonts w:eastAsia="宋体"/>
      <w:kern w:val="2"/>
      <w:sz w:val="18"/>
      <w:szCs w:val="18"/>
      <w:lang w:val="en-US" w:eastAsia="zh-CN" w:bidi="ar-SA"/>
    </w:rPr>
  </w:style>
  <w:style w:type="character" w:customStyle="1" w:styleId="185">
    <w:name w:val="正文首行缩进 Char"/>
    <w:link w:val="50"/>
    <w:qFormat/>
    <w:uiPriority w:val="0"/>
    <w:rPr>
      <w:rFonts w:ascii="Arial" w:hAnsi="Arial" w:eastAsia="宋体"/>
      <w:sz w:val="24"/>
      <w:szCs w:val="24"/>
    </w:rPr>
  </w:style>
  <w:style w:type="character" w:customStyle="1" w:styleId="186">
    <w:name w:val="正文文本首行缩进 字符1"/>
    <w:basedOn w:val="102"/>
    <w:semiHidden/>
    <w:qFormat/>
    <w:uiPriority w:val="99"/>
    <w:rPr>
      <w:rFonts w:ascii="Times New Roman" w:hAnsi="Times New Roman" w:eastAsia="宋体" w:cs="Times New Roman"/>
      <w:szCs w:val="20"/>
    </w:rPr>
  </w:style>
  <w:style w:type="character" w:customStyle="1" w:styleId="187">
    <w:name w:val="个人正文1 Char"/>
    <w:link w:val="188"/>
    <w:qFormat/>
    <w:uiPriority w:val="0"/>
    <w:rPr>
      <w:rFonts w:ascii="宋体" w:hAnsi="宋体" w:eastAsia="宋体"/>
      <w:sz w:val="24"/>
      <w:szCs w:val="24"/>
    </w:rPr>
  </w:style>
  <w:style w:type="paragraph" w:customStyle="1" w:styleId="188">
    <w:name w:val="个人正文1"/>
    <w:basedOn w:val="1"/>
    <w:link w:val="187"/>
    <w:qFormat/>
    <w:uiPriority w:val="0"/>
    <w:pPr>
      <w:spacing w:line="360" w:lineRule="auto"/>
      <w:ind w:firstLine="200" w:firstLineChars="200"/>
    </w:pPr>
    <w:rPr>
      <w:rFonts w:ascii="宋体" w:hAnsi="宋体" w:eastAsia="宋体"/>
      <w:sz w:val="24"/>
      <w:szCs w:val="24"/>
    </w:rPr>
  </w:style>
  <w:style w:type="character" w:customStyle="1" w:styleId="189">
    <w:name w:val="hrefstyle"/>
    <w:qFormat/>
    <w:uiPriority w:val="0"/>
  </w:style>
  <w:style w:type="character" w:customStyle="1" w:styleId="190">
    <w:name w:val="批注框文本 Char1"/>
    <w:semiHidden/>
    <w:qFormat/>
    <w:uiPriority w:val="0"/>
    <w:rPr>
      <w:rFonts w:eastAsia="宋体" w:cs="Times New Roman"/>
      <w:kern w:val="2"/>
      <w:sz w:val="18"/>
      <w:szCs w:val="18"/>
    </w:rPr>
  </w:style>
  <w:style w:type="character" w:customStyle="1" w:styleId="191">
    <w:name w:val="题注 Char"/>
    <w:link w:val="16"/>
    <w:qFormat/>
    <w:uiPriority w:val="0"/>
    <w:rPr>
      <w:rFonts w:ascii="Arial" w:hAnsi="Arial" w:eastAsia="黑体" w:cs="Arial"/>
    </w:rPr>
  </w:style>
  <w:style w:type="character" w:customStyle="1" w:styleId="192">
    <w:name w:val="样式1 Char Char"/>
    <w:qFormat/>
    <w:uiPriority w:val="0"/>
    <w:rPr>
      <w:rFonts w:eastAsia="宋体"/>
      <w:kern w:val="2"/>
      <w:sz w:val="24"/>
      <w:szCs w:val="24"/>
      <w:lang w:val="en-US" w:eastAsia="zh-CN" w:bidi="ar-SA"/>
    </w:rPr>
  </w:style>
  <w:style w:type="character" w:customStyle="1" w:styleId="193">
    <w:name w:val="表格正文 Char1"/>
    <w:qFormat/>
    <w:uiPriority w:val="0"/>
    <w:rPr>
      <w:rFonts w:eastAsia="宋体"/>
      <w:kern w:val="2"/>
      <w:sz w:val="21"/>
      <w:szCs w:val="24"/>
      <w:lang w:val="en-US" w:eastAsia="zh-CN" w:bidi="ar-SA"/>
    </w:rPr>
  </w:style>
  <w:style w:type="character" w:customStyle="1" w:styleId="194">
    <w:name w:val="bds_more1"/>
    <w:qFormat/>
    <w:uiPriority w:val="0"/>
    <w:rPr>
      <w:rFonts w:hint="eastAsia" w:ascii="宋体" w:hAnsi="宋体" w:eastAsia="宋体" w:cs="宋体"/>
    </w:rPr>
  </w:style>
  <w:style w:type="character" w:customStyle="1" w:styleId="195">
    <w:name w:val="2级标题 Char"/>
    <w:link w:val="196"/>
    <w:qFormat/>
    <w:uiPriority w:val="0"/>
    <w:rPr>
      <w:rFonts w:eastAsia="宋体"/>
      <w:b/>
      <w:bCs/>
      <w:sz w:val="28"/>
      <w:szCs w:val="28"/>
    </w:rPr>
  </w:style>
  <w:style w:type="paragraph" w:customStyle="1" w:styleId="196">
    <w:name w:val="2级标题"/>
    <w:basedOn w:val="1"/>
    <w:link w:val="195"/>
    <w:qFormat/>
    <w:uiPriority w:val="0"/>
    <w:pPr>
      <w:spacing w:before="120" w:line="460" w:lineRule="exact"/>
      <w:outlineLvl w:val="1"/>
    </w:pPr>
    <w:rPr>
      <w:rFonts w:eastAsia="宋体"/>
      <w:b/>
      <w:bCs/>
      <w:sz w:val="28"/>
      <w:szCs w:val="28"/>
    </w:rPr>
  </w:style>
  <w:style w:type="character" w:customStyle="1" w:styleId="197">
    <w:name w:val="bds_more"/>
    <w:basedOn w:val="58"/>
    <w:qFormat/>
    <w:uiPriority w:val="0"/>
  </w:style>
  <w:style w:type="character" w:customStyle="1" w:styleId="198">
    <w:name w:val="标题 6 Char1"/>
    <w:semiHidden/>
    <w:qFormat/>
    <w:uiPriority w:val="0"/>
    <w:rPr>
      <w:rFonts w:ascii="Cambria" w:hAnsi="Cambria" w:eastAsia="宋体" w:cs="Times New Roman"/>
      <w:b/>
      <w:bCs/>
      <w:kern w:val="2"/>
      <w:sz w:val="24"/>
      <w:szCs w:val="24"/>
    </w:rPr>
  </w:style>
  <w:style w:type="character" w:customStyle="1" w:styleId="199">
    <w:name w:val="标题 9 Char1"/>
    <w:semiHidden/>
    <w:qFormat/>
    <w:uiPriority w:val="0"/>
    <w:rPr>
      <w:rFonts w:ascii="Cambria" w:hAnsi="Cambria" w:eastAsia="宋体" w:cs="Times New Roman"/>
      <w:kern w:val="2"/>
      <w:sz w:val="21"/>
      <w:szCs w:val="21"/>
    </w:rPr>
  </w:style>
  <w:style w:type="character" w:customStyle="1" w:styleId="200">
    <w:name w:val="正文1 Char Char"/>
    <w:qFormat/>
    <w:uiPriority w:val="0"/>
    <w:rPr>
      <w:rFonts w:ascii="Times New Roman" w:hAnsi="Times New Roman"/>
      <w:color w:val="000000"/>
      <w:sz w:val="24"/>
    </w:rPr>
  </w:style>
  <w:style w:type="character" w:customStyle="1" w:styleId="201">
    <w:name w:val="表内 Char"/>
    <w:link w:val="202"/>
    <w:qFormat/>
    <w:uiPriority w:val="0"/>
    <w:rPr>
      <w:rFonts w:eastAsia="仿宋_GB2312"/>
      <w:szCs w:val="24"/>
    </w:rPr>
  </w:style>
  <w:style w:type="paragraph" w:customStyle="1" w:styleId="202">
    <w:name w:val="表内"/>
    <w:basedOn w:val="1"/>
    <w:link w:val="201"/>
    <w:qFormat/>
    <w:uiPriority w:val="0"/>
    <w:pPr>
      <w:jc w:val="center"/>
    </w:pPr>
    <w:rPr>
      <w:rFonts w:eastAsia="仿宋_GB2312"/>
      <w:szCs w:val="24"/>
    </w:rPr>
  </w:style>
  <w:style w:type="character" w:customStyle="1" w:styleId="203">
    <w:name w:val="李发荣个人正文 Char"/>
    <w:link w:val="204"/>
    <w:qFormat/>
    <w:uiPriority w:val="0"/>
    <w:rPr>
      <w:rFonts w:ascii="宋体" w:hAnsi="宋体" w:eastAsia="宋体"/>
      <w:sz w:val="24"/>
      <w:szCs w:val="24"/>
    </w:rPr>
  </w:style>
  <w:style w:type="paragraph" w:customStyle="1" w:styleId="204">
    <w:name w:val="李发荣个人正文"/>
    <w:basedOn w:val="1"/>
    <w:next w:val="1"/>
    <w:link w:val="203"/>
    <w:qFormat/>
    <w:uiPriority w:val="0"/>
    <w:pPr>
      <w:spacing w:line="360" w:lineRule="auto"/>
      <w:ind w:firstLine="504" w:firstLineChars="200"/>
    </w:pPr>
    <w:rPr>
      <w:rFonts w:ascii="宋体" w:hAnsi="宋体" w:eastAsia="宋体"/>
      <w:sz w:val="24"/>
      <w:szCs w:val="24"/>
    </w:rPr>
  </w:style>
  <w:style w:type="character" w:customStyle="1" w:styleId="205">
    <w:name w:val="ico-jiang1"/>
    <w:basedOn w:val="58"/>
    <w:qFormat/>
    <w:uiPriority w:val="0"/>
  </w:style>
  <w:style w:type="character" w:customStyle="1" w:styleId="206">
    <w:name w:val="三级标题 Char Char"/>
    <w:qFormat/>
    <w:uiPriority w:val="0"/>
    <w:rPr>
      <w:rFonts w:eastAsia="宋体"/>
      <w:b/>
      <w:kern w:val="2"/>
      <w:sz w:val="24"/>
      <w:szCs w:val="24"/>
      <w:lang w:val="en-US" w:eastAsia="zh-CN" w:bidi="ar-SA"/>
    </w:rPr>
  </w:style>
  <w:style w:type="character" w:customStyle="1" w:styleId="207">
    <w:name w:val="ico-jiang"/>
    <w:basedOn w:val="58"/>
    <w:qFormat/>
    <w:uiPriority w:val="0"/>
  </w:style>
  <w:style w:type="character" w:customStyle="1" w:styleId="208">
    <w:name w:val="标题 7 Char1"/>
    <w:semiHidden/>
    <w:qFormat/>
    <w:uiPriority w:val="0"/>
    <w:rPr>
      <w:rFonts w:eastAsia="宋体" w:cs="Times New Roman"/>
      <w:b/>
      <w:bCs/>
      <w:kern w:val="2"/>
      <w:sz w:val="24"/>
      <w:szCs w:val="24"/>
    </w:rPr>
  </w:style>
  <w:style w:type="character" w:customStyle="1" w:styleId="209">
    <w:name w:val="报告正文 Char Char Char"/>
    <w:qFormat/>
    <w:uiPriority w:val="0"/>
    <w:rPr>
      <w:rFonts w:eastAsia="宋体" w:cs="宋体"/>
      <w:snapToGrid w:val="0"/>
      <w:kern w:val="24"/>
      <w:sz w:val="24"/>
      <w:szCs w:val="21"/>
      <w:lang w:val="en-US" w:eastAsia="zh-CN" w:bidi="ar-SA"/>
    </w:rPr>
  </w:style>
  <w:style w:type="character" w:customStyle="1" w:styleId="210">
    <w:name w:val="f-star"/>
    <w:qFormat/>
    <w:uiPriority w:val="0"/>
    <w:rPr>
      <w:color w:val="999999"/>
      <w:sz w:val="21"/>
      <w:szCs w:val="21"/>
    </w:rPr>
  </w:style>
  <w:style w:type="character" w:customStyle="1" w:styleId="211">
    <w:name w:val="标题 4 Char1"/>
    <w:semiHidden/>
    <w:qFormat/>
    <w:uiPriority w:val="0"/>
    <w:rPr>
      <w:rFonts w:ascii="Cambria" w:hAnsi="Cambria" w:eastAsia="宋体" w:cs="Times New Roman"/>
      <w:b/>
      <w:bCs/>
      <w:kern w:val="2"/>
      <w:sz w:val="28"/>
      <w:szCs w:val="28"/>
    </w:rPr>
  </w:style>
  <w:style w:type="character" w:customStyle="1" w:styleId="212">
    <w:name w:val="Char Char12"/>
    <w:qFormat/>
    <w:uiPriority w:val="0"/>
    <w:rPr>
      <w:rFonts w:eastAsia="宋体"/>
      <w:kern w:val="2"/>
      <w:sz w:val="21"/>
      <w:szCs w:val="24"/>
      <w:lang w:val="en-US" w:eastAsia="zh-CN" w:bidi="ar-SA"/>
    </w:rPr>
  </w:style>
  <w:style w:type="character" w:customStyle="1" w:styleId="213">
    <w:name w:val="标题 1 Char1"/>
    <w:qFormat/>
    <w:uiPriority w:val="0"/>
    <w:rPr>
      <w:rFonts w:eastAsia="宋体"/>
      <w:b/>
      <w:bCs/>
      <w:kern w:val="44"/>
      <w:sz w:val="44"/>
      <w:szCs w:val="44"/>
      <w:lang w:val="en-US" w:eastAsia="zh-CN" w:bidi="ar-SA"/>
    </w:rPr>
  </w:style>
  <w:style w:type="character" w:customStyle="1" w:styleId="214">
    <w:name w:val="正文缩进 Char3"/>
    <w:qFormat/>
    <w:uiPriority w:val="0"/>
    <w:rPr>
      <w:rFonts w:ascii="宋体" w:hAnsi="宋体"/>
      <w:kern w:val="2"/>
      <w:sz w:val="24"/>
    </w:rPr>
  </w:style>
  <w:style w:type="character" w:customStyle="1" w:styleId="215">
    <w:name w:val="普通(网站) 字符1"/>
    <w:qFormat/>
    <w:uiPriority w:val="0"/>
    <w:rPr>
      <w:rFonts w:ascii="宋体" w:hAnsi="宋体"/>
      <w:color w:val="000000"/>
      <w:sz w:val="24"/>
      <w:szCs w:val="24"/>
    </w:rPr>
  </w:style>
  <w:style w:type="character" w:customStyle="1" w:styleId="216">
    <w:name w:val="3级标题 Char"/>
    <w:link w:val="217"/>
    <w:qFormat/>
    <w:uiPriority w:val="0"/>
    <w:rPr>
      <w:b/>
      <w:sz w:val="24"/>
      <w:szCs w:val="24"/>
    </w:rPr>
  </w:style>
  <w:style w:type="paragraph" w:customStyle="1" w:styleId="217">
    <w:name w:val="3级标题"/>
    <w:basedOn w:val="1"/>
    <w:link w:val="216"/>
    <w:qFormat/>
    <w:uiPriority w:val="0"/>
    <w:pPr>
      <w:spacing w:before="120" w:line="460" w:lineRule="exact"/>
      <w:outlineLvl w:val="2"/>
    </w:pPr>
    <w:rPr>
      <w:b/>
      <w:sz w:val="24"/>
      <w:szCs w:val="24"/>
    </w:rPr>
  </w:style>
  <w:style w:type="character" w:customStyle="1" w:styleId="218">
    <w:name w:val="标题2 Char Char"/>
    <w:qFormat/>
    <w:uiPriority w:val="0"/>
    <w:rPr>
      <w:rFonts w:ascii="Arial" w:hAnsi="Arial" w:eastAsia="宋体"/>
      <w:b/>
      <w:bCs/>
      <w:kern w:val="2"/>
      <w:sz w:val="28"/>
      <w:szCs w:val="32"/>
      <w:lang w:val="en-US" w:eastAsia="zh-CN" w:bidi="ar-SA"/>
    </w:rPr>
  </w:style>
  <w:style w:type="character" w:customStyle="1" w:styleId="219">
    <w:name w:val="my Char"/>
    <w:link w:val="220"/>
    <w:qFormat/>
    <w:uiPriority w:val="0"/>
    <w:rPr>
      <w:sz w:val="24"/>
    </w:rPr>
  </w:style>
  <w:style w:type="paragraph" w:customStyle="1" w:styleId="220">
    <w:name w:val="my"/>
    <w:link w:val="219"/>
    <w:qFormat/>
    <w:uiPriority w:val="0"/>
    <w:pPr>
      <w:widowControl w:val="0"/>
      <w:spacing w:before="60" w:line="460" w:lineRule="exact"/>
      <w:ind w:firstLine="200" w:firstLineChars="200"/>
    </w:pPr>
    <w:rPr>
      <w:rFonts w:asciiTheme="minorHAnsi" w:hAnsiTheme="minorHAnsi" w:eastAsiaTheme="minorEastAsia" w:cstheme="minorBidi"/>
      <w:kern w:val="2"/>
      <w:sz w:val="24"/>
      <w:szCs w:val="22"/>
      <w:lang w:val="en-US" w:eastAsia="zh-CN" w:bidi="ar-SA"/>
    </w:rPr>
  </w:style>
  <w:style w:type="character" w:customStyle="1" w:styleId="221">
    <w:name w:val="Char Char14"/>
    <w:semiHidden/>
    <w:qFormat/>
    <w:uiPriority w:val="0"/>
    <w:rPr>
      <w:rFonts w:ascii="宋体"/>
      <w:kern w:val="2"/>
      <w:sz w:val="18"/>
      <w:szCs w:val="18"/>
    </w:rPr>
  </w:style>
  <w:style w:type="character" w:customStyle="1" w:styleId="222">
    <w:name w:val="表头 Char"/>
    <w:qFormat/>
    <w:uiPriority w:val="0"/>
    <w:rPr>
      <w:rFonts w:ascii="Times" w:eastAsia="宋体"/>
      <w:b/>
      <w:kern w:val="2"/>
      <w:sz w:val="21"/>
      <w:szCs w:val="21"/>
      <w:lang w:val="en-US" w:eastAsia="zh-CN" w:bidi="ar-SA"/>
    </w:rPr>
  </w:style>
  <w:style w:type="character" w:customStyle="1" w:styleId="223">
    <w:name w:val="表格文字2 Char"/>
    <w:link w:val="224"/>
    <w:qFormat/>
    <w:uiPriority w:val="0"/>
    <w:rPr>
      <w:rFonts w:eastAsia="宋体"/>
      <w:szCs w:val="21"/>
    </w:rPr>
  </w:style>
  <w:style w:type="paragraph" w:customStyle="1" w:styleId="224">
    <w:name w:val="表格文字2"/>
    <w:basedOn w:val="1"/>
    <w:link w:val="223"/>
    <w:qFormat/>
    <w:uiPriority w:val="0"/>
    <w:pPr>
      <w:tabs>
        <w:tab w:val="left" w:pos="277"/>
        <w:tab w:val="left" w:pos="600"/>
        <w:tab w:val="left" w:pos="780"/>
        <w:tab w:val="left" w:pos="2517"/>
      </w:tabs>
      <w:adjustRightInd w:val="0"/>
      <w:spacing w:before="60"/>
      <w:jc w:val="center"/>
      <w:textAlignment w:val="baseline"/>
    </w:pPr>
    <w:rPr>
      <w:rFonts w:eastAsia="宋体"/>
      <w:szCs w:val="21"/>
    </w:rPr>
  </w:style>
  <w:style w:type="character" w:customStyle="1" w:styleId="225">
    <w:name w:val="超级链接"/>
    <w:qFormat/>
    <w:uiPriority w:val="0"/>
    <w:rPr>
      <w:rFonts w:ascii="Times New Roman" w:eastAsia="宋体"/>
      <w:color w:val="0000FF"/>
      <w:spacing w:val="0"/>
      <w:w w:val="100"/>
      <w:sz w:val="21"/>
      <w:u w:val="single" w:color="0000FF"/>
      <w:vertAlign w:val="baseline"/>
      <w:lang w:val="en-US" w:eastAsia="zh-CN"/>
    </w:rPr>
  </w:style>
  <w:style w:type="character" w:customStyle="1" w:styleId="226">
    <w:name w:val="Char Char17"/>
    <w:qFormat/>
    <w:uiPriority w:val="0"/>
    <w:rPr>
      <w:rFonts w:eastAsia="宋体"/>
      <w:kern w:val="2"/>
      <w:sz w:val="21"/>
      <w:szCs w:val="24"/>
      <w:lang w:val="en-US" w:eastAsia="zh-CN" w:bidi="ar-SA"/>
    </w:rPr>
  </w:style>
  <w:style w:type="character" w:customStyle="1" w:styleId="227">
    <w:name w:val="t_tag"/>
    <w:basedOn w:val="58"/>
    <w:qFormat/>
    <w:uiPriority w:val="0"/>
  </w:style>
  <w:style w:type="character" w:customStyle="1" w:styleId="228">
    <w:name w:val="正文001 Char"/>
    <w:qFormat/>
    <w:uiPriority w:val="0"/>
    <w:rPr>
      <w:rFonts w:eastAsia="宋体"/>
      <w:kern w:val="2"/>
      <w:sz w:val="24"/>
      <w:lang w:val="en-US" w:eastAsia="zh-CN" w:bidi="ar-SA"/>
    </w:rPr>
  </w:style>
  <w:style w:type="character" w:customStyle="1" w:styleId="229">
    <w:name w:val="font201"/>
    <w:qFormat/>
    <w:uiPriority w:val="0"/>
  </w:style>
  <w:style w:type="character" w:customStyle="1" w:styleId="230">
    <w:name w:val="标题 2 Char Char"/>
    <w:qFormat/>
    <w:uiPriority w:val="0"/>
    <w:rPr>
      <w:rFonts w:ascii="Arial" w:hAnsi="Arial" w:eastAsia="黑体" w:cs="Times New Roman"/>
      <w:b/>
      <w:sz w:val="32"/>
      <w:szCs w:val="20"/>
    </w:rPr>
  </w:style>
  <w:style w:type="character" w:customStyle="1" w:styleId="231">
    <w:name w:val="unnamed1"/>
    <w:qFormat/>
    <w:uiPriority w:val="0"/>
  </w:style>
  <w:style w:type="character" w:customStyle="1" w:styleId="232">
    <w:name w:val="三级标题 Char"/>
    <w:link w:val="233"/>
    <w:qFormat/>
    <w:uiPriority w:val="0"/>
    <w:rPr>
      <w:rFonts w:eastAsia="宋体"/>
      <w:b/>
      <w:sz w:val="24"/>
    </w:rPr>
  </w:style>
  <w:style w:type="paragraph" w:customStyle="1" w:styleId="233">
    <w:name w:val="三级标题"/>
    <w:basedOn w:val="1"/>
    <w:link w:val="232"/>
    <w:qFormat/>
    <w:uiPriority w:val="0"/>
    <w:pPr>
      <w:spacing w:before="300" w:line="460" w:lineRule="exact"/>
      <w:outlineLvl w:val="2"/>
    </w:pPr>
    <w:rPr>
      <w:rFonts w:eastAsia="宋体"/>
      <w:b/>
      <w:sz w:val="24"/>
    </w:rPr>
  </w:style>
  <w:style w:type="character" w:customStyle="1" w:styleId="234">
    <w:name w:val="正文001 Char1"/>
    <w:link w:val="235"/>
    <w:qFormat/>
    <w:uiPriority w:val="0"/>
    <w:rPr>
      <w:rFonts w:eastAsia="宋体"/>
      <w:sz w:val="24"/>
    </w:rPr>
  </w:style>
  <w:style w:type="paragraph" w:customStyle="1" w:styleId="235">
    <w:name w:val="正文001"/>
    <w:basedOn w:val="1"/>
    <w:link w:val="234"/>
    <w:qFormat/>
    <w:uiPriority w:val="0"/>
    <w:pPr>
      <w:spacing w:before="60" w:line="460" w:lineRule="exact"/>
      <w:ind w:firstLine="482"/>
    </w:pPr>
    <w:rPr>
      <w:rFonts w:eastAsia="宋体"/>
      <w:sz w:val="24"/>
    </w:rPr>
  </w:style>
  <w:style w:type="character" w:customStyle="1" w:styleId="236">
    <w:name w:val="xl24 Char Char"/>
    <w:link w:val="237"/>
    <w:qFormat/>
    <w:uiPriority w:val="0"/>
    <w:rPr>
      <w:szCs w:val="21"/>
    </w:rPr>
  </w:style>
  <w:style w:type="paragraph" w:customStyle="1" w:styleId="237">
    <w:name w:val="xl24 Char"/>
    <w:basedOn w:val="1"/>
    <w:link w:val="236"/>
    <w:qFormat/>
    <w:uiPriority w:val="0"/>
    <w:pPr>
      <w:widowControl/>
      <w:pBdr>
        <w:left w:val="single" w:color="auto" w:sz="4" w:space="0"/>
        <w:right w:val="single" w:color="auto" w:sz="4" w:space="0"/>
      </w:pBdr>
      <w:spacing w:before="100" w:beforeAutospacing="1" w:after="100" w:afterAutospacing="1"/>
      <w:jc w:val="center"/>
    </w:pPr>
    <w:rPr>
      <w:szCs w:val="21"/>
    </w:rPr>
  </w:style>
  <w:style w:type="character" w:customStyle="1" w:styleId="238">
    <w:name w:val="样式 标题 3 + 四号 Char Char Char Char Char Char Char Char Char Char Char Char Char Char Char Char Char Char Char Char Char Char Char Char Char Char Char Char Char Char Char Char Char Char Char Char Char"/>
    <w:qFormat/>
    <w:uiPriority w:val="0"/>
    <w:rPr>
      <w:rFonts w:eastAsia="仿宋_GB2312"/>
      <w:b/>
      <w:bCs/>
      <w:kern w:val="2"/>
      <w:sz w:val="24"/>
      <w:szCs w:val="24"/>
      <w:lang w:val="en-US" w:eastAsia="zh-CN" w:bidi="ar-SA"/>
    </w:rPr>
  </w:style>
  <w:style w:type="character" w:customStyle="1" w:styleId="239">
    <w:name w:val="纯文本 Char2"/>
    <w:link w:val="26"/>
    <w:qFormat/>
    <w:uiPriority w:val="0"/>
    <w:rPr>
      <w:rFonts w:ascii="宋体" w:hAnsi="Courier New" w:eastAsia="宋体"/>
    </w:rPr>
  </w:style>
  <w:style w:type="character" w:customStyle="1" w:styleId="240">
    <w:name w:val="纯文本 字符1"/>
    <w:basedOn w:val="58"/>
    <w:semiHidden/>
    <w:qFormat/>
    <w:uiPriority w:val="99"/>
    <w:rPr>
      <w:rFonts w:hAnsi="Courier New" w:cs="Courier New" w:asciiTheme="minorEastAsia"/>
    </w:rPr>
  </w:style>
  <w:style w:type="character" w:customStyle="1" w:styleId="241">
    <w:name w:val="正文文本缩进 Char3"/>
    <w:link w:val="21"/>
    <w:qFormat/>
    <w:uiPriority w:val="0"/>
    <w:rPr>
      <w:rFonts w:ascii="宋体"/>
      <w:sz w:val="24"/>
    </w:rPr>
  </w:style>
  <w:style w:type="character" w:customStyle="1" w:styleId="242">
    <w:name w:val="正文文本缩进 字符1"/>
    <w:basedOn w:val="58"/>
    <w:semiHidden/>
    <w:qFormat/>
    <w:uiPriority w:val="99"/>
  </w:style>
  <w:style w:type="character" w:customStyle="1" w:styleId="243">
    <w:name w:val="3zw"/>
    <w:basedOn w:val="58"/>
    <w:qFormat/>
    <w:uiPriority w:val="0"/>
  </w:style>
  <w:style w:type="character" w:customStyle="1" w:styleId="244">
    <w:name w:val="font_14_001"/>
    <w:qFormat/>
    <w:uiPriority w:val="0"/>
    <w:rPr>
      <w:color w:val="000000"/>
      <w:sz w:val="21"/>
      <w:szCs w:val="21"/>
    </w:rPr>
  </w:style>
  <w:style w:type="character" w:customStyle="1" w:styleId="245">
    <w:name w:val="样式 正文001 + 首行缩进:  2 字符1 Char1"/>
    <w:link w:val="246"/>
    <w:qFormat/>
    <w:uiPriority w:val="0"/>
    <w:rPr>
      <w:rFonts w:eastAsia="宋体" w:cs="宋体"/>
      <w:sz w:val="24"/>
    </w:rPr>
  </w:style>
  <w:style w:type="paragraph" w:customStyle="1" w:styleId="246">
    <w:name w:val="样式 正文001 + 首行缩进:  2 字符1"/>
    <w:basedOn w:val="235"/>
    <w:link w:val="245"/>
    <w:qFormat/>
    <w:uiPriority w:val="0"/>
    <w:pPr>
      <w:ind w:firstLine="480" w:firstLineChars="200"/>
    </w:pPr>
    <w:rPr>
      <w:rFonts w:cs="宋体"/>
    </w:rPr>
  </w:style>
  <w:style w:type="character" w:customStyle="1" w:styleId="247">
    <w:name w:val="p111"/>
    <w:qFormat/>
    <w:uiPriority w:val="0"/>
    <w:rPr>
      <w:color w:val="000000"/>
      <w:sz w:val="18"/>
      <w:szCs w:val="18"/>
    </w:rPr>
  </w:style>
  <w:style w:type="character" w:customStyle="1" w:styleId="248">
    <w:name w:val="apple-style-span"/>
    <w:qFormat/>
    <w:uiPriority w:val="0"/>
  </w:style>
  <w:style w:type="character" w:customStyle="1" w:styleId="249">
    <w:name w:val="表格正文 Char Char"/>
    <w:qFormat/>
    <w:uiPriority w:val="0"/>
    <w:rPr>
      <w:rFonts w:ascii="Arial" w:hAnsi="Arial" w:eastAsia="宋体"/>
      <w:color w:val="000000"/>
      <w:kern w:val="2"/>
      <w:sz w:val="21"/>
      <w:szCs w:val="24"/>
      <w:lang w:val="en-US" w:eastAsia="zh-CN" w:bidi="ar-SA"/>
    </w:rPr>
  </w:style>
  <w:style w:type="character" w:customStyle="1" w:styleId="250">
    <w:name w:val="large1"/>
    <w:qFormat/>
    <w:uiPriority w:val="0"/>
    <w:rPr>
      <w:rFonts w:hint="eastAsia" w:ascii="宋体" w:hAnsi="宋体" w:eastAsia="宋体"/>
      <w:sz w:val="26"/>
      <w:szCs w:val="26"/>
    </w:rPr>
  </w:style>
  <w:style w:type="character" w:customStyle="1" w:styleId="251">
    <w:name w:val="middle1"/>
    <w:qFormat/>
    <w:uiPriority w:val="0"/>
    <w:rPr>
      <w:sz w:val="25"/>
      <w:szCs w:val="25"/>
      <w:u w:val="none"/>
    </w:rPr>
  </w:style>
  <w:style w:type="character" w:customStyle="1" w:styleId="252">
    <w:name w:val="Char8 Char Char"/>
    <w:qFormat/>
    <w:locked/>
    <w:uiPriority w:val="0"/>
    <w:rPr>
      <w:rFonts w:eastAsia="仿宋_GB2312"/>
      <w:kern w:val="2"/>
      <w:sz w:val="28"/>
      <w:lang w:val="en-US" w:eastAsia="zh-CN" w:bidi="ar-SA"/>
    </w:rPr>
  </w:style>
  <w:style w:type="character" w:customStyle="1" w:styleId="253">
    <w:name w:val="11p"/>
    <w:basedOn w:val="58"/>
    <w:qFormat/>
    <w:uiPriority w:val="0"/>
  </w:style>
  <w:style w:type="character" w:customStyle="1" w:styleId="254">
    <w:name w:val="正文B Char"/>
    <w:link w:val="255"/>
    <w:qFormat/>
    <w:uiPriority w:val="0"/>
    <w:rPr>
      <w:rFonts w:ascii="宋体" w:hAnsi="宋体" w:eastAsia="宋体" w:cs="宋体"/>
      <w:sz w:val="24"/>
    </w:rPr>
  </w:style>
  <w:style w:type="paragraph" w:customStyle="1" w:styleId="255">
    <w:name w:val="正文B"/>
    <w:basedOn w:val="256"/>
    <w:link w:val="254"/>
    <w:qFormat/>
    <w:uiPriority w:val="0"/>
    <w:pPr>
      <w:ind w:firstLine="480" w:firstLineChars="200"/>
    </w:pPr>
    <w:rPr>
      <w:szCs w:val="22"/>
    </w:rPr>
  </w:style>
  <w:style w:type="paragraph" w:customStyle="1" w:styleId="256">
    <w:name w:val="正文A"/>
    <w:basedOn w:val="1"/>
    <w:link w:val="257"/>
    <w:qFormat/>
    <w:uiPriority w:val="0"/>
    <w:pPr>
      <w:spacing w:line="540" w:lineRule="exact"/>
    </w:pPr>
    <w:rPr>
      <w:rFonts w:ascii="宋体" w:hAnsi="宋体" w:eastAsia="宋体" w:cs="宋体"/>
      <w:sz w:val="24"/>
      <w:szCs w:val="20"/>
    </w:rPr>
  </w:style>
  <w:style w:type="character" w:customStyle="1" w:styleId="257">
    <w:name w:val="正文A Char"/>
    <w:link w:val="256"/>
    <w:qFormat/>
    <w:uiPriority w:val="0"/>
    <w:rPr>
      <w:rFonts w:ascii="宋体" w:hAnsi="宋体" w:eastAsia="宋体" w:cs="宋体"/>
      <w:sz w:val="24"/>
      <w:szCs w:val="20"/>
    </w:rPr>
  </w:style>
  <w:style w:type="character" w:customStyle="1" w:styleId="258">
    <w:name w:val="标题c Char"/>
    <w:link w:val="259"/>
    <w:qFormat/>
    <w:uiPriority w:val="0"/>
    <w:rPr>
      <w:rFonts w:cs="宋体"/>
      <w:b/>
      <w:bCs/>
      <w:sz w:val="24"/>
      <w:szCs w:val="32"/>
    </w:rPr>
  </w:style>
  <w:style w:type="paragraph" w:customStyle="1" w:styleId="259">
    <w:name w:val="标题c"/>
    <w:basedOn w:val="5"/>
    <w:link w:val="258"/>
    <w:qFormat/>
    <w:uiPriority w:val="0"/>
    <w:pPr>
      <w:spacing w:before="0" w:after="0" w:line="360" w:lineRule="auto"/>
    </w:pPr>
    <w:rPr>
      <w:rFonts w:cs="宋体" w:asciiTheme="minorHAnsi" w:hAnsiTheme="minorHAnsi" w:eastAsiaTheme="minorEastAsia"/>
      <w:sz w:val="24"/>
    </w:rPr>
  </w:style>
  <w:style w:type="character" w:customStyle="1" w:styleId="260">
    <w:name w:val="纯文本 Char"/>
    <w:qFormat/>
    <w:uiPriority w:val="0"/>
    <w:rPr>
      <w:rFonts w:ascii="宋体" w:hAnsi="Courier New" w:eastAsia="宋体"/>
      <w:kern w:val="2"/>
      <w:sz w:val="21"/>
      <w:lang w:val="en-US" w:eastAsia="zh-CN" w:bidi="ar-SA"/>
    </w:rPr>
  </w:style>
  <w:style w:type="character" w:customStyle="1" w:styleId="261">
    <w:name w:val="style451"/>
    <w:qFormat/>
    <w:uiPriority w:val="0"/>
    <w:rPr>
      <w:b/>
      <w:bCs/>
      <w:color w:val="000000"/>
      <w:sz w:val="19"/>
      <w:szCs w:val="19"/>
    </w:rPr>
  </w:style>
  <w:style w:type="character" w:customStyle="1" w:styleId="262">
    <w:name w:val="text_edit editable-title"/>
    <w:qFormat/>
    <w:uiPriority w:val="0"/>
  </w:style>
  <w:style w:type="character" w:customStyle="1" w:styleId="263">
    <w:name w:val="表格下方正文 Char1"/>
    <w:link w:val="264"/>
    <w:qFormat/>
    <w:locked/>
    <w:uiPriority w:val="0"/>
    <w:rPr>
      <w:rFonts w:eastAsia="宋体"/>
      <w:sz w:val="24"/>
    </w:rPr>
  </w:style>
  <w:style w:type="paragraph" w:customStyle="1" w:styleId="264">
    <w:name w:val="表格下方正文"/>
    <w:basedOn w:val="1"/>
    <w:link w:val="263"/>
    <w:qFormat/>
    <w:uiPriority w:val="0"/>
    <w:pPr>
      <w:spacing w:before="300" w:line="460" w:lineRule="exact"/>
      <w:ind w:firstLine="200" w:firstLineChars="200"/>
    </w:pPr>
    <w:rPr>
      <w:rFonts w:eastAsia="宋体"/>
      <w:sz w:val="24"/>
    </w:rPr>
  </w:style>
  <w:style w:type="character" w:customStyle="1" w:styleId="265">
    <w:name w:val="正文首行缩进 2 Char"/>
    <w:link w:val="51"/>
    <w:qFormat/>
    <w:uiPriority w:val="0"/>
    <w:rPr>
      <w:rFonts w:ascii="宋体"/>
      <w:szCs w:val="24"/>
    </w:rPr>
  </w:style>
  <w:style w:type="character" w:customStyle="1" w:styleId="266">
    <w:name w:val="正文文本首行缩进 2 字符1"/>
    <w:basedOn w:val="242"/>
    <w:semiHidden/>
    <w:qFormat/>
    <w:uiPriority w:val="99"/>
  </w:style>
  <w:style w:type="character" w:customStyle="1" w:styleId="267">
    <w:name w:val="标题 5 Char1"/>
    <w:semiHidden/>
    <w:qFormat/>
    <w:uiPriority w:val="0"/>
    <w:rPr>
      <w:rFonts w:eastAsia="宋体" w:cs="Times New Roman"/>
      <w:b/>
      <w:bCs/>
      <w:kern w:val="2"/>
      <w:sz w:val="28"/>
      <w:szCs w:val="28"/>
    </w:rPr>
  </w:style>
  <w:style w:type="character" w:customStyle="1" w:styleId="268">
    <w:name w:val="fh1"/>
    <w:qFormat/>
    <w:uiPriority w:val="0"/>
    <w:rPr>
      <w:rFonts w:hint="default"/>
      <w:b/>
      <w:bCs/>
      <w:color w:val="000000"/>
      <w:sz w:val="22"/>
      <w:szCs w:val="22"/>
    </w:rPr>
  </w:style>
  <w:style w:type="character" w:customStyle="1" w:styleId="269">
    <w:name w:val="font-blue1"/>
    <w:qFormat/>
    <w:uiPriority w:val="0"/>
    <w:rPr>
      <w:color w:val="246CBD"/>
      <w:sz w:val="21"/>
      <w:szCs w:val="21"/>
    </w:rPr>
  </w:style>
  <w:style w:type="character" w:customStyle="1" w:styleId="270">
    <w:name w:val="样式 正文001 + 首行缩进:  2 字符 Char"/>
    <w:link w:val="271"/>
    <w:qFormat/>
    <w:uiPriority w:val="0"/>
    <w:rPr>
      <w:sz w:val="24"/>
    </w:rPr>
  </w:style>
  <w:style w:type="paragraph" w:customStyle="1" w:styleId="271">
    <w:name w:val="样式 正文001 + 首行缩进:  2 字符"/>
    <w:basedOn w:val="1"/>
    <w:link w:val="270"/>
    <w:qFormat/>
    <w:uiPriority w:val="0"/>
    <w:pPr>
      <w:spacing w:line="500" w:lineRule="atLeast"/>
      <w:ind w:firstLine="480" w:firstLineChars="200"/>
    </w:pPr>
    <w:rPr>
      <w:sz w:val="24"/>
    </w:rPr>
  </w:style>
  <w:style w:type="character" w:customStyle="1" w:styleId="272">
    <w:name w:val="no42"/>
    <w:basedOn w:val="58"/>
    <w:qFormat/>
    <w:uiPriority w:val="0"/>
  </w:style>
  <w:style w:type="character" w:customStyle="1" w:styleId="273">
    <w:name w:val="标题1"/>
    <w:basedOn w:val="58"/>
    <w:qFormat/>
    <w:uiPriority w:val="0"/>
  </w:style>
  <w:style w:type="character" w:customStyle="1" w:styleId="274">
    <w:name w:val="top_bt1"/>
    <w:qFormat/>
    <w:uiPriority w:val="0"/>
    <w:rPr>
      <w:b/>
      <w:bCs/>
      <w:color w:val="000000"/>
      <w:sz w:val="21"/>
      <w:szCs w:val="21"/>
    </w:rPr>
  </w:style>
  <w:style w:type="character" w:customStyle="1" w:styleId="275">
    <w:name w:val="正文文本 Char"/>
    <w:qFormat/>
    <w:uiPriority w:val="0"/>
    <w:rPr>
      <w:rFonts w:eastAsia="宋体"/>
      <w:kern w:val="2"/>
      <w:sz w:val="21"/>
      <w:szCs w:val="24"/>
      <w:lang w:val="en-US" w:eastAsia="zh-CN" w:bidi="ar-SA"/>
    </w:rPr>
  </w:style>
  <w:style w:type="character" w:customStyle="1" w:styleId="276">
    <w:name w:val="正文01 Char1"/>
    <w:qFormat/>
    <w:uiPriority w:val="0"/>
    <w:rPr>
      <w:rFonts w:eastAsia="宋体"/>
      <w:kern w:val="2"/>
      <w:sz w:val="24"/>
      <w:szCs w:val="24"/>
      <w:lang w:val="en-US" w:eastAsia="zh-CN" w:bidi="ar-SA"/>
    </w:rPr>
  </w:style>
  <w:style w:type="character" w:customStyle="1" w:styleId="277">
    <w:name w:val="样式 样式 仿宋_GB2312 四号 黑色 首行缩进:  0.99 厘米 行距: 1.5 倍行距 + 首行缩进:  2 字符 Char Char"/>
    <w:qFormat/>
    <w:uiPriority w:val="0"/>
    <w:rPr>
      <w:rFonts w:ascii="仿宋_GB2312" w:eastAsia="仿宋_GB2312" w:cs="宋体"/>
      <w:color w:val="000000"/>
      <w:kern w:val="2"/>
      <w:sz w:val="24"/>
      <w:lang w:val="en-US" w:eastAsia="zh-CN" w:bidi="ar-SA"/>
    </w:rPr>
  </w:style>
  <w:style w:type="character" w:customStyle="1" w:styleId="278">
    <w:name w:val="普通文字 Char2"/>
    <w:qFormat/>
    <w:uiPriority w:val="0"/>
    <w:rPr>
      <w:rFonts w:eastAsia="宋体"/>
      <w:spacing w:val="8"/>
      <w:kern w:val="2"/>
      <w:sz w:val="24"/>
      <w:lang w:val="en-US" w:eastAsia="zh-CN" w:bidi="ar-SA"/>
    </w:rPr>
  </w:style>
  <w:style w:type="character" w:customStyle="1" w:styleId="279">
    <w:name w:val="正文AAA Char"/>
    <w:link w:val="280"/>
    <w:qFormat/>
    <w:uiPriority w:val="0"/>
    <w:rPr>
      <w:rFonts w:ascii="宋体" w:hAnsi="宋体" w:eastAsia="宋体" w:cs="宋体"/>
      <w:sz w:val="24"/>
    </w:rPr>
  </w:style>
  <w:style w:type="paragraph" w:customStyle="1" w:styleId="280">
    <w:name w:val="正文AAA"/>
    <w:basedOn w:val="1"/>
    <w:link w:val="279"/>
    <w:qFormat/>
    <w:uiPriority w:val="0"/>
    <w:pPr>
      <w:spacing w:line="500" w:lineRule="exact"/>
      <w:ind w:firstLine="480" w:firstLineChars="200"/>
    </w:pPr>
    <w:rPr>
      <w:rFonts w:ascii="宋体" w:hAnsi="宋体" w:eastAsia="宋体" w:cs="宋体"/>
      <w:sz w:val="24"/>
    </w:rPr>
  </w:style>
  <w:style w:type="character" w:customStyle="1" w:styleId="281">
    <w:name w:val="样式 普通(网站) + 加粗 Char"/>
    <w:link w:val="282"/>
    <w:qFormat/>
    <w:uiPriority w:val="0"/>
    <w:rPr>
      <w:rFonts w:ascii="宋体" w:hAnsi="宋体" w:eastAsia="宋体"/>
      <w:b/>
      <w:bCs/>
      <w:color w:val="000000"/>
      <w:sz w:val="24"/>
      <w:szCs w:val="24"/>
    </w:rPr>
  </w:style>
  <w:style w:type="paragraph" w:customStyle="1" w:styleId="282">
    <w:name w:val="样式 普通(网站) + 加粗"/>
    <w:basedOn w:val="47"/>
    <w:link w:val="281"/>
    <w:qFormat/>
    <w:uiPriority w:val="0"/>
    <w:pPr>
      <w:spacing w:before="0" w:beforeAutospacing="0" w:after="0" w:afterAutospacing="0"/>
    </w:pPr>
    <w:rPr>
      <w:b/>
      <w:bCs/>
      <w:color w:val="000000"/>
      <w:szCs w:val="24"/>
    </w:rPr>
  </w:style>
  <w:style w:type="character" w:customStyle="1" w:styleId="283">
    <w:name w:val="text_style1"/>
    <w:qFormat/>
    <w:uiPriority w:val="0"/>
    <w:rPr>
      <w:sz w:val="22"/>
      <w:szCs w:val="22"/>
      <w:u w:val="none"/>
    </w:rPr>
  </w:style>
  <w:style w:type="character" w:customStyle="1" w:styleId="284">
    <w:name w:val="正文01 Char Char"/>
    <w:qFormat/>
    <w:uiPriority w:val="0"/>
    <w:rPr>
      <w:rFonts w:eastAsia="宋体"/>
      <w:kern w:val="2"/>
      <w:sz w:val="24"/>
      <w:szCs w:val="24"/>
      <w:lang w:val="en-US" w:eastAsia="zh-CN" w:bidi="ar-SA"/>
    </w:rPr>
  </w:style>
  <w:style w:type="character" w:customStyle="1" w:styleId="285">
    <w:name w:val="ui-bz-bg-hover1"/>
    <w:basedOn w:val="58"/>
    <w:qFormat/>
    <w:uiPriority w:val="0"/>
  </w:style>
  <w:style w:type="character" w:customStyle="1" w:styleId="286">
    <w:name w:val="org_name2"/>
    <w:basedOn w:val="58"/>
    <w:qFormat/>
    <w:uiPriority w:val="0"/>
  </w:style>
  <w:style w:type="character" w:customStyle="1" w:styleId="287">
    <w:name w:val="正文_01 Char"/>
    <w:link w:val="288"/>
    <w:qFormat/>
    <w:uiPriority w:val="0"/>
    <w:rPr>
      <w:rFonts w:ascii="宋体" w:hAnsi="宋体" w:eastAsia="Times New Roman"/>
      <w:sz w:val="28"/>
      <w:szCs w:val="28"/>
    </w:rPr>
  </w:style>
  <w:style w:type="paragraph" w:customStyle="1" w:styleId="288">
    <w:name w:val="正文_01"/>
    <w:link w:val="287"/>
    <w:qFormat/>
    <w:uiPriority w:val="0"/>
    <w:pPr>
      <w:widowControl w:val="0"/>
      <w:snapToGrid w:val="0"/>
      <w:spacing w:line="560" w:lineRule="exact"/>
      <w:ind w:firstLine="560" w:firstLineChars="200"/>
      <w:jc w:val="both"/>
    </w:pPr>
    <w:rPr>
      <w:rFonts w:ascii="宋体" w:hAnsi="宋体" w:eastAsia="Times New Roman" w:cstheme="minorBidi"/>
      <w:kern w:val="2"/>
      <w:sz w:val="28"/>
      <w:szCs w:val="28"/>
      <w:lang w:val="en-US" w:eastAsia="zh-CN" w:bidi="ar-SA"/>
    </w:rPr>
  </w:style>
  <w:style w:type="character" w:customStyle="1" w:styleId="289">
    <w:name w:val="st1"/>
    <w:basedOn w:val="58"/>
    <w:qFormat/>
    <w:uiPriority w:val="0"/>
  </w:style>
  <w:style w:type="character" w:customStyle="1" w:styleId="290">
    <w:name w:val="no52"/>
    <w:basedOn w:val="58"/>
    <w:qFormat/>
    <w:uiPriority w:val="0"/>
  </w:style>
  <w:style w:type="character" w:customStyle="1" w:styleId="291">
    <w:name w:val="tip13"/>
    <w:qFormat/>
    <w:uiPriority w:val="0"/>
    <w:rPr>
      <w:vanish/>
      <w:color w:val="FF0000"/>
      <w:sz w:val="18"/>
      <w:szCs w:val="18"/>
    </w:rPr>
  </w:style>
  <w:style w:type="character" w:customStyle="1" w:styleId="292">
    <w:name w:val="表格正文 Char"/>
    <w:qFormat/>
    <w:uiPriority w:val="0"/>
    <w:rPr>
      <w:rFonts w:eastAsia="宋体"/>
      <w:kern w:val="2"/>
      <w:sz w:val="21"/>
      <w:szCs w:val="24"/>
      <w:lang w:val="en-US" w:eastAsia="zh-CN" w:bidi="ar-SA"/>
    </w:rPr>
  </w:style>
  <w:style w:type="character" w:customStyle="1" w:styleId="293">
    <w:name w:val="正文(首行缩进) Char"/>
    <w:link w:val="294"/>
    <w:qFormat/>
    <w:uiPriority w:val="0"/>
    <w:rPr>
      <w:rFonts w:ascii="宋体" w:hAnsi="宋体" w:eastAsia="宋体"/>
      <w:snapToGrid w:val="0"/>
      <w:sz w:val="24"/>
      <w:szCs w:val="24"/>
    </w:rPr>
  </w:style>
  <w:style w:type="paragraph" w:customStyle="1" w:styleId="294">
    <w:name w:val="正文(首行缩进)"/>
    <w:basedOn w:val="1"/>
    <w:link w:val="293"/>
    <w:qFormat/>
    <w:uiPriority w:val="0"/>
    <w:pPr>
      <w:spacing w:line="360" w:lineRule="auto"/>
      <w:ind w:firstLine="510"/>
    </w:pPr>
    <w:rPr>
      <w:rFonts w:ascii="宋体" w:hAnsi="宋体" w:eastAsia="宋体"/>
      <w:snapToGrid w:val="0"/>
      <w:sz w:val="24"/>
      <w:szCs w:val="24"/>
    </w:rPr>
  </w:style>
  <w:style w:type="character" w:customStyle="1" w:styleId="295">
    <w:name w:val="Char Char21"/>
    <w:qFormat/>
    <w:uiPriority w:val="0"/>
    <w:rPr>
      <w:rFonts w:eastAsia="宋体"/>
      <w:kern w:val="2"/>
      <w:sz w:val="21"/>
      <w:szCs w:val="24"/>
      <w:lang w:val="en-US" w:eastAsia="zh-CN" w:bidi="ar-SA"/>
    </w:rPr>
  </w:style>
  <w:style w:type="character" w:customStyle="1" w:styleId="296">
    <w:name w:val="dl1"/>
    <w:qFormat/>
    <w:uiPriority w:val="0"/>
    <w:rPr>
      <w:color w:val="000000"/>
      <w:sz w:val="20"/>
      <w:szCs w:val="20"/>
    </w:rPr>
  </w:style>
  <w:style w:type="character" w:customStyle="1" w:styleId="297">
    <w:name w:val="表头1 Char"/>
    <w:link w:val="298"/>
    <w:qFormat/>
    <w:uiPriority w:val="0"/>
    <w:rPr>
      <w:rFonts w:eastAsia="黑体"/>
      <w:szCs w:val="28"/>
    </w:rPr>
  </w:style>
  <w:style w:type="paragraph" w:customStyle="1" w:styleId="298">
    <w:name w:val="表头1"/>
    <w:basedOn w:val="1"/>
    <w:next w:val="1"/>
    <w:link w:val="297"/>
    <w:qFormat/>
    <w:uiPriority w:val="0"/>
    <w:pPr>
      <w:tabs>
        <w:tab w:val="left" w:pos="605"/>
      </w:tabs>
      <w:adjustRightInd w:val="0"/>
      <w:snapToGrid w:val="0"/>
      <w:jc w:val="center"/>
    </w:pPr>
    <w:rPr>
      <w:rFonts w:eastAsia="黑体"/>
      <w:szCs w:val="28"/>
    </w:rPr>
  </w:style>
  <w:style w:type="character" w:customStyle="1" w:styleId="299">
    <w:name w:val="tpc_content1"/>
    <w:qFormat/>
    <w:uiPriority w:val="0"/>
    <w:rPr>
      <w:sz w:val="23"/>
      <w:szCs w:val="23"/>
    </w:rPr>
  </w:style>
  <w:style w:type="character" w:customStyle="1" w:styleId="300">
    <w:name w:val="Char Char1 Char Char Char Char Char Char Char Char Char Char Char Char Char Char Char Char Char Char Char Char1 Char Char1"/>
    <w:link w:val="301"/>
    <w:qFormat/>
    <w:uiPriority w:val="0"/>
    <w:rPr>
      <w:rFonts w:ascii="宋体" w:hAnsi="宋体" w:eastAsia="宋体" w:cs="宋体"/>
      <w:sz w:val="24"/>
      <w:szCs w:val="24"/>
    </w:rPr>
  </w:style>
  <w:style w:type="paragraph" w:customStyle="1" w:styleId="301">
    <w:name w:val="Char Char1 Char Char Char Char Char Char Char Char Char Char Char Char Char Char Char Char Char Char Char Char1 Char2"/>
    <w:basedOn w:val="1"/>
    <w:link w:val="300"/>
    <w:qFormat/>
    <w:uiPriority w:val="0"/>
    <w:pPr>
      <w:spacing w:line="360" w:lineRule="auto"/>
      <w:ind w:firstLine="200" w:firstLineChars="200"/>
    </w:pPr>
    <w:rPr>
      <w:rFonts w:ascii="宋体" w:hAnsi="宋体" w:eastAsia="宋体" w:cs="宋体"/>
      <w:sz w:val="24"/>
      <w:szCs w:val="24"/>
    </w:rPr>
  </w:style>
  <w:style w:type="character" w:customStyle="1" w:styleId="302">
    <w:name w:val="Char Char Char5"/>
    <w:qFormat/>
    <w:uiPriority w:val="0"/>
    <w:rPr>
      <w:rFonts w:ascii="宋体" w:hAnsi="Courier New" w:eastAsia="宋体" w:cs="Courier New"/>
      <w:kern w:val="2"/>
      <w:sz w:val="21"/>
      <w:szCs w:val="21"/>
      <w:lang w:val="en-US" w:eastAsia="zh-CN" w:bidi="ar-SA"/>
    </w:rPr>
  </w:style>
  <w:style w:type="character" w:customStyle="1" w:styleId="303">
    <w:name w:val="特点 Char"/>
    <w:qFormat/>
    <w:uiPriority w:val="0"/>
    <w:rPr>
      <w:rFonts w:eastAsia="宋体"/>
      <w:kern w:val="2"/>
      <w:sz w:val="24"/>
      <w:lang w:val="en-US" w:eastAsia="zh-CN" w:bidi="ar-SA"/>
    </w:rPr>
  </w:style>
  <w:style w:type="character" w:customStyle="1" w:styleId="304">
    <w:name w:val="text31"/>
    <w:qFormat/>
    <w:uiPriority w:val="0"/>
    <w:rPr>
      <w:rFonts w:hint="eastAsia" w:ascii="宋体" w:hAnsi="宋体" w:eastAsia="宋体"/>
      <w:color w:val="673434"/>
      <w:sz w:val="22"/>
      <w:szCs w:val="22"/>
      <w:u w:val="none"/>
    </w:rPr>
  </w:style>
  <w:style w:type="character" w:customStyle="1" w:styleId="305">
    <w:name w:val="a1"/>
    <w:qFormat/>
    <w:uiPriority w:val="0"/>
  </w:style>
  <w:style w:type="character" w:customStyle="1" w:styleId="306">
    <w:name w:val="样式 正文文本缩进 + 四号1 Char"/>
    <w:link w:val="307"/>
    <w:qFormat/>
    <w:uiPriority w:val="0"/>
    <w:rPr>
      <w:sz w:val="24"/>
      <w:szCs w:val="24"/>
    </w:rPr>
  </w:style>
  <w:style w:type="paragraph" w:customStyle="1" w:styleId="307">
    <w:name w:val="样式 正文文本缩进 + 四号1"/>
    <w:basedOn w:val="21"/>
    <w:link w:val="306"/>
    <w:qFormat/>
    <w:uiPriority w:val="0"/>
    <w:pPr>
      <w:spacing w:before="50" w:beforeLines="50" w:after="50" w:afterLines="50" w:line="360" w:lineRule="auto"/>
      <w:ind w:left="202" w:leftChars="202" w:firstLine="200" w:firstLineChars="200"/>
    </w:pPr>
    <w:rPr>
      <w:rFonts w:asciiTheme="minorHAnsi"/>
      <w:szCs w:val="24"/>
    </w:rPr>
  </w:style>
  <w:style w:type="character" w:customStyle="1" w:styleId="308">
    <w:name w:val="正文文本 3 Char"/>
    <w:link w:val="19"/>
    <w:qFormat/>
    <w:uiPriority w:val="0"/>
    <w:rPr>
      <w:sz w:val="16"/>
      <w:szCs w:val="16"/>
    </w:rPr>
  </w:style>
  <w:style w:type="character" w:customStyle="1" w:styleId="309">
    <w:name w:val="正文文本 3 字符1"/>
    <w:basedOn w:val="58"/>
    <w:semiHidden/>
    <w:qFormat/>
    <w:uiPriority w:val="99"/>
    <w:rPr>
      <w:sz w:val="16"/>
      <w:szCs w:val="16"/>
    </w:rPr>
  </w:style>
  <w:style w:type="character" w:customStyle="1" w:styleId="310">
    <w:name w:val="text081"/>
    <w:qFormat/>
    <w:uiPriority w:val="0"/>
    <w:rPr>
      <w:rFonts w:hint="default"/>
      <w:color w:val="525052"/>
      <w:sz w:val="21"/>
      <w:szCs w:val="21"/>
      <w:u w:val="none"/>
    </w:rPr>
  </w:style>
  <w:style w:type="character" w:customStyle="1" w:styleId="311">
    <w:name w:val="样式 正文001 + 首行缩进:  2 字符 Char Char Char"/>
    <w:qFormat/>
    <w:uiPriority w:val="0"/>
    <w:rPr>
      <w:rFonts w:eastAsia="宋体" w:cs="宋体"/>
      <w:kern w:val="2"/>
      <w:sz w:val="24"/>
      <w:szCs w:val="24"/>
      <w:lang w:val="en-US" w:eastAsia="zh-CN" w:bidi="ar-SA"/>
    </w:rPr>
  </w:style>
  <w:style w:type="character" w:customStyle="1" w:styleId="312">
    <w:name w:val="ctitle3"/>
    <w:qFormat/>
    <w:uiPriority w:val="0"/>
    <w:rPr>
      <w:rFonts w:hint="default" w:ascii="ˎ̥" w:hAnsi="ˎ̥"/>
      <w:b/>
      <w:bCs/>
      <w:color w:val="525052"/>
      <w:sz w:val="24"/>
      <w:szCs w:val="24"/>
    </w:rPr>
  </w:style>
  <w:style w:type="character" w:customStyle="1" w:styleId="313">
    <w:name w:val="wenzi02neirong"/>
    <w:qFormat/>
    <w:uiPriority w:val="0"/>
  </w:style>
  <w:style w:type="character" w:customStyle="1" w:styleId="314">
    <w:name w:val="text"/>
    <w:qFormat/>
    <w:uiPriority w:val="0"/>
  </w:style>
  <w:style w:type="character" w:customStyle="1" w:styleId="315">
    <w:name w:val="样式 3级标题 + 非加粗 Char"/>
    <w:link w:val="316"/>
    <w:qFormat/>
    <w:uiPriority w:val="0"/>
    <w:rPr>
      <w:sz w:val="24"/>
      <w:szCs w:val="24"/>
    </w:rPr>
  </w:style>
  <w:style w:type="paragraph" w:customStyle="1" w:styleId="316">
    <w:name w:val="样式 3级标题 + 非加粗"/>
    <w:basedOn w:val="217"/>
    <w:link w:val="315"/>
    <w:qFormat/>
    <w:uiPriority w:val="0"/>
    <w:pPr>
      <w:spacing w:before="300"/>
    </w:pPr>
    <w:rPr>
      <w:b w:val="0"/>
    </w:rPr>
  </w:style>
  <w:style w:type="character" w:customStyle="1" w:styleId="317">
    <w:name w:val="样式 正文001 + 首行缩进:  2 字符 行距: 固定值 22.5 磅 Char"/>
    <w:link w:val="318"/>
    <w:qFormat/>
    <w:uiPriority w:val="0"/>
    <w:rPr>
      <w:rFonts w:cs="宋体"/>
      <w:bCs/>
      <w:iCs/>
      <w:sz w:val="24"/>
      <w:szCs w:val="24"/>
    </w:rPr>
  </w:style>
  <w:style w:type="paragraph" w:customStyle="1" w:styleId="318">
    <w:name w:val="样式 正文001 + 首行缩进:  2 字符 行距: 固定值 22.5 磅"/>
    <w:basedOn w:val="235"/>
    <w:link w:val="317"/>
    <w:qFormat/>
    <w:uiPriority w:val="0"/>
    <w:pPr>
      <w:spacing w:line="450" w:lineRule="exact"/>
      <w:ind w:firstLine="480" w:firstLineChars="200"/>
    </w:pPr>
    <w:rPr>
      <w:rFonts w:cs="宋体" w:eastAsiaTheme="minorEastAsia"/>
      <w:bCs/>
      <w:iCs/>
      <w:szCs w:val="24"/>
    </w:rPr>
  </w:style>
  <w:style w:type="character" w:customStyle="1" w:styleId="319">
    <w:name w:val="样式 正文文本缩进 + 宋体 13 磅 Char"/>
    <w:qFormat/>
    <w:uiPriority w:val="0"/>
    <w:rPr>
      <w:rFonts w:ascii="宋体" w:hAnsi="宋体" w:eastAsia="宋体"/>
      <w:kern w:val="2"/>
      <w:sz w:val="28"/>
      <w:szCs w:val="28"/>
      <w:lang w:val="en-US" w:eastAsia="zh-CN" w:bidi="ar-SA"/>
    </w:rPr>
  </w:style>
  <w:style w:type="character" w:customStyle="1" w:styleId="320">
    <w:name w:val="Char2"/>
    <w:qFormat/>
    <w:uiPriority w:val="0"/>
    <w:rPr>
      <w:rFonts w:ascii="Arial" w:hAnsi="Arial" w:eastAsia="黑体"/>
      <w:b/>
      <w:bCs/>
      <w:kern w:val="2"/>
      <w:sz w:val="28"/>
      <w:szCs w:val="28"/>
      <w:lang w:val="en-US" w:eastAsia="zh-CN" w:bidi="ar-SA"/>
    </w:rPr>
  </w:style>
  <w:style w:type="character" w:customStyle="1" w:styleId="321">
    <w:name w:val="燕山正文 Char"/>
    <w:qFormat/>
    <w:uiPriority w:val="0"/>
    <w:rPr>
      <w:rFonts w:ascii="宋体" w:hAnsi="宋体" w:eastAsia="宋体"/>
      <w:color w:val="000000"/>
      <w:kern w:val="2"/>
      <w:sz w:val="28"/>
      <w:szCs w:val="28"/>
      <w:lang w:val="en-US" w:eastAsia="zh-CN" w:bidi="ar-SA"/>
    </w:rPr>
  </w:style>
  <w:style w:type="character" w:customStyle="1" w:styleId="322">
    <w:name w:val="文本条款 Char Char Char Char Char"/>
    <w:qFormat/>
    <w:uiPriority w:val="0"/>
    <w:rPr>
      <w:rFonts w:eastAsia="宋体"/>
      <w:color w:val="000000"/>
      <w:kern w:val="2"/>
      <w:sz w:val="24"/>
      <w:szCs w:val="24"/>
      <w:lang w:val="en-US" w:eastAsia="zh-CN" w:bidi="ar-SA"/>
    </w:rPr>
  </w:style>
  <w:style w:type="character" w:customStyle="1" w:styleId="323">
    <w:name w:val="正文001 Char Char Char Char"/>
    <w:qFormat/>
    <w:uiPriority w:val="0"/>
    <w:rPr>
      <w:rFonts w:eastAsia="宋体"/>
      <w:color w:val="000000"/>
      <w:kern w:val="2"/>
      <w:sz w:val="24"/>
      <w:szCs w:val="24"/>
      <w:lang w:val="en-US" w:eastAsia="zh-CN" w:bidi="ar-SA"/>
    </w:rPr>
  </w:style>
  <w:style w:type="character" w:customStyle="1" w:styleId="324">
    <w:name w:val="样式 正文001 + Times New Roman Char Char Char Char"/>
    <w:qFormat/>
    <w:uiPriority w:val="0"/>
  </w:style>
  <w:style w:type="character" w:customStyle="1" w:styleId="325">
    <w:name w:val="样式 正文1 + 段前: 0.1 行 Char Char"/>
    <w:qFormat/>
    <w:uiPriority w:val="0"/>
    <w:rPr>
      <w:rFonts w:eastAsia="宋体" w:cs="宋体"/>
      <w:kern w:val="2"/>
      <w:sz w:val="24"/>
      <w:szCs w:val="24"/>
      <w:lang w:val="en-US" w:eastAsia="zh-CN" w:bidi="ar-SA"/>
    </w:rPr>
  </w:style>
  <w:style w:type="character" w:customStyle="1" w:styleId="326">
    <w:name w:val="hei1"/>
    <w:qFormat/>
    <w:uiPriority w:val="0"/>
    <w:rPr>
      <w:color w:val="000000"/>
      <w:sz w:val="23"/>
      <w:szCs w:val="23"/>
      <w:u w:val="none"/>
    </w:rPr>
  </w:style>
  <w:style w:type="character" w:customStyle="1" w:styleId="327">
    <w:name w:val="big"/>
    <w:qFormat/>
    <w:uiPriority w:val="0"/>
  </w:style>
  <w:style w:type="character" w:customStyle="1" w:styleId="328">
    <w:name w:val="title1"/>
    <w:qFormat/>
    <w:uiPriority w:val="0"/>
    <w:rPr>
      <w:rFonts w:hint="default" w:ascii="Arial" w:hAnsi="Arial" w:cs="Arial"/>
      <w:b/>
      <w:bCs/>
      <w:color w:val="3366CC"/>
      <w:sz w:val="24"/>
      <w:szCs w:val="24"/>
    </w:rPr>
  </w:style>
  <w:style w:type="character" w:customStyle="1" w:styleId="329">
    <w:name w:val="ww1"/>
    <w:qFormat/>
    <w:uiPriority w:val="0"/>
    <w:rPr>
      <w:sz w:val="18"/>
      <w:szCs w:val="18"/>
    </w:rPr>
  </w:style>
  <w:style w:type="character" w:customStyle="1" w:styleId="330">
    <w:name w:val="jq1"/>
    <w:qFormat/>
    <w:uiPriority w:val="0"/>
    <w:rPr>
      <w:rFonts w:hint="eastAsia" w:ascii="宋体" w:hAnsi="宋体" w:eastAsia="宋体"/>
      <w:sz w:val="18"/>
      <w:szCs w:val="18"/>
    </w:rPr>
  </w:style>
  <w:style w:type="character" w:customStyle="1" w:styleId="331">
    <w:name w:val="highlight1"/>
    <w:qFormat/>
    <w:uiPriority w:val="0"/>
    <w:rPr>
      <w:sz w:val="21"/>
      <w:szCs w:val="21"/>
    </w:rPr>
  </w:style>
  <w:style w:type="character" w:customStyle="1" w:styleId="332">
    <w:name w:val="lh151"/>
    <w:qFormat/>
    <w:uiPriority w:val="0"/>
  </w:style>
  <w:style w:type="character" w:customStyle="1" w:styleId="333">
    <w:name w:val="blue1"/>
    <w:qFormat/>
    <w:uiPriority w:val="0"/>
    <w:rPr>
      <w:color w:val="3366FF"/>
    </w:rPr>
  </w:style>
  <w:style w:type="character" w:customStyle="1" w:styleId="334">
    <w:name w:val="标题节 Char Char"/>
    <w:qFormat/>
    <w:uiPriority w:val="0"/>
    <w:rPr>
      <w:rFonts w:ascii="Arial" w:hAnsi="Arial" w:eastAsia="黑体"/>
      <w:b/>
      <w:bCs/>
      <w:kern w:val="2"/>
      <w:sz w:val="32"/>
      <w:szCs w:val="32"/>
      <w:lang w:val="en-US" w:eastAsia="zh-CN" w:bidi="ar-SA"/>
    </w:rPr>
  </w:style>
  <w:style w:type="character" w:customStyle="1" w:styleId="335">
    <w:name w:val="Char Char32"/>
    <w:qFormat/>
    <w:uiPriority w:val="0"/>
    <w:rPr>
      <w:kern w:val="2"/>
      <w:sz w:val="21"/>
      <w:szCs w:val="24"/>
    </w:rPr>
  </w:style>
  <w:style w:type="character" w:customStyle="1" w:styleId="336">
    <w:name w:val="z-窗体顶端 Char"/>
    <w:link w:val="337"/>
    <w:qFormat/>
    <w:uiPriority w:val="0"/>
    <w:rPr>
      <w:rFonts w:ascii="Arial" w:hAnsi="Arial" w:cs="Arial"/>
      <w:vanish/>
      <w:color w:val="000000"/>
      <w:sz w:val="16"/>
      <w:szCs w:val="16"/>
    </w:rPr>
  </w:style>
  <w:style w:type="paragraph" w:customStyle="1" w:styleId="337">
    <w:name w:val="HTML Top of Form"/>
    <w:basedOn w:val="1"/>
    <w:next w:val="1"/>
    <w:link w:val="336"/>
    <w:qFormat/>
    <w:uiPriority w:val="0"/>
    <w:pPr>
      <w:widowControl/>
      <w:pBdr>
        <w:bottom w:val="single" w:color="auto" w:sz="6" w:space="1"/>
      </w:pBdr>
      <w:jc w:val="center"/>
    </w:pPr>
    <w:rPr>
      <w:rFonts w:ascii="Arial" w:hAnsi="Arial" w:cs="Arial"/>
      <w:vanish/>
      <w:color w:val="000000"/>
      <w:sz w:val="16"/>
      <w:szCs w:val="16"/>
    </w:rPr>
  </w:style>
  <w:style w:type="character" w:customStyle="1" w:styleId="338">
    <w:name w:val="z-窗体顶端 字符1"/>
    <w:basedOn w:val="58"/>
    <w:semiHidden/>
    <w:qFormat/>
    <w:uiPriority w:val="99"/>
    <w:rPr>
      <w:rFonts w:ascii="Arial" w:hAnsi="Arial" w:cs="Arial"/>
      <w:vanish/>
      <w:sz w:val="16"/>
      <w:szCs w:val="16"/>
    </w:rPr>
  </w:style>
  <w:style w:type="character" w:customStyle="1" w:styleId="339">
    <w:name w:val="z-窗体底端 Char"/>
    <w:link w:val="340"/>
    <w:qFormat/>
    <w:uiPriority w:val="0"/>
    <w:rPr>
      <w:rFonts w:ascii="Arial" w:hAnsi="Arial" w:cs="Arial"/>
      <w:vanish/>
      <w:color w:val="000000"/>
      <w:sz w:val="16"/>
      <w:szCs w:val="16"/>
    </w:rPr>
  </w:style>
  <w:style w:type="paragraph" w:customStyle="1" w:styleId="340">
    <w:name w:val="HTML Bottom of Form"/>
    <w:basedOn w:val="1"/>
    <w:next w:val="1"/>
    <w:link w:val="339"/>
    <w:qFormat/>
    <w:uiPriority w:val="0"/>
    <w:pPr>
      <w:widowControl/>
      <w:pBdr>
        <w:top w:val="single" w:color="auto" w:sz="6" w:space="1"/>
      </w:pBdr>
      <w:jc w:val="center"/>
    </w:pPr>
    <w:rPr>
      <w:rFonts w:ascii="Arial" w:hAnsi="Arial" w:cs="Arial"/>
      <w:vanish/>
      <w:color w:val="000000"/>
      <w:sz w:val="16"/>
      <w:szCs w:val="16"/>
    </w:rPr>
  </w:style>
  <w:style w:type="character" w:customStyle="1" w:styleId="341">
    <w:name w:val="z-窗体底端 字符1"/>
    <w:basedOn w:val="58"/>
    <w:semiHidden/>
    <w:qFormat/>
    <w:uiPriority w:val="99"/>
    <w:rPr>
      <w:rFonts w:ascii="Arial" w:hAnsi="Arial" w:cs="Arial"/>
      <w:vanish/>
      <w:sz w:val="16"/>
      <w:szCs w:val="16"/>
    </w:rPr>
  </w:style>
  <w:style w:type="character" w:customStyle="1" w:styleId="342">
    <w:name w:val="正文（首行缩进两字） Char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kern w:val="2"/>
      <w:sz w:val="24"/>
      <w:lang w:val="en-US" w:eastAsia="zh-CN" w:bidi="ar-SA"/>
    </w:rPr>
  </w:style>
  <w:style w:type="character" w:customStyle="1" w:styleId="343">
    <w:name w:val="txt221"/>
    <w:qFormat/>
    <w:uiPriority w:val="0"/>
    <w:rPr>
      <w:color w:val="333333"/>
      <w:sz w:val="18"/>
      <w:szCs w:val="18"/>
      <w:u w:val="none"/>
    </w:rPr>
  </w:style>
  <w:style w:type="character" w:customStyle="1" w:styleId="344">
    <w:name w:val="promo1"/>
    <w:qFormat/>
    <w:uiPriority w:val="0"/>
    <w:rPr>
      <w:sz w:val="24"/>
      <w:szCs w:val="24"/>
    </w:rPr>
  </w:style>
  <w:style w:type="character" w:customStyle="1" w:styleId="345">
    <w:name w:val="样式4 Char"/>
    <w:qFormat/>
    <w:uiPriority w:val="0"/>
    <w:rPr>
      <w:rFonts w:eastAsia="宋体"/>
      <w:bCs/>
      <w:color w:val="000000"/>
      <w:sz w:val="24"/>
      <w:szCs w:val="24"/>
      <w:lang w:val="en-US" w:eastAsia="zh-CN" w:bidi="ar-SA"/>
    </w:rPr>
  </w:style>
  <w:style w:type="character" w:customStyle="1" w:styleId="346">
    <w:name w:val="f14b1"/>
    <w:qFormat/>
    <w:uiPriority w:val="0"/>
    <w:rPr>
      <w:b/>
      <w:bCs/>
      <w:sz w:val="21"/>
      <w:szCs w:val="21"/>
    </w:rPr>
  </w:style>
  <w:style w:type="character" w:customStyle="1" w:styleId="347">
    <w:name w:val="f121"/>
    <w:qFormat/>
    <w:uiPriority w:val="0"/>
    <w:rPr>
      <w:sz w:val="18"/>
      <w:szCs w:val="18"/>
      <w:u w:val="none"/>
    </w:rPr>
  </w:style>
  <w:style w:type="character" w:customStyle="1" w:styleId="348">
    <w:name w:val="style441"/>
    <w:qFormat/>
    <w:uiPriority w:val="0"/>
    <w:rPr>
      <w:sz w:val="20"/>
      <w:szCs w:val="20"/>
    </w:rPr>
  </w:style>
  <w:style w:type="character" w:customStyle="1" w:styleId="349">
    <w:name w:val="样式1 Char"/>
    <w:link w:val="350"/>
    <w:qFormat/>
    <w:uiPriority w:val="0"/>
    <w:rPr>
      <w:sz w:val="24"/>
      <w:szCs w:val="24"/>
    </w:rPr>
  </w:style>
  <w:style w:type="paragraph" w:customStyle="1" w:styleId="350">
    <w:name w:val="样式1"/>
    <w:basedOn w:val="1"/>
    <w:link w:val="349"/>
    <w:qFormat/>
    <w:uiPriority w:val="0"/>
    <w:pPr>
      <w:snapToGrid w:val="0"/>
      <w:spacing w:before="60" w:line="460" w:lineRule="exact"/>
      <w:ind w:firstLine="480" w:firstLineChars="200"/>
    </w:pPr>
    <w:rPr>
      <w:sz w:val="24"/>
      <w:szCs w:val="24"/>
    </w:rPr>
  </w:style>
  <w:style w:type="character" w:customStyle="1" w:styleId="351">
    <w:name w:val="3级标题 Char Char"/>
    <w:qFormat/>
    <w:uiPriority w:val="0"/>
    <w:rPr>
      <w:rFonts w:eastAsia="宋体"/>
      <w:b/>
      <w:kern w:val="2"/>
      <w:sz w:val="24"/>
      <w:szCs w:val="24"/>
      <w:lang w:val="en-US" w:eastAsia="zh-CN" w:bidi="ar-SA"/>
    </w:rPr>
  </w:style>
  <w:style w:type="character" w:customStyle="1" w:styleId="352">
    <w:name w:val="isellp"/>
    <w:qFormat/>
    <w:uiPriority w:val="0"/>
  </w:style>
  <w:style w:type="character" w:customStyle="1" w:styleId="353">
    <w:name w:val="标题 2 Char"/>
    <w:qFormat/>
    <w:uiPriority w:val="0"/>
    <w:rPr>
      <w:rFonts w:ascii="Arial" w:hAnsi="Arial" w:eastAsia="黑体"/>
      <w:b/>
      <w:bCs/>
      <w:kern w:val="2"/>
      <w:sz w:val="32"/>
      <w:szCs w:val="32"/>
      <w:lang w:val="en-US" w:eastAsia="zh-CN" w:bidi="ar-SA"/>
    </w:rPr>
  </w:style>
  <w:style w:type="character" w:customStyle="1" w:styleId="354">
    <w:name w:val="Char Char10"/>
    <w:semiHidden/>
    <w:qFormat/>
    <w:uiPriority w:val="0"/>
    <w:rPr>
      <w:rFonts w:eastAsia="宋体"/>
      <w:kern w:val="2"/>
      <w:sz w:val="18"/>
      <w:szCs w:val="18"/>
      <w:lang w:val="en-US" w:eastAsia="zh-CN" w:bidi="ar-SA"/>
    </w:rPr>
  </w:style>
  <w:style w:type="character" w:customStyle="1" w:styleId="355">
    <w:name w:val="apple-converted-space"/>
    <w:basedOn w:val="58"/>
    <w:qFormat/>
    <w:uiPriority w:val="0"/>
  </w:style>
  <w:style w:type="character" w:customStyle="1" w:styleId="356">
    <w:name w:val="content1"/>
    <w:qFormat/>
    <w:uiPriority w:val="0"/>
    <w:rPr>
      <w:rFonts w:hint="eastAsia" w:ascii="宋体" w:hAnsi="宋体" w:eastAsia="宋体"/>
      <w:color w:val="333333"/>
      <w:sz w:val="21"/>
      <w:szCs w:val="21"/>
    </w:rPr>
  </w:style>
  <w:style w:type="character" w:customStyle="1" w:styleId="357">
    <w:name w:val="bititle"/>
    <w:basedOn w:val="58"/>
    <w:qFormat/>
    <w:uiPriority w:val="0"/>
  </w:style>
  <w:style w:type="character" w:customStyle="1" w:styleId="358">
    <w:name w:val="Char Char13"/>
    <w:qFormat/>
    <w:uiPriority w:val="0"/>
    <w:rPr>
      <w:rFonts w:eastAsia="宋体"/>
      <w:kern w:val="2"/>
      <w:sz w:val="21"/>
      <w:szCs w:val="24"/>
      <w:lang w:val="en-US" w:eastAsia="zh-CN" w:bidi="ar-SA"/>
    </w:rPr>
  </w:style>
  <w:style w:type="character" w:customStyle="1" w:styleId="359">
    <w:name w:val="Char Char16"/>
    <w:qFormat/>
    <w:uiPriority w:val="0"/>
    <w:rPr>
      <w:rFonts w:ascii="Times New Roman" w:hAnsi="Times New Roman"/>
      <w:kern w:val="2"/>
      <w:sz w:val="21"/>
      <w:szCs w:val="24"/>
    </w:rPr>
  </w:style>
  <w:style w:type="character" w:customStyle="1" w:styleId="360">
    <w:name w:val="Char Char15"/>
    <w:qFormat/>
    <w:uiPriority w:val="0"/>
    <w:rPr>
      <w:rFonts w:ascii="Times New Roman" w:hAnsi="Times New Roman"/>
      <w:kern w:val="2"/>
      <w:sz w:val="18"/>
      <w:szCs w:val="18"/>
    </w:rPr>
  </w:style>
  <w:style w:type="character" w:customStyle="1" w:styleId="361">
    <w:name w:val="主体 Char"/>
    <w:link w:val="362"/>
    <w:qFormat/>
    <w:uiPriority w:val="0"/>
    <w:rPr>
      <w:rFonts w:eastAsia="仿宋_GB2312"/>
      <w:bCs/>
      <w:sz w:val="24"/>
      <w:szCs w:val="24"/>
    </w:rPr>
  </w:style>
  <w:style w:type="paragraph" w:customStyle="1" w:styleId="362">
    <w:name w:val="主体"/>
    <w:link w:val="361"/>
    <w:qFormat/>
    <w:uiPriority w:val="0"/>
    <w:pPr>
      <w:widowControl w:val="0"/>
      <w:autoSpaceDE w:val="0"/>
      <w:autoSpaceDN w:val="0"/>
      <w:spacing w:line="440" w:lineRule="exact"/>
      <w:ind w:firstLine="480" w:firstLineChars="200"/>
      <w:jc w:val="both"/>
    </w:pPr>
    <w:rPr>
      <w:rFonts w:eastAsia="仿宋_GB2312" w:asciiTheme="minorHAnsi" w:hAnsiTheme="minorHAnsi" w:cstheme="minorBidi"/>
      <w:bCs/>
      <w:kern w:val="2"/>
      <w:sz w:val="24"/>
      <w:szCs w:val="24"/>
      <w:lang w:val="en-US" w:eastAsia="zh-CN" w:bidi="ar-SA"/>
    </w:rPr>
  </w:style>
  <w:style w:type="character" w:customStyle="1" w:styleId="363">
    <w:name w:val="表格内容 Char"/>
    <w:link w:val="364"/>
    <w:qFormat/>
    <w:uiPriority w:val="0"/>
    <w:rPr>
      <w:rFonts w:ascii="Arial" w:hAnsi="Arial" w:eastAsia="宋体"/>
      <w:color w:val="000000"/>
      <w:szCs w:val="24"/>
    </w:rPr>
  </w:style>
  <w:style w:type="paragraph" w:customStyle="1" w:styleId="364">
    <w:name w:val="表格内容"/>
    <w:basedOn w:val="1"/>
    <w:link w:val="363"/>
    <w:qFormat/>
    <w:uiPriority w:val="0"/>
    <w:pPr>
      <w:spacing w:line="360" w:lineRule="exact"/>
      <w:jc w:val="center"/>
    </w:pPr>
    <w:rPr>
      <w:rFonts w:ascii="Arial" w:hAnsi="Arial" w:eastAsia="宋体"/>
      <w:color w:val="000000"/>
      <w:szCs w:val="24"/>
    </w:rPr>
  </w:style>
  <w:style w:type="character" w:customStyle="1" w:styleId="365">
    <w:name w:val="样式 标题 4 + 小四 Char"/>
    <w:link w:val="366"/>
    <w:qFormat/>
    <w:uiPriority w:val="0"/>
    <w:rPr>
      <w:rFonts w:ascii="宋体" w:hAnsi="Courier New"/>
      <w:b/>
      <w:sz w:val="24"/>
    </w:rPr>
  </w:style>
  <w:style w:type="paragraph" w:customStyle="1" w:styleId="366">
    <w:name w:val="样式 标题 4 + 小四"/>
    <w:basedOn w:val="6"/>
    <w:link w:val="365"/>
    <w:qFormat/>
    <w:uiPriority w:val="0"/>
    <w:pPr>
      <w:tabs>
        <w:tab w:val="clear" w:pos="864"/>
      </w:tabs>
      <w:spacing w:before="0" w:line="360" w:lineRule="auto"/>
      <w:ind w:left="0" w:firstLine="0"/>
    </w:pPr>
    <w:rPr>
      <w:rFonts w:ascii="宋体" w:hAnsi="Courier New" w:eastAsiaTheme="minorEastAsia" w:cstheme="minorBidi"/>
      <w:szCs w:val="22"/>
    </w:rPr>
  </w:style>
  <w:style w:type="character" w:customStyle="1" w:styleId="367">
    <w:name w:val="页脚 Char1"/>
    <w:semiHidden/>
    <w:qFormat/>
    <w:uiPriority w:val="0"/>
    <w:rPr>
      <w:kern w:val="2"/>
      <w:sz w:val="18"/>
      <w:szCs w:val="18"/>
    </w:rPr>
  </w:style>
  <w:style w:type="character" w:customStyle="1" w:styleId="368">
    <w:name w:val="批注文字 Char1"/>
    <w:semiHidden/>
    <w:qFormat/>
    <w:uiPriority w:val="0"/>
    <w:rPr>
      <w:kern w:val="2"/>
      <w:sz w:val="21"/>
      <w:szCs w:val="24"/>
    </w:rPr>
  </w:style>
  <w:style w:type="character" w:customStyle="1" w:styleId="369">
    <w:name w:val="普通(网站) Char"/>
    <w:semiHidden/>
    <w:qFormat/>
    <w:locked/>
    <w:uiPriority w:val="0"/>
    <w:rPr>
      <w:sz w:val="18"/>
      <w:szCs w:val="18"/>
    </w:rPr>
  </w:style>
  <w:style w:type="character" w:customStyle="1" w:styleId="370">
    <w:name w:val="正文文本 3 Char1"/>
    <w:semiHidden/>
    <w:qFormat/>
    <w:uiPriority w:val="0"/>
    <w:rPr>
      <w:kern w:val="2"/>
      <w:sz w:val="16"/>
      <w:szCs w:val="16"/>
    </w:rPr>
  </w:style>
  <w:style w:type="character" w:customStyle="1" w:styleId="371">
    <w:name w:val="文档结构图 Char1"/>
    <w:semiHidden/>
    <w:qFormat/>
    <w:uiPriority w:val="0"/>
    <w:rPr>
      <w:rFonts w:ascii="宋体"/>
      <w:kern w:val="2"/>
      <w:sz w:val="18"/>
      <w:szCs w:val="18"/>
    </w:rPr>
  </w:style>
  <w:style w:type="character" w:customStyle="1" w:styleId="372">
    <w:name w:val="批注主题 Char1"/>
    <w:semiHidden/>
    <w:qFormat/>
    <w:uiPriority w:val="0"/>
    <w:rPr>
      <w:b/>
      <w:bCs/>
      <w:kern w:val="2"/>
      <w:sz w:val="21"/>
      <w:szCs w:val="24"/>
    </w:rPr>
  </w:style>
  <w:style w:type="character" w:customStyle="1" w:styleId="373">
    <w:name w:val="正文文本 2 Char1"/>
    <w:semiHidden/>
    <w:qFormat/>
    <w:uiPriority w:val="0"/>
    <w:rPr>
      <w:kern w:val="2"/>
      <w:sz w:val="21"/>
      <w:szCs w:val="24"/>
    </w:rPr>
  </w:style>
  <w:style w:type="character" w:customStyle="1" w:styleId="374">
    <w:name w:val="Char21"/>
    <w:qFormat/>
    <w:uiPriority w:val="0"/>
    <w:rPr>
      <w:rFonts w:hint="default" w:ascii="Arial" w:hAnsi="Arial" w:eastAsia="黑体" w:cs="Arial"/>
      <w:b/>
      <w:bCs/>
      <w:kern w:val="2"/>
      <w:sz w:val="28"/>
      <w:szCs w:val="28"/>
      <w:lang w:val="en-US" w:eastAsia="zh-CN" w:bidi="ar-SA"/>
    </w:rPr>
  </w:style>
  <w:style w:type="character" w:customStyle="1" w:styleId="375">
    <w:name w:val="表格下方正文 Char"/>
    <w:qFormat/>
    <w:uiPriority w:val="0"/>
    <w:rPr>
      <w:rFonts w:eastAsia="宋体"/>
      <w:bCs/>
      <w:kern w:val="2"/>
      <w:sz w:val="24"/>
      <w:szCs w:val="24"/>
      <w:lang w:val="en-US" w:eastAsia="zh-CN" w:bidi="ar-SA"/>
    </w:rPr>
  </w:style>
  <w:style w:type="character" w:customStyle="1" w:styleId="376">
    <w:name w:val="fontstrikethrough"/>
    <w:qFormat/>
    <w:uiPriority w:val="0"/>
    <w:rPr>
      <w:strike/>
    </w:rPr>
  </w:style>
  <w:style w:type="character" w:customStyle="1" w:styleId="377">
    <w:name w:val="ui-bz-bg-hover"/>
    <w:qFormat/>
    <w:uiPriority w:val="0"/>
    <w:rPr>
      <w:shd w:val="clear" w:color="auto" w:fill="000000"/>
    </w:rPr>
  </w:style>
  <w:style w:type="character" w:customStyle="1" w:styleId="378">
    <w:name w:val="top-icon"/>
    <w:basedOn w:val="58"/>
    <w:qFormat/>
    <w:uiPriority w:val="0"/>
  </w:style>
  <w:style w:type="character" w:customStyle="1" w:styleId="379">
    <w:name w:val="bds_nopic"/>
    <w:basedOn w:val="58"/>
    <w:qFormat/>
    <w:uiPriority w:val="0"/>
  </w:style>
  <w:style w:type="character" w:customStyle="1" w:styleId="380">
    <w:name w:val="bds_nopic2"/>
    <w:basedOn w:val="58"/>
    <w:qFormat/>
    <w:uiPriority w:val="0"/>
  </w:style>
  <w:style w:type="character" w:customStyle="1" w:styleId="381">
    <w:name w:val="t-tag"/>
    <w:qFormat/>
    <w:uiPriority w:val="0"/>
    <w:rPr>
      <w:color w:val="FFFFFF"/>
      <w:sz w:val="18"/>
      <w:szCs w:val="18"/>
      <w:shd w:val="clear" w:color="auto" w:fill="FE8833"/>
    </w:rPr>
  </w:style>
  <w:style w:type="character" w:customStyle="1" w:styleId="382">
    <w:name w:val="orange"/>
    <w:qFormat/>
    <w:uiPriority w:val="0"/>
    <w:rPr>
      <w:color w:val="3FB58F"/>
    </w:rPr>
  </w:style>
  <w:style w:type="character" w:customStyle="1" w:styleId="383">
    <w:name w:val="正文文本缩进 3 Char"/>
    <w:link w:val="42"/>
    <w:qFormat/>
    <w:uiPriority w:val="0"/>
    <w:rPr>
      <w:sz w:val="16"/>
      <w:szCs w:val="16"/>
    </w:rPr>
  </w:style>
  <w:style w:type="character" w:customStyle="1" w:styleId="384">
    <w:name w:val="正文文本缩进 3 字符1"/>
    <w:basedOn w:val="58"/>
    <w:semiHidden/>
    <w:qFormat/>
    <w:uiPriority w:val="99"/>
    <w:rPr>
      <w:sz w:val="16"/>
      <w:szCs w:val="16"/>
    </w:rPr>
  </w:style>
  <w:style w:type="character" w:customStyle="1" w:styleId="385">
    <w:name w:val="居中正文 Char"/>
    <w:link w:val="386"/>
    <w:qFormat/>
    <w:uiPriority w:val="0"/>
    <w:rPr>
      <w:rFonts w:ascii="宋体"/>
      <w:kern w:val="28"/>
      <w:sz w:val="24"/>
    </w:rPr>
  </w:style>
  <w:style w:type="paragraph" w:customStyle="1" w:styleId="386">
    <w:name w:val="居中正文"/>
    <w:basedOn w:val="50"/>
    <w:link w:val="385"/>
    <w:qFormat/>
    <w:uiPriority w:val="0"/>
    <w:pPr>
      <w:adjustRightInd w:val="0"/>
      <w:spacing w:after="0" w:line="360" w:lineRule="auto"/>
      <w:ind w:firstLine="0" w:firstLineChars="0"/>
      <w:jc w:val="center"/>
      <w:textAlignment w:val="baseline"/>
    </w:pPr>
    <w:rPr>
      <w:rFonts w:ascii="宋体" w:hAnsiTheme="minorHAnsi" w:eastAsiaTheme="minorEastAsia"/>
      <w:kern w:val="28"/>
      <w:szCs w:val="22"/>
    </w:rPr>
  </w:style>
  <w:style w:type="character" w:customStyle="1" w:styleId="387">
    <w:name w:val="正文首行缩进2个字 Char Char"/>
    <w:link w:val="388"/>
    <w:qFormat/>
    <w:uiPriority w:val="0"/>
    <w:rPr>
      <w:rFonts w:eastAsia="楷体"/>
      <w:sz w:val="24"/>
      <w:szCs w:val="24"/>
    </w:rPr>
  </w:style>
  <w:style w:type="paragraph" w:customStyle="1" w:styleId="388">
    <w:name w:val="正文首行缩进2个字 Char"/>
    <w:basedOn w:val="1"/>
    <w:link w:val="387"/>
    <w:qFormat/>
    <w:uiPriority w:val="0"/>
    <w:pPr>
      <w:ind w:firstLine="480" w:firstLineChars="200"/>
    </w:pPr>
    <w:rPr>
      <w:rFonts w:eastAsia="楷体"/>
      <w:sz w:val="24"/>
      <w:szCs w:val="24"/>
    </w:rPr>
  </w:style>
  <w:style w:type="character" w:customStyle="1" w:styleId="389">
    <w:name w:val="正 Char"/>
    <w:link w:val="390"/>
    <w:qFormat/>
    <w:uiPriority w:val="0"/>
    <w:rPr>
      <w:sz w:val="24"/>
    </w:rPr>
  </w:style>
  <w:style w:type="paragraph" w:customStyle="1" w:styleId="390">
    <w:name w:val="正"/>
    <w:basedOn w:val="1"/>
    <w:link w:val="389"/>
    <w:qFormat/>
    <w:uiPriority w:val="0"/>
    <w:pPr>
      <w:spacing w:line="360" w:lineRule="auto"/>
      <w:ind w:firstLine="200" w:firstLineChars="200"/>
    </w:pPr>
    <w:rPr>
      <w:sz w:val="24"/>
    </w:rPr>
  </w:style>
  <w:style w:type="character" w:customStyle="1" w:styleId="391">
    <w:name w:val="书表格内 Char"/>
    <w:link w:val="392"/>
    <w:qFormat/>
    <w:uiPriority w:val="0"/>
    <w:rPr>
      <w:rFonts w:ascii="宋体" w:hAnsi="宋体"/>
      <w:szCs w:val="21"/>
    </w:rPr>
  </w:style>
  <w:style w:type="paragraph" w:customStyle="1" w:styleId="392">
    <w:name w:val="书表格内"/>
    <w:basedOn w:val="1"/>
    <w:link w:val="391"/>
    <w:qFormat/>
    <w:uiPriority w:val="0"/>
    <w:pPr>
      <w:framePr w:hSpace="180" w:wrap="around" w:vAnchor="text" w:hAnchor="text" w:xAlign="center" w:y="1"/>
      <w:spacing w:line="240" w:lineRule="exact"/>
      <w:jc w:val="center"/>
    </w:pPr>
    <w:rPr>
      <w:rFonts w:ascii="宋体" w:hAnsi="宋体"/>
      <w:szCs w:val="21"/>
    </w:rPr>
  </w:style>
  <w:style w:type="character" w:customStyle="1" w:styleId="393">
    <w:name w:val="hps"/>
    <w:qFormat/>
    <w:uiPriority w:val="99"/>
    <w:rPr>
      <w:rFonts w:cs="Times New Roman"/>
    </w:rPr>
  </w:style>
  <w:style w:type="character" w:customStyle="1" w:styleId="394">
    <w:name w:val="Char Char1 Char Char"/>
    <w:link w:val="395"/>
    <w:qFormat/>
    <w:uiPriority w:val="0"/>
    <w:rPr>
      <w:rFonts w:ascii="宋体" w:hAnsi="宋体" w:cs="宋体"/>
      <w:sz w:val="24"/>
      <w:szCs w:val="24"/>
    </w:rPr>
  </w:style>
  <w:style w:type="paragraph" w:customStyle="1" w:styleId="395">
    <w:name w:val="Char Char1"/>
    <w:basedOn w:val="1"/>
    <w:link w:val="394"/>
    <w:qFormat/>
    <w:uiPriority w:val="0"/>
    <w:pPr>
      <w:spacing w:line="360" w:lineRule="auto"/>
      <w:ind w:firstLine="200" w:firstLineChars="200"/>
    </w:pPr>
    <w:rPr>
      <w:rFonts w:ascii="宋体" w:hAnsi="宋体" w:cs="宋体"/>
      <w:sz w:val="24"/>
      <w:szCs w:val="24"/>
    </w:rPr>
  </w:style>
  <w:style w:type="character" w:customStyle="1" w:styleId="396">
    <w:name w:val="Char Char Char Char Char"/>
    <w:qFormat/>
    <w:uiPriority w:val="0"/>
    <w:rPr>
      <w:rFonts w:eastAsia="宋体"/>
      <w:b/>
      <w:sz w:val="24"/>
      <w:lang w:val="en-US" w:eastAsia="zh-CN" w:bidi="ar-SA"/>
    </w:rPr>
  </w:style>
  <w:style w:type="character" w:customStyle="1" w:styleId="397">
    <w:name w:val="样式 (符号) 宋体 小四"/>
    <w:qFormat/>
    <w:uiPriority w:val="0"/>
    <w:rPr>
      <w:rFonts w:ascii="Times New Roman" w:hAnsi="Times New Roman"/>
      <w:sz w:val="24"/>
      <w:szCs w:val="24"/>
    </w:rPr>
  </w:style>
  <w:style w:type="character" w:customStyle="1" w:styleId="398">
    <w:name w:val="表格下方正文 Char Char"/>
    <w:qFormat/>
    <w:uiPriority w:val="0"/>
    <w:rPr>
      <w:rFonts w:eastAsia="宋体"/>
      <w:kern w:val="2"/>
      <w:sz w:val="24"/>
      <w:lang w:val="en-US" w:eastAsia="zh-CN" w:bidi="ar-SA"/>
    </w:rPr>
  </w:style>
  <w:style w:type="character" w:customStyle="1" w:styleId="399">
    <w:name w:val="样式 正文文本 + 小四 Char Char"/>
    <w:link w:val="400"/>
    <w:qFormat/>
    <w:uiPriority w:val="0"/>
    <w:rPr>
      <w:sz w:val="24"/>
      <w:szCs w:val="24"/>
    </w:rPr>
  </w:style>
  <w:style w:type="paragraph" w:customStyle="1" w:styleId="400">
    <w:name w:val="样式 正文文本 + 小四"/>
    <w:basedOn w:val="20"/>
    <w:link w:val="399"/>
    <w:qFormat/>
    <w:uiPriority w:val="0"/>
    <w:rPr>
      <w:rFonts w:asciiTheme="minorHAnsi" w:hAnsiTheme="minorHAnsi" w:eastAsiaTheme="minorEastAsia" w:cstheme="minorBidi"/>
      <w:sz w:val="24"/>
      <w:szCs w:val="24"/>
    </w:rPr>
  </w:style>
  <w:style w:type="character" w:customStyle="1" w:styleId="401">
    <w:name w:val="black141"/>
    <w:qFormat/>
    <w:uiPriority w:val="0"/>
    <w:rPr>
      <w:rFonts w:ascii="宋体" w:hAnsi="宋体" w:eastAsia="宋体" w:cs="宋体"/>
      <w:color w:val="000000"/>
      <w:kern w:val="2"/>
      <w:sz w:val="28"/>
      <w:szCs w:val="28"/>
      <w:lang w:val="en-US" w:eastAsia="zh-CN" w:bidi="ar-SA"/>
    </w:rPr>
  </w:style>
  <w:style w:type="character" w:customStyle="1" w:styleId="402">
    <w:name w:val="a21"/>
    <w:qFormat/>
    <w:uiPriority w:val="0"/>
    <w:rPr>
      <w:rFonts w:hint="default" w:ascii="Geneva" w:hAnsi="Geneva"/>
      <w:color w:val="000000"/>
      <w:sz w:val="23"/>
      <w:szCs w:val="23"/>
      <w:u w:val="none"/>
    </w:rPr>
  </w:style>
  <w:style w:type="character" w:customStyle="1" w:styleId="403">
    <w:name w:val="正文00000 Char"/>
    <w:link w:val="404"/>
    <w:qFormat/>
    <w:uiPriority w:val="0"/>
    <w:rPr>
      <w:sz w:val="24"/>
    </w:rPr>
  </w:style>
  <w:style w:type="paragraph" w:customStyle="1" w:styleId="404">
    <w:name w:val="正文00000"/>
    <w:basedOn w:val="1"/>
    <w:link w:val="403"/>
    <w:qFormat/>
    <w:uiPriority w:val="0"/>
    <w:pPr>
      <w:adjustRightInd w:val="0"/>
      <w:snapToGrid w:val="0"/>
      <w:spacing w:line="440" w:lineRule="atLeast"/>
      <w:ind w:firstLine="482"/>
    </w:pPr>
    <w:rPr>
      <w:sz w:val="24"/>
    </w:rPr>
  </w:style>
  <w:style w:type="character" w:customStyle="1" w:styleId="405">
    <w:name w:val="正文000000000000000 宋体 小四 黑色 首行缩进:  0.85 厘米 行距: 固定值 22 磅 Char"/>
    <w:link w:val="406"/>
    <w:qFormat/>
    <w:uiPriority w:val="0"/>
    <w:rPr>
      <w:color w:val="000000"/>
      <w:sz w:val="24"/>
      <w:szCs w:val="24"/>
    </w:rPr>
  </w:style>
  <w:style w:type="paragraph" w:customStyle="1" w:styleId="406">
    <w:name w:val="正文000000000000000 宋体 小四 黑色 首行缩进:  0.85 厘米 行距: 固定值 22 磅"/>
    <w:basedOn w:val="1"/>
    <w:link w:val="405"/>
    <w:qFormat/>
    <w:uiPriority w:val="0"/>
    <w:pPr>
      <w:spacing w:line="460" w:lineRule="exact"/>
      <w:ind w:firstLine="200" w:firstLineChars="200"/>
    </w:pPr>
    <w:rPr>
      <w:color w:val="000000"/>
      <w:sz w:val="24"/>
      <w:szCs w:val="24"/>
    </w:rPr>
  </w:style>
  <w:style w:type="character" w:customStyle="1" w:styleId="407">
    <w:name w:val="font41"/>
    <w:qFormat/>
    <w:uiPriority w:val="0"/>
    <w:rPr>
      <w:rFonts w:hint="eastAsia" w:ascii="宋体" w:hAnsi="宋体" w:eastAsia="宋体" w:cs="宋体"/>
      <w:color w:val="000000"/>
      <w:sz w:val="20"/>
      <w:szCs w:val="20"/>
      <w:u w:val="none"/>
    </w:rPr>
  </w:style>
  <w:style w:type="character" w:customStyle="1" w:styleId="408">
    <w:name w:val="font51"/>
    <w:qFormat/>
    <w:uiPriority w:val="0"/>
    <w:rPr>
      <w:rFonts w:hint="eastAsia" w:ascii="宋体" w:hAnsi="宋体" w:eastAsia="宋体" w:cs="宋体"/>
      <w:color w:val="000000"/>
      <w:sz w:val="20"/>
      <w:szCs w:val="20"/>
      <w:u w:val="none"/>
    </w:rPr>
  </w:style>
  <w:style w:type="character" w:customStyle="1" w:styleId="409">
    <w:name w:val="@@@@@ Char"/>
    <w:link w:val="410"/>
    <w:qFormat/>
    <w:uiPriority w:val="0"/>
    <w:rPr>
      <w:rFonts w:ascii="宋体" w:hAnsi="宋体"/>
      <w:sz w:val="24"/>
    </w:rPr>
  </w:style>
  <w:style w:type="paragraph" w:customStyle="1" w:styleId="410">
    <w:name w:val="@@@@@"/>
    <w:basedOn w:val="26"/>
    <w:link w:val="409"/>
    <w:qFormat/>
    <w:uiPriority w:val="0"/>
    <w:pPr>
      <w:adjustRightInd w:val="0"/>
      <w:snapToGrid w:val="0"/>
      <w:ind w:left="-16" w:leftChars="-51" w:right="-143" w:rightChars="-68" w:hanging="91" w:hangingChars="38"/>
      <w:jc w:val="center"/>
    </w:pPr>
    <w:rPr>
      <w:rFonts w:hAnsi="宋体" w:eastAsiaTheme="minorEastAsia"/>
      <w:sz w:val="24"/>
    </w:rPr>
  </w:style>
  <w:style w:type="character" w:customStyle="1" w:styleId="411">
    <w:name w:val="样式15 Char"/>
    <w:link w:val="412"/>
    <w:qFormat/>
    <w:uiPriority w:val="0"/>
    <w:rPr>
      <w:rFonts w:ascii="Arial" w:hAnsi="宋体" w:cs="Arial"/>
      <w:spacing w:val="10"/>
      <w:sz w:val="24"/>
      <w:szCs w:val="24"/>
    </w:rPr>
  </w:style>
  <w:style w:type="paragraph" w:customStyle="1" w:styleId="412">
    <w:name w:val="样式15"/>
    <w:basedOn w:val="2"/>
    <w:link w:val="411"/>
    <w:qFormat/>
    <w:uiPriority w:val="0"/>
    <w:pPr>
      <w:spacing w:line="264" w:lineRule="auto"/>
      <w:ind w:firstLine="476" w:firstLineChars="0"/>
      <w:jc w:val="left"/>
    </w:pPr>
    <w:rPr>
      <w:rFonts w:ascii="Arial" w:hAnsi="宋体" w:cs="Arial"/>
      <w:spacing w:val="10"/>
      <w:sz w:val="24"/>
      <w:szCs w:val="24"/>
    </w:rPr>
  </w:style>
  <w:style w:type="character" w:customStyle="1" w:styleId="413">
    <w:name w:val="表头（倪） Char"/>
    <w:link w:val="414"/>
    <w:qFormat/>
    <w:uiPriority w:val="0"/>
    <w:rPr>
      <w:b/>
      <w:bCs/>
      <w:sz w:val="24"/>
      <w:szCs w:val="28"/>
    </w:rPr>
  </w:style>
  <w:style w:type="paragraph" w:customStyle="1" w:styleId="414">
    <w:name w:val="表头（倪）"/>
    <w:basedOn w:val="1"/>
    <w:link w:val="413"/>
    <w:qFormat/>
    <w:uiPriority w:val="0"/>
    <w:pPr>
      <w:keepNext/>
      <w:keepLines/>
      <w:spacing w:line="360" w:lineRule="auto"/>
      <w:ind w:left="426"/>
      <w:jc w:val="center"/>
      <w:outlineLvl w:val="3"/>
    </w:pPr>
    <w:rPr>
      <w:b/>
      <w:bCs/>
      <w:sz w:val="24"/>
      <w:szCs w:val="28"/>
    </w:rPr>
  </w:style>
  <w:style w:type="character" w:customStyle="1" w:styleId="415">
    <w:name w:val="标题 Char"/>
    <w:basedOn w:val="58"/>
    <w:link w:val="48"/>
    <w:qFormat/>
    <w:uiPriority w:val="0"/>
    <w:rPr>
      <w:rFonts w:ascii="宋体" w:hAnsi="宋体" w:eastAsia="宋体" w:cs="Times New Roman"/>
      <w:b/>
      <w:sz w:val="30"/>
      <w:szCs w:val="20"/>
    </w:rPr>
  </w:style>
  <w:style w:type="character" w:customStyle="1" w:styleId="416">
    <w:name w:val="正文文本 2 Char"/>
    <w:basedOn w:val="58"/>
    <w:link w:val="45"/>
    <w:qFormat/>
    <w:uiPriority w:val="0"/>
    <w:rPr>
      <w:rFonts w:ascii="Times New Roman" w:hAnsi="Times New Roman" w:eastAsia="宋体" w:cs="Times New Roman"/>
      <w:szCs w:val="24"/>
    </w:rPr>
  </w:style>
  <w:style w:type="character" w:customStyle="1" w:styleId="417">
    <w:name w:val="副标题 Char"/>
    <w:basedOn w:val="58"/>
    <w:link w:val="40"/>
    <w:qFormat/>
    <w:uiPriority w:val="0"/>
    <w:rPr>
      <w:rFonts w:ascii="Cambria" w:hAnsi="Cambria" w:eastAsia="宋体" w:cs="Times New Roman"/>
      <w:b/>
      <w:bCs/>
      <w:kern w:val="28"/>
      <w:sz w:val="32"/>
      <w:szCs w:val="32"/>
      <w:lang w:val="zh-CN" w:eastAsia="zh-CN"/>
    </w:rPr>
  </w:style>
  <w:style w:type="paragraph" w:customStyle="1" w:styleId="418">
    <w:name w:val="（空格行"/>
    <w:basedOn w:val="1"/>
    <w:qFormat/>
    <w:uiPriority w:val="0"/>
    <w:pPr>
      <w:ind w:firstLine="480" w:firstLineChars="200"/>
    </w:pPr>
    <w:rPr>
      <w:rFonts w:ascii="Times New Roman" w:hAnsi="Times New Roman" w:eastAsia="仿宋_GB2312" w:cs="Times New Roman"/>
      <w:sz w:val="24"/>
      <w:szCs w:val="24"/>
    </w:rPr>
  </w:style>
  <w:style w:type="paragraph" w:customStyle="1" w:styleId="419">
    <w:name w:val="标题b"/>
    <w:basedOn w:val="4"/>
    <w:qFormat/>
    <w:uiPriority w:val="0"/>
    <w:pPr>
      <w:spacing w:before="0" w:after="0" w:line="360" w:lineRule="auto"/>
    </w:pPr>
    <w:rPr>
      <w:rFonts w:ascii="Times New Roman" w:hAnsi="Times New Roman" w:eastAsia="宋体" w:cs="宋体"/>
      <w:sz w:val="28"/>
      <w:szCs w:val="20"/>
    </w:rPr>
  </w:style>
  <w:style w:type="paragraph" w:customStyle="1" w:styleId="420">
    <w:name w:val="Char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421">
    <w:name w:val="中文报告书样式"/>
    <w:basedOn w:val="1"/>
    <w:qFormat/>
    <w:uiPriority w:val="0"/>
    <w:pPr>
      <w:adjustRightInd w:val="0"/>
      <w:spacing w:line="480" w:lineRule="atLeast"/>
      <w:ind w:firstLine="482"/>
      <w:textAlignment w:val="baseline"/>
    </w:pPr>
    <w:rPr>
      <w:rFonts w:ascii="Times New Roman" w:hAnsi="Times New Roman" w:eastAsia="宋体" w:cs="Times New Roman"/>
      <w:kern w:val="24"/>
      <w:sz w:val="24"/>
      <w:szCs w:val="20"/>
    </w:rPr>
  </w:style>
  <w:style w:type="paragraph" w:customStyle="1" w:styleId="422">
    <w:name w:val="Char Char Char1 Char Char Char"/>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423">
    <w:name w:val="表格头"/>
    <w:basedOn w:val="1"/>
    <w:qFormat/>
    <w:uiPriority w:val="0"/>
    <w:pPr>
      <w:jc w:val="center"/>
    </w:pPr>
    <w:rPr>
      <w:rFonts w:ascii="Times New Roman" w:hAnsi="Times New Roman" w:eastAsia="宋体" w:cs="Times New Roman"/>
      <w:sz w:val="24"/>
      <w:szCs w:val="24"/>
    </w:rPr>
  </w:style>
  <w:style w:type="paragraph" w:customStyle="1" w:styleId="424">
    <w:name w:val="样式 小四 首行缩进:  24 磅 行距: 多倍行距 1.25 字行"/>
    <w:basedOn w:val="1"/>
    <w:qFormat/>
    <w:uiPriority w:val="0"/>
    <w:pPr>
      <w:adjustRightInd w:val="0"/>
      <w:spacing w:line="440" w:lineRule="exact"/>
      <w:ind w:firstLine="480"/>
      <w:textAlignment w:val="baseline"/>
    </w:pPr>
    <w:rPr>
      <w:rFonts w:ascii="Times New Roman" w:hAnsi="Times New Roman" w:eastAsia="宋体" w:cs="Times New Roman"/>
      <w:kern w:val="0"/>
      <w:sz w:val="24"/>
      <w:szCs w:val="20"/>
    </w:rPr>
  </w:style>
  <w:style w:type="paragraph" w:customStyle="1" w:styleId="425">
    <w:name w:val="样式 正文1 + 段前: 0.1 行"/>
    <w:basedOn w:val="1"/>
    <w:qFormat/>
    <w:uiPriority w:val="0"/>
    <w:pPr>
      <w:snapToGrid w:val="0"/>
      <w:spacing w:beforeLines="10" w:line="440" w:lineRule="atLeast"/>
      <w:ind w:firstLine="567"/>
    </w:pPr>
    <w:rPr>
      <w:rFonts w:ascii="Times New Roman" w:hAnsi="Times New Roman" w:eastAsia="宋体" w:cs="宋体"/>
      <w:sz w:val="24"/>
      <w:szCs w:val="20"/>
    </w:rPr>
  </w:style>
  <w:style w:type="paragraph" w:customStyle="1" w:styleId="426">
    <w:name w:val="默认段落字体 Para Char"/>
    <w:basedOn w:val="1"/>
    <w:next w:val="1"/>
    <w:qFormat/>
    <w:uiPriority w:val="0"/>
    <w:pPr>
      <w:spacing w:line="360" w:lineRule="auto"/>
      <w:ind w:left="150" w:leftChars="150" w:firstLine="200" w:firstLineChars="200"/>
    </w:pPr>
    <w:rPr>
      <w:rFonts w:ascii="宋体" w:hAnsi="宋体" w:eastAsia="宋体" w:cs="宋体"/>
      <w:sz w:val="24"/>
      <w:szCs w:val="24"/>
    </w:rPr>
  </w:style>
  <w:style w:type="paragraph" w:customStyle="1" w:styleId="427">
    <w:name w:val="Char Char Char1 Char Char Char1"/>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428">
    <w:name w:val="正文文本 31"/>
    <w:basedOn w:val="1"/>
    <w:semiHidden/>
    <w:qFormat/>
    <w:uiPriority w:val="0"/>
    <w:pPr>
      <w:adjustRightInd w:val="0"/>
      <w:spacing w:line="360" w:lineRule="atLeast"/>
      <w:jc w:val="center"/>
      <w:textAlignment w:val="baseline"/>
    </w:pPr>
    <w:rPr>
      <w:rFonts w:ascii="仿宋体" w:hAnsi="Times New Roman" w:eastAsia="仿宋体" w:cs="Times New Roman"/>
      <w:kern w:val="0"/>
      <w:sz w:val="24"/>
      <w:szCs w:val="20"/>
    </w:rPr>
  </w:style>
  <w:style w:type="paragraph" w:customStyle="1" w:styleId="429">
    <w:name w:val="Char Char5 Char Char"/>
    <w:basedOn w:val="31"/>
    <w:next w:val="1"/>
    <w:qFormat/>
    <w:uiPriority w:val="0"/>
    <w:pPr>
      <w:spacing w:before="60" w:after="0" w:line="460" w:lineRule="exact"/>
      <w:ind w:left="0" w:leftChars="0" w:firstLine="480" w:firstLineChars="200"/>
    </w:pPr>
    <w:rPr>
      <w:bCs/>
      <w:sz w:val="24"/>
    </w:rPr>
  </w:style>
  <w:style w:type="paragraph" w:customStyle="1" w:styleId="430">
    <w:name w:val="编号正文"/>
    <w:basedOn w:val="1"/>
    <w:qFormat/>
    <w:uiPriority w:val="0"/>
    <w:pPr>
      <w:tabs>
        <w:tab w:val="left" w:pos="1200"/>
      </w:tabs>
      <w:ind w:left="1200" w:hanging="720"/>
    </w:pPr>
    <w:rPr>
      <w:rFonts w:ascii="Times New Roman" w:hAnsi="Times New Roman" w:eastAsia="仿宋_GB2312" w:cs="Times New Roman"/>
      <w:sz w:val="28"/>
      <w:szCs w:val="20"/>
    </w:rPr>
  </w:style>
  <w:style w:type="paragraph" w:customStyle="1" w:styleId="431">
    <w:name w:val="表格下方文字"/>
    <w:basedOn w:val="1"/>
    <w:qFormat/>
    <w:uiPriority w:val="0"/>
    <w:pPr>
      <w:adjustRightInd w:val="0"/>
      <w:snapToGrid w:val="0"/>
      <w:spacing w:before="400" w:line="460" w:lineRule="exact"/>
      <w:ind w:firstLine="200" w:firstLineChars="200"/>
    </w:pPr>
    <w:rPr>
      <w:rFonts w:ascii="Times New Roman" w:hAnsi="Times New Roman" w:eastAsia="宋体" w:cs="Times New Roman"/>
      <w:sz w:val="24"/>
      <w:szCs w:val="24"/>
    </w:rPr>
  </w:style>
  <w:style w:type="paragraph" w:customStyle="1" w:styleId="432">
    <w:name w:val="Char Char Char Char Char Char Char"/>
    <w:basedOn w:val="1"/>
    <w:qFormat/>
    <w:uiPriority w:val="0"/>
    <w:rPr>
      <w:rFonts w:ascii="Times New Roman" w:hAnsi="Times New Roman" w:eastAsia="宋体" w:cs="Times New Roman"/>
      <w:szCs w:val="24"/>
    </w:rPr>
  </w:style>
  <w:style w:type="paragraph" w:customStyle="1" w:styleId="433">
    <w:name w:val="aaa"/>
    <w:basedOn w:val="1"/>
    <w:qFormat/>
    <w:uiPriority w:val="0"/>
    <w:pPr>
      <w:spacing w:line="360" w:lineRule="auto"/>
      <w:ind w:firstLine="200" w:firstLineChars="200"/>
    </w:pPr>
    <w:rPr>
      <w:rFonts w:ascii="Times New Roman" w:hAnsi="Times New Roman" w:eastAsia="宋体" w:cs="Times New Roman"/>
      <w:b/>
      <w:sz w:val="24"/>
      <w:szCs w:val="24"/>
    </w:rPr>
  </w:style>
  <w:style w:type="paragraph" w:customStyle="1" w:styleId="434">
    <w:name w:val="zhang正文"/>
    <w:basedOn w:val="21"/>
    <w:qFormat/>
    <w:uiPriority w:val="0"/>
    <w:pPr>
      <w:spacing w:before="60" w:after="0" w:line="460" w:lineRule="exact"/>
      <w:ind w:left="0" w:leftChars="0" w:firstLine="480" w:firstLineChars="200"/>
    </w:pPr>
    <w:rPr>
      <w:rFonts w:ascii="Times New Roman"/>
      <w:szCs w:val="24"/>
    </w:rPr>
  </w:style>
  <w:style w:type="paragraph" w:customStyle="1" w:styleId="435">
    <w:name w:val="表格内文字"/>
    <w:basedOn w:val="20"/>
    <w:qFormat/>
    <w:uiPriority w:val="0"/>
    <w:pPr>
      <w:spacing w:after="0" w:line="320" w:lineRule="exact"/>
      <w:jc w:val="center"/>
    </w:pPr>
    <w:rPr>
      <w:spacing w:val="10"/>
      <w:sz w:val="24"/>
    </w:rPr>
  </w:style>
  <w:style w:type="paragraph" w:customStyle="1" w:styleId="436">
    <w:name w:val="样式 标题 + 黑体 小三 两端对齐 左侧:  0 厘米 首行缩进:  0 厘米 段前: 0 磅 段后: 0 磅 ...2"/>
    <w:basedOn w:val="48"/>
    <w:qFormat/>
    <w:uiPriority w:val="0"/>
    <w:pPr>
      <w:pageBreakBefore/>
      <w:tabs>
        <w:tab w:val="left" w:pos="432"/>
      </w:tabs>
      <w:spacing w:before="100" w:beforeAutospacing="1" w:after="150" w:afterLines="150" w:line="360" w:lineRule="auto"/>
      <w:ind w:left="432" w:hanging="432"/>
      <w:jc w:val="both"/>
    </w:pPr>
    <w:rPr>
      <w:rFonts w:ascii="黑体" w:hAnsi="Arial" w:eastAsia="黑体"/>
      <w:bCs/>
      <w:sz w:val="36"/>
    </w:rPr>
  </w:style>
  <w:style w:type="paragraph" w:customStyle="1" w:styleId="437">
    <w:name w:val="cssh"/>
    <w:basedOn w:val="1"/>
    <w:qFormat/>
    <w:uiPriority w:val="0"/>
    <w:pPr>
      <w:widowControl/>
      <w:spacing w:before="100" w:beforeAutospacing="1" w:after="100" w:afterAutospacing="1" w:line="300" w:lineRule="atLeast"/>
      <w:jc w:val="left"/>
    </w:pPr>
    <w:rPr>
      <w:rFonts w:ascii="Times New Roman" w:hAnsi="Times New Roman" w:eastAsia="宋体" w:cs="Times New Roman"/>
      <w:color w:val="8D0B0B"/>
      <w:kern w:val="0"/>
      <w:sz w:val="18"/>
      <w:szCs w:val="18"/>
    </w:rPr>
  </w:style>
  <w:style w:type="paragraph" w:customStyle="1" w:styleId="438">
    <w:name w:val="表格小五号正文"/>
    <w:basedOn w:val="98"/>
    <w:qFormat/>
    <w:uiPriority w:val="0"/>
    <w:pPr>
      <w:spacing w:line="320" w:lineRule="exact"/>
    </w:pPr>
    <w:rPr>
      <w:snapToGrid w:val="0"/>
      <w:kern w:val="0"/>
      <w:sz w:val="18"/>
      <w:szCs w:val="24"/>
    </w:rPr>
  </w:style>
  <w:style w:type="paragraph" w:customStyle="1" w:styleId="439">
    <w:name w:val="正文3"/>
    <w:basedOn w:val="1"/>
    <w:semiHidden/>
    <w:qFormat/>
    <w:uiPriority w:val="0"/>
    <w:pPr>
      <w:keepNext/>
      <w:adjustRightInd w:val="0"/>
      <w:jc w:val="center"/>
      <w:textAlignment w:val="baseline"/>
    </w:pPr>
    <w:rPr>
      <w:rFonts w:ascii="Times New Roman" w:hAnsi="Times New Roman" w:eastAsia="宋体" w:cs="Times New Roman"/>
      <w:kern w:val="0"/>
      <w:sz w:val="28"/>
      <w:szCs w:val="20"/>
    </w:rPr>
  </w:style>
  <w:style w:type="paragraph" w:customStyle="1" w:styleId="440">
    <w:name w:val="Char Char Char Char Char Char Char Char Char Char Char"/>
    <w:basedOn w:val="1"/>
    <w:qFormat/>
    <w:uiPriority w:val="0"/>
    <w:rPr>
      <w:rFonts w:ascii="Times New Roman" w:hAnsi="Times New Roman" w:eastAsia="宋体" w:cs="Times New Roman"/>
      <w:sz w:val="24"/>
      <w:szCs w:val="24"/>
    </w:rPr>
  </w:style>
  <w:style w:type="paragraph" w:customStyle="1" w:styleId="441">
    <w:name w:val="表格2"/>
    <w:basedOn w:val="1"/>
    <w:qFormat/>
    <w:uiPriority w:val="0"/>
    <w:pPr>
      <w:spacing w:line="400" w:lineRule="exact"/>
      <w:jc w:val="center"/>
    </w:pPr>
    <w:rPr>
      <w:rFonts w:ascii="Times New Roman" w:hAnsi="Times New Roman" w:eastAsia="宋体" w:cs="Times New Roman"/>
      <w:szCs w:val="21"/>
    </w:rPr>
  </w:style>
  <w:style w:type="paragraph" w:customStyle="1" w:styleId="442">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3">
    <w:name w:val="样式3"/>
    <w:basedOn w:val="1"/>
    <w:qFormat/>
    <w:uiPriority w:val="0"/>
    <w:pPr>
      <w:spacing w:before="300" w:line="460" w:lineRule="exact"/>
      <w:outlineLvl w:val="2"/>
    </w:pPr>
    <w:rPr>
      <w:rFonts w:ascii="Arial" w:hAnsi="Arial" w:eastAsia="宋体" w:cs="Times New Roman"/>
      <w:b/>
      <w:sz w:val="24"/>
      <w:szCs w:val="24"/>
    </w:rPr>
  </w:style>
  <w:style w:type="paragraph" w:customStyle="1" w:styleId="444">
    <w:name w:val="样式 3级标题 + 非加粗 段前: 3 磅"/>
    <w:basedOn w:val="217"/>
    <w:qFormat/>
    <w:uiPriority w:val="0"/>
    <w:pPr>
      <w:adjustRightInd w:val="0"/>
      <w:snapToGrid w:val="0"/>
      <w:spacing w:before="60"/>
      <w:ind w:firstLine="200" w:firstLineChars="200"/>
      <w:outlineLvl w:val="9"/>
    </w:pPr>
    <w:rPr>
      <w:rFonts w:cs="宋体"/>
      <w:b w:val="0"/>
      <w:szCs w:val="20"/>
    </w:rPr>
  </w:style>
  <w:style w:type="paragraph" w:customStyle="1" w:styleId="445">
    <w:name w:val="样式10"/>
    <w:basedOn w:val="1"/>
    <w:qFormat/>
    <w:uiPriority w:val="0"/>
    <w:pPr>
      <w:keepNext/>
      <w:keepLines/>
      <w:tabs>
        <w:tab w:val="left" w:pos="2940"/>
      </w:tabs>
      <w:spacing w:before="120"/>
      <w:ind w:left="2940" w:hanging="420"/>
      <w:jc w:val="center"/>
      <w:outlineLvl w:val="3"/>
    </w:pPr>
    <w:rPr>
      <w:rFonts w:ascii="Arial" w:hAnsi="Arial" w:eastAsia="仿宋_GB2312" w:cs="Times New Roman"/>
      <w:b/>
      <w:kern w:val="0"/>
      <w:sz w:val="24"/>
      <w:szCs w:val="20"/>
    </w:rPr>
  </w:style>
  <w:style w:type="paragraph" w:customStyle="1" w:styleId="446">
    <w:name w:val="标题a"/>
    <w:basedOn w:val="3"/>
    <w:qFormat/>
    <w:uiPriority w:val="0"/>
    <w:pPr>
      <w:spacing w:before="0" w:after="0" w:line="360" w:lineRule="auto"/>
    </w:pPr>
    <w:rPr>
      <w:rFonts w:cs="宋体"/>
      <w:sz w:val="32"/>
      <w:szCs w:val="20"/>
    </w:rPr>
  </w:style>
  <w:style w:type="paragraph" w:customStyle="1" w:styleId="447">
    <w:name w:val="样式 标题 2 + 小三 非加粗 段前: 0 磅 段后: 0 磅 行距: 1.5 倍行距"/>
    <w:basedOn w:val="4"/>
    <w:qFormat/>
    <w:uiPriority w:val="0"/>
  </w:style>
  <w:style w:type="paragraph" w:customStyle="1" w:styleId="448">
    <w:name w:val="Char Char1 Char Char Char Char Char Char Char Char Char Char Char Char Char Char Char Char Char Char Char Char1 Char1"/>
    <w:basedOn w:val="1"/>
    <w:qFormat/>
    <w:uiPriority w:val="0"/>
    <w:pPr>
      <w:spacing w:line="360" w:lineRule="auto"/>
      <w:ind w:firstLine="200" w:firstLineChars="200"/>
    </w:pPr>
    <w:rPr>
      <w:rFonts w:ascii="宋体" w:hAnsi="宋体" w:eastAsia="宋体" w:cs="宋体"/>
      <w:sz w:val="24"/>
      <w:szCs w:val="24"/>
    </w:rPr>
  </w:style>
  <w:style w:type="paragraph" w:customStyle="1" w:styleId="449">
    <w:name w:val="f&lt;4&gt;23.5"/>
    <w:qFormat/>
    <w:uiPriority w:val="0"/>
    <w:pPr>
      <w:widowControl w:val="0"/>
      <w:adjustRightInd w:val="0"/>
      <w:spacing w:line="470" w:lineRule="atLeast"/>
      <w:textAlignment w:val="baseline"/>
    </w:pPr>
    <w:rPr>
      <w:rFonts w:ascii="仿宋体" w:hAnsi="Times New Roman" w:eastAsia="仿宋体" w:cs="Times New Roman"/>
      <w:kern w:val="24"/>
      <w:sz w:val="24"/>
      <w:szCs w:val="20"/>
      <w:lang w:val="en-US" w:eastAsia="zh-CN" w:bidi="ar-SA"/>
    </w:rPr>
  </w:style>
  <w:style w:type="paragraph" w:customStyle="1" w:styleId="450">
    <w:name w:val="xl3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451">
    <w:name w:val="注解"/>
    <w:basedOn w:val="2"/>
    <w:qFormat/>
    <w:uiPriority w:val="0"/>
    <w:pPr>
      <w:spacing w:before="60" w:line="360" w:lineRule="exact"/>
      <w:ind w:firstLine="200"/>
    </w:pPr>
    <w:rPr>
      <w:rFonts w:ascii="Times New Roman" w:hAnsi="Times New Roman" w:eastAsia="宋体" w:cs="Times New Roman"/>
      <w:bCs/>
      <w:szCs w:val="28"/>
    </w:rPr>
  </w:style>
  <w:style w:type="paragraph" w:customStyle="1" w:styleId="452">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一级标题-1"/>
    <w:basedOn w:val="454"/>
    <w:qFormat/>
    <w:uiPriority w:val="0"/>
    <w:pPr>
      <w:outlineLvl w:val="0"/>
    </w:pPr>
    <w:rPr>
      <w:bCs w:val="0"/>
      <w:snapToGrid w:val="0"/>
      <w:color w:val="000000"/>
      <w:kern w:val="0"/>
      <w:sz w:val="32"/>
    </w:rPr>
  </w:style>
  <w:style w:type="paragraph" w:customStyle="1" w:styleId="454">
    <w:name w:val="二级标题"/>
    <w:basedOn w:val="1"/>
    <w:qFormat/>
    <w:uiPriority w:val="0"/>
    <w:pPr>
      <w:spacing w:before="60" w:line="460" w:lineRule="exact"/>
      <w:outlineLvl w:val="1"/>
    </w:pPr>
    <w:rPr>
      <w:rFonts w:ascii="Times New Roman" w:hAnsi="Times New Roman" w:eastAsia="宋体" w:cs="Times New Roman"/>
      <w:b/>
      <w:bCs/>
      <w:sz w:val="28"/>
      <w:szCs w:val="24"/>
    </w:rPr>
  </w:style>
  <w:style w:type="paragraph" w:customStyle="1" w:styleId="455">
    <w:name w:val="三级"/>
    <w:basedOn w:val="31"/>
    <w:next w:val="1"/>
    <w:qFormat/>
    <w:uiPriority w:val="0"/>
    <w:pPr>
      <w:spacing w:before="60" w:after="0" w:line="460" w:lineRule="exact"/>
      <w:ind w:left="0" w:leftChars="0" w:firstLine="480" w:firstLineChars="200"/>
    </w:pPr>
    <w:rPr>
      <w:bCs/>
      <w:sz w:val="24"/>
    </w:rPr>
  </w:style>
  <w:style w:type="paragraph" w:customStyle="1" w:styleId="456">
    <w:name w:val="font12"/>
    <w:basedOn w:val="1"/>
    <w:qFormat/>
    <w:uiPriority w:val="0"/>
    <w:pPr>
      <w:widowControl/>
      <w:spacing w:before="100" w:beforeAutospacing="1" w:after="100" w:afterAutospacing="1"/>
      <w:jc w:val="left"/>
    </w:pPr>
    <w:rPr>
      <w:rFonts w:ascii="Times New Roman" w:hAnsi="Times New Roman" w:eastAsia="Arial Unicode MS" w:cs="Times New Roman"/>
      <w:kern w:val="0"/>
      <w:sz w:val="16"/>
      <w:szCs w:val="16"/>
    </w:rPr>
  </w:style>
  <w:style w:type="paragraph" w:customStyle="1" w:styleId="457">
    <w:name w:val="Char Char Char Char Char Char Char3"/>
    <w:basedOn w:val="1"/>
    <w:qFormat/>
    <w:uiPriority w:val="0"/>
    <w:rPr>
      <w:rFonts w:ascii="Times New Roman" w:hAnsi="Times New Roman" w:eastAsia="宋体" w:cs="Times New Roman"/>
      <w:szCs w:val="24"/>
    </w:rPr>
  </w:style>
  <w:style w:type="paragraph" w:customStyle="1" w:styleId="458">
    <w:name w:val="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459">
    <w:name w:val="样式 四号 首行缩进:  2 字符"/>
    <w:basedOn w:val="1"/>
    <w:qFormat/>
    <w:uiPriority w:val="0"/>
    <w:pPr>
      <w:spacing w:line="480" w:lineRule="atLeast"/>
      <w:ind w:firstLine="200" w:firstLineChars="200"/>
    </w:pPr>
    <w:rPr>
      <w:rFonts w:ascii="Times New Roman" w:hAnsi="Times New Roman" w:eastAsia="宋体" w:cs="Times New Roman"/>
      <w:sz w:val="24"/>
      <w:szCs w:val="20"/>
    </w:rPr>
  </w:style>
  <w:style w:type="paragraph" w:customStyle="1" w:styleId="460">
    <w:name w:val="Char Char Char2 Char Char Char Char Char Char Char Char Char Char Char"/>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461">
    <w:name w:val="五号表格"/>
    <w:basedOn w:val="1"/>
    <w:qFormat/>
    <w:uiPriority w:val="0"/>
    <w:pPr>
      <w:jc w:val="center"/>
    </w:pPr>
    <w:rPr>
      <w:rFonts w:ascii="Times New Roman" w:hAnsi="Times New Roman" w:eastAsia="宋体" w:cs="Times New Roman"/>
      <w:kern w:val="0"/>
      <w:szCs w:val="20"/>
    </w:rPr>
  </w:style>
  <w:style w:type="paragraph" w:customStyle="1" w:styleId="462">
    <w:name w:val="样式 标题 1 + 段前: 2 行"/>
    <w:basedOn w:val="3"/>
    <w:qFormat/>
    <w:uiPriority w:val="0"/>
    <w:pPr>
      <w:widowControl/>
      <w:spacing w:before="0" w:after="0" w:line="312" w:lineRule="auto"/>
      <w:ind w:left="0" w:firstLine="0"/>
      <w:jc w:val="center"/>
    </w:pPr>
    <w:rPr>
      <w:rFonts w:ascii="黑体" w:eastAsia="黑体"/>
      <w:bCs w:val="0"/>
      <w:spacing w:val="10"/>
      <w:kern w:val="0"/>
      <w:sz w:val="32"/>
      <w:szCs w:val="20"/>
    </w:rPr>
  </w:style>
  <w:style w:type="paragraph" w:customStyle="1" w:styleId="463">
    <w:name w:val="title2"/>
    <w:basedOn w:val="1"/>
    <w:qFormat/>
    <w:uiPriority w:val="0"/>
    <w:pPr>
      <w:widowControl/>
      <w:spacing w:before="100" w:beforeAutospacing="1" w:after="100" w:afterAutospacing="1" w:line="312" w:lineRule="auto"/>
      <w:jc w:val="left"/>
    </w:pPr>
    <w:rPr>
      <w:rFonts w:ascii="Times New Roman" w:hAnsi="Times New Roman" w:eastAsia="宋体" w:cs="Times New Roman"/>
      <w:kern w:val="0"/>
      <w:szCs w:val="21"/>
    </w:rPr>
  </w:style>
  <w:style w:type="paragraph" w:customStyle="1" w:styleId="464">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5">
    <w:name w:val="正文样式1"/>
    <w:basedOn w:val="1"/>
    <w:qFormat/>
    <w:uiPriority w:val="0"/>
    <w:pPr>
      <w:spacing w:before="60" w:line="460" w:lineRule="exact"/>
      <w:ind w:firstLine="480" w:firstLineChars="200"/>
    </w:pPr>
    <w:rPr>
      <w:rFonts w:ascii="Times New Roman" w:hAnsi="Times New Roman" w:eastAsia="宋体" w:cs="Times New Roman"/>
      <w:kern w:val="0"/>
      <w:sz w:val="24"/>
      <w:szCs w:val="24"/>
    </w:rPr>
  </w:style>
  <w:style w:type="paragraph" w:customStyle="1" w:styleId="466">
    <w:name w:val="样式 正文001 + 首行缩进:  2 字符 Char Char"/>
    <w:basedOn w:val="1"/>
    <w:qFormat/>
    <w:uiPriority w:val="0"/>
    <w:pPr>
      <w:spacing w:line="500" w:lineRule="atLeast"/>
      <w:ind w:firstLine="480" w:firstLineChars="200"/>
    </w:pPr>
    <w:rPr>
      <w:rFonts w:ascii="Times New Roman" w:hAnsi="Times New Roman" w:eastAsia="宋体" w:cs="宋体"/>
      <w:sz w:val="24"/>
      <w:szCs w:val="24"/>
    </w:rPr>
  </w:style>
  <w:style w:type="paragraph" w:customStyle="1" w:styleId="467">
    <w:name w:val="样式 3级标题 + 段前: 3 磅"/>
    <w:basedOn w:val="217"/>
    <w:qFormat/>
    <w:uiPriority w:val="0"/>
    <w:pPr>
      <w:spacing w:before="60"/>
    </w:pPr>
    <w:rPr>
      <w:rFonts w:cs="宋体"/>
      <w:bCs/>
      <w:szCs w:val="20"/>
    </w:rPr>
  </w:style>
  <w:style w:type="paragraph" w:customStyle="1" w:styleId="468">
    <w:name w:val="表文"/>
    <w:basedOn w:val="20"/>
    <w:next w:val="2"/>
    <w:qFormat/>
    <w:uiPriority w:val="0"/>
    <w:pPr>
      <w:jc w:val="center"/>
    </w:pPr>
    <w:rPr>
      <w:szCs w:val="24"/>
    </w:rPr>
  </w:style>
  <w:style w:type="paragraph" w:customStyle="1" w:styleId="469">
    <w:name w:val="表格式"/>
    <w:basedOn w:val="15"/>
    <w:semiHidden/>
    <w:qFormat/>
    <w:uiPriority w:val="0"/>
    <w:pPr>
      <w:adjustRightInd/>
      <w:spacing w:before="156" w:beforeLines="50" w:after="156" w:afterLines="50" w:line="240" w:lineRule="exact"/>
      <w:ind w:left="0" w:firstLine="0"/>
      <w:jc w:val="center"/>
      <w:textAlignment w:val="auto"/>
    </w:pPr>
    <w:rPr>
      <w:rFonts w:ascii="宋体"/>
      <w:sz w:val="21"/>
      <w:szCs w:val="20"/>
    </w:rPr>
  </w:style>
  <w:style w:type="paragraph" w:customStyle="1" w:styleId="470">
    <w:name w:val="表格下文正文"/>
    <w:basedOn w:val="1"/>
    <w:qFormat/>
    <w:uiPriority w:val="0"/>
    <w:pPr>
      <w:spacing w:before="300" w:line="420" w:lineRule="exact"/>
      <w:ind w:firstLine="200" w:firstLineChars="200"/>
    </w:pPr>
    <w:rPr>
      <w:rFonts w:ascii="Times New Roman" w:hAnsi="Times New Roman" w:eastAsia="宋体" w:cs="Times New Roman"/>
      <w:bCs/>
      <w:color w:val="000000"/>
      <w:sz w:val="24"/>
      <w:szCs w:val="20"/>
    </w:rPr>
  </w:style>
  <w:style w:type="paragraph" w:customStyle="1" w:styleId="471">
    <w:name w:val="my1"/>
    <w:basedOn w:val="220"/>
    <w:qFormat/>
    <w:uiPriority w:val="0"/>
  </w:style>
  <w:style w:type="paragraph" w:customStyle="1" w:styleId="472">
    <w:name w:val="Char Char Char Char Char Char Char Char Char"/>
    <w:basedOn w:val="1"/>
    <w:qFormat/>
    <w:uiPriority w:val="0"/>
    <w:pPr>
      <w:spacing w:line="360" w:lineRule="auto"/>
      <w:ind w:firstLine="200" w:firstLineChars="200"/>
    </w:pPr>
    <w:rPr>
      <w:rFonts w:ascii="宋体" w:hAnsi="宋体" w:eastAsia="宋体" w:cs="Times New Roman"/>
      <w:sz w:val="24"/>
      <w:szCs w:val="20"/>
    </w:rPr>
  </w:style>
  <w:style w:type="paragraph" w:customStyle="1" w:styleId="473">
    <w:name w:val="注释"/>
    <w:basedOn w:val="92"/>
    <w:link w:val="474"/>
    <w:qFormat/>
    <w:uiPriority w:val="0"/>
    <w:pPr>
      <w:spacing w:before="0" w:line="360" w:lineRule="exact"/>
    </w:pPr>
    <w:rPr>
      <w:rFonts w:ascii="Times New Roman" w:hAnsi="Times New Roman" w:cs="Times New Roman"/>
      <w:sz w:val="21"/>
    </w:rPr>
  </w:style>
  <w:style w:type="character" w:customStyle="1" w:styleId="474">
    <w:name w:val="注释 Char"/>
    <w:link w:val="473"/>
    <w:qFormat/>
    <w:uiPriority w:val="0"/>
    <w:rPr>
      <w:rFonts w:ascii="Times New Roman" w:hAnsi="Times New Roman" w:eastAsia="宋体" w:cs="Times New Roman"/>
      <w:szCs w:val="24"/>
    </w:rPr>
  </w:style>
  <w:style w:type="paragraph" w:customStyle="1" w:styleId="475">
    <w:name w:val="样式5"/>
    <w:basedOn w:val="1"/>
    <w:qFormat/>
    <w:uiPriority w:val="0"/>
    <w:pPr>
      <w:spacing w:line="500" w:lineRule="exact"/>
      <w:ind w:firstLine="480" w:firstLineChars="200"/>
    </w:pPr>
    <w:rPr>
      <w:rFonts w:ascii="宋体" w:hAnsi="宋体" w:eastAsia="宋体" w:cs="Times New Roman"/>
      <w:color w:val="000000"/>
      <w:sz w:val="24"/>
      <w:szCs w:val="24"/>
    </w:rPr>
  </w:style>
  <w:style w:type="paragraph" w:customStyle="1" w:styleId="476">
    <w:name w:val="font8"/>
    <w:basedOn w:val="1"/>
    <w:qFormat/>
    <w:uiPriority w:val="0"/>
    <w:pPr>
      <w:widowControl/>
      <w:spacing w:before="100" w:beforeAutospacing="1" w:after="100" w:afterAutospacing="1"/>
      <w:jc w:val="left"/>
    </w:pPr>
    <w:rPr>
      <w:rFonts w:hint="eastAsia" w:ascii="宋体" w:hAnsi="宋体" w:eastAsia="宋体" w:cs="Arial Unicode MS"/>
      <w:kern w:val="0"/>
      <w:sz w:val="20"/>
      <w:szCs w:val="20"/>
    </w:rPr>
  </w:style>
  <w:style w:type="paragraph" w:customStyle="1" w:styleId="477">
    <w:name w:val="Char Char Char Char Char Char Char Char Char Char Char Char Char Char Char Char Char Char Char Char Char Char Char Char Char"/>
    <w:basedOn w:val="1"/>
    <w:next w:val="1"/>
    <w:qFormat/>
    <w:uiPriority w:val="0"/>
    <w:rPr>
      <w:rFonts w:ascii="Times New Roman" w:hAnsi="Times New Roman" w:eastAsia="宋体" w:cs="Times New Roman"/>
      <w:szCs w:val="24"/>
    </w:rPr>
  </w:style>
  <w:style w:type="paragraph" w:customStyle="1" w:styleId="478">
    <w:name w:val="Char Char Char Char Char Char Char Char Char Char Char Char Char1 Char 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479">
    <w:name w:val="样式 样式 首行缩进:  2 字符1 + 首行缩进:  2 字符"/>
    <w:basedOn w:val="1"/>
    <w:qFormat/>
    <w:uiPriority w:val="0"/>
    <w:pPr>
      <w:widowControl/>
      <w:spacing w:line="360" w:lineRule="auto"/>
      <w:ind w:firstLine="200" w:firstLineChars="200"/>
      <w:jc w:val="left"/>
    </w:pPr>
    <w:rPr>
      <w:rFonts w:ascii="Times New Roman" w:hAnsi="Times New Roman" w:eastAsia="宋体" w:cs="宋体"/>
      <w:kern w:val="0"/>
      <w:sz w:val="24"/>
      <w:szCs w:val="20"/>
    </w:rPr>
  </w:style>
  <w:style w:type="paragraph" w:customStyle="1" w:styleId="480">
    <w:name w:val="标题B"/>
    <w:basedOn w:val="1"/>
    <w:qFormat/>
    <w:uiPriority w:val="0"/>
    <w:pPr>
      <w:spacing w:line="360" w:lineRule="auto"/>
      <w:outlineLvl w:val="1"/>
    </w:pPr>
    <w:rPr>
      <w:rFonts w:ascii="Times New Roman" w:hAnsi="Times New Roman" w:eastAsia="宋体" w:cs="宋体"/>
      <w:b/>
      <w:bCs/>
      <w:sz w:val="28"/>
      <w:szCs w:val="20"/>
    </w:rPr>
  </w:style>
  <w:style w:type="paragraph" w:customStyle="1" w:styleId="481">
    <w:name w:val="Char Char Char2"/>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482">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Report Text"/>
    <w:basedOn w:val="1"/>
    <w:semiHidden/>
    <w:qFormat/>
    <w:uiPriority w:val="0"/>
    <w:pPr>
      <w:widowControl/>
      <w:tabs>
        <w:tab w:val="left" w:pos="1134"/>
      </w:tabs>
      <w:spacing w:before="138" w:line="360" w:lineRule="auto"/>
      <w:ind w:left="1134" w:firstLine="200" w:firstLineChars="200"/>
      <w:jc w:val="left"/>
    </w:pPr>
    <w:rPr>
      <w:rFonts w:ascii="Times New Roman" w:hAnsi="Times New Roman" w:eastAsia="PMingLiU" w:cs="Times New Roman"/>
      <w:kern w:val="0"/>
      <w:sz w:val="22"/>
      <w:szCs w:val="20"/>
      <w:lang w:val="en-GB" w:eastAsia="zh-TW"/>
    </w:rPr>
  </w:style>
  <w:style w:type="paragraph" w:customStyle="1" w:styleId="484">
    <w:name w:val="Char Char Char Char Char Char Char Char Char Char Char Char1 Char Char Char 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485">
    <w:name w:val="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T表格"/>
    <w:basedOn w:val="1"/>
    <w:next w:val="1"/>
    <w:qFormat/>
    <w:uiPriority w:val="0"/>
    <w:pPr>
      <w:autoSpaceDE w:val="0"/>
      <w:autoSpaceDN w:val="0"/>
      <w:adjustRightInd w:val="0"/>
      <w:jc w:val="left"/>
    </w:pPr>
    <w:rPr>
      <w:rFonts w:ascii="宋体" w:hAnsi="Times New Roman" w:eastAsia="宋体" w:cs="Times New Roman"/>
      <w:kern w:val="0"/>
      <w:sz w:val="24"/>
      <w:szCs w:val="24"/>
    </w:rPr>
  </w:style>
  <w:style w:type="paragraph" w:customStyle="1" w:styleId="487">
    <w:name w:val="标题4 Char Char Char Char"/>
    <w:basedOn w:val="1"/>
    <w:next w:val="26"/>
    <w:qFormat/>
    <w:uiPriority w:val="0"/>
    <w:rPr>
      <w:rFonts w:ascii="宋体" w:hAnsi="Courier New" w:eastAsia="宋体" w:cs="Courier New"/>
      <w:szCs w:val="21"/>
    </w:rPr>
  </w:style>
  <w:style w:type="paragraph" w:customStyle="1" w:styleId="488">
    <w:name w:val="Char Char Char Char Char Char Char Char Char Char Char Char Char1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489">
    <w:name w:val="环评正文格式"/>
    <w:basedOn w:val="1"/>
    <w:qFormat/>
    <w:uiPriority w:val="0"/>
    <w:pPr>
      <w:spacing w:before="60" w:line="460" w:lineRule="exact"/>
      <w:ind w:firstLine="200" w:firstLineChars="200"/>
    </w:pPr>
    <w:rPr>
      <w:rFonts w:ascii="Times New Roman" w:hAnsi="Times New Roman" w:eastAsia="宋体" w:cs="Times New Roman"/>
      <w:snapToGrid w:val="0"/>
      <w:sz w:val="24"/>
      <w:szCs w:val="24"/>
      <w:shd w:val="clear" w:color="auto" w:fill="FFFFFF"/>
    </w:rPr>
  </w:style>
  <w:style w:type="paragraph" w:customStyle="1" w:styleId="490">
    <w:name w:val="7"/>
    <w:basedOn w:val="1"/>
    <w:next w:val="21"/>
    <w:qFormat/>
    <w:uiPriority w:val="0"/>
    <w:pPr>
      <w:spacing w:before="60" w:line="460" w:lineRule="exact"/>
      <w:ind w:firstLine="480" w:firstLineChars="200"/>
    </w:pPr>
    <w:rPr>
      <w:rFonts w:ascii="Times New Roman" w:hAnsi="Times New Roman" w:eastAsia="宋体" w:cs="Times New Roman"/>
      <w:sz w:val="24"/>
      <w:szCs w:val="24"/>
    </w:rPr>
  </w:style>
  <w:style w:type="paragraph" w:customStyle="1" w:styleId="491">
    <w:name w:val="CM100"/>
    <w:basedOn w:val="492"/>
    <w:next w:val="492"/>
    <w:qFormat/>
    <w:uiPriority w:val="0"/>
    <w:pPr>
      <w:spacing w:after="73"/>
    </w:pPr>
    <w:rPr>
      <w:rFonts w:ascii="宋体" w:hAnsi="Times New Roman" w:cs="宋体"/>
      <w:color w:val="auto"/>
    </w:rPr>
  </w:style>
  <w:style w:type="paragraph" w:customStyle="1" w:styleId="492">
    <w:name w:val="Default"/>
    <w:qFormat/>
    <w:uiPriority w:val="0"/>
    <w:pPr>
      <w:widowControl w:val="0"/>
      <w:autoSpaceDE w:val="0"/>
      <w:autoSpaceDN w:val="0"/>
      <w:adjustRightInd w:val="0"/>
    </w:pPr>
    <w:rPr>
      <w:rFonts w:ascii="o¨²¨¬." w:hAnsi="o¨²¨¬." w:eastAsia="宋体" w:cs="o¨²¨¬."/>
      <w:color w:val="000000"/>
      <w:kern w:val="0"/>
      <w:sz w:val="24"/>
      <w:szCs w:val="24"/>
      <w:lang w:val="en-US" w:eastAsia="zh-CN" w:bidi="ar-SA"/>
    </w:rPr>
  </w:style>
  <w:style w:type="paragraph" w:customStyle="1" w:styleId="493">
    <w:name w:val="样式 (中文) 仿宋_GB2312 四号 首行缩进:  1.01 厘米 行距: 固定值 22 磅1"/>
    <w:basedOn w:val="1"/>
    <w:qFormat/>
    <w:uiPriority w:val="0"/>
    <w:pPr>
      <w:spacing w:line="440" w:lineRule="exact"/>
      <w:ind w:firstLine="573"/>
    </w:pPr>
    <w:rPr>
      <w:rFonts w:ascii="Times New Roman" w:hAnsi="Times New Roman" w:eastAsia="仿宋_GB2312" w:cs="Times New Roman"/>
      <w:sz w:val="24"/>
      <w:szCs w:val="20"/>
    </w:rPr>
  </w:style>
  <w:style w:type="paragraph" w:customStyle="1" w:styleId="494">
    <w:name w:val="Char Char Char Char Char Char Char Char Char Char Char Char Char1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495">
    <w:name w:val="Char Char Char2 Char Char Char Char Char"/>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496">
    <w:name w:val="表格字体"/>
    <w:basedOn w:val="1"/>
    <w:semiHidden/>
    <w:qFormat/>
    <w:uiPriority w:val="0"/>
    <w:pPr>
      <w:spacing w:line="360" w:lineRule="auto"/>
      <w:jc w:val="center"/>
    </w:pPr>
    <w:rPr>
      <w:rFonts w:ascii="楷体_GB2312" w:hAnsi="Times New Roman" w:eastAsia="楷体_GB2312" w:cs="宋体"/>
      <w:szCs w:val="20"/>
    </w:rPr>
  </w:style>
  <w:style w:type="paragraph" w:customStyle="1" w:styleId="497">
    <w:name w:val="font10"/>
    <w:basedOn w:val="1"/>
    <w:qFormat/>
    <w:uiPriority w:val="0"/>
    <w:pPr>
      <w:widowControl/>
      <w:spacing w:before="100" w:beforeAutospacing="1" w:after="100" w:afterAutospacing="1"/>
      <w:jc w:val="left"/>
    </w:pPr>
    <w:rPr>
      <w:rFonts w:ascii="Times New Roman" w:hAnsi="Times New Roman" w:eastAsia="Arial Unicode MS" w:cs="Times New Roman"/>
      <w:kern w:val="0"/>
      <w:sz w:val="18"/>
      <w:szCs w:val="18"/>
    </w:rPr>
  </w:style>
  <w:style w:type="paragraph" w:customStyle="1" w:styleId="498">
    <w:name w:val="正文1"/>
    <w:qFormat/>
    <w:uiPriority w:val="0"/>
    <w:pPr>
      <w:widowControl w:val="0"/>
      <w:adjustRightInd w:val="0"/>
      <w:spacing w:line="360" w:lineRule="atLeast"/>
      <w:textAlignment w:val="baseline"/>
    </w:pPr>
    <w:rPr>
      <w:rFonts w:ascii="宋体" w:hAnsi="Times New Roman" w:eastAsia="宋体" w:cs="Times New Roman"/>
      <w:kern w:val="0"/>
      <w:sz w:val="24"/>
      <w:szCs w:val="20"/>
      <w:lang w:val="en-US" w:eastAsia="zh-CN" w:bidi="ar-SA"/>
    </w:rPr>
  </w:style>
  <w:style w:type="paragraph" w:customStyle="1" w:styleId="499">
    <w:name w:val="Char1 Char Char Char Char Char"/>
    <w:basedOn w:val="1"/>
    <w:qFormat/>
    <w:uiPriority w:val="0"/>
    <w:rPr>
      <w:rFonts w:ascii="Times New Roman" w:hAnsi="Times New Roman" w:eastAsia="宋体" w:cs="Times New Roman"/>
      <w:sz w:val="24"/>
      <w:szCs w:val="24"/>
    </w:rPr>
  </w:style>
  <w:style w:type="paragraph" w:customStyle="1" w:styleId="500">
    <w:name w:val="reader-word-layer reader-word-s4-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01">
    <w:name w:val="xl3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502">
    <w:name w:val="CM27"/>
    <w:basedOn w:val="1"/>
    <w:next w:val="1"/>
    <w:qFormat/>
    <w:uiPriority w:val="0"/>
    <w:pPr>
      <w:autoSpaceDE w:val="0"/>
      <w:autoSpaceDN w:val="0"/>
      <w:adjustRightInd w:val="0"/>
      <w:spacing w:line="463" w:lineRule="atLeast"/>
      <w:jc w:val="left"/>
    </w:pPr>
    <w:rPr>
      <w:rFonts w:ascii="o¨²¨¬." w:hAnsi="o¨²¨¬." w:eastAsia="宋体" w:cs="Times New Roman"/>
      <w:kern w:val="0"/>
      <w:sz w:val="24"/>
      <w:szCs w:val="24"/>
    </w:rPr>
  </w:style>
  <w:style w:type="paragraph" w:customStyle="1" w:styleId="503">
    <w:name w:val="正文文本缩进 22"/>
    <w:basedOn w:val="1"/>
    <w:qFormat/>
    <w:uiPriority w:val="0"/>
    <w:pPr>
      <w:widowControl/>
      <w:spacing w:after="120" w:line="480" w:lineRule="auto"/>
      <w:ind w:left="200" w:leftChars="200"/>
      <w:jc w:val="left"/>
    </w:pPr>
    <w:rPr>
      <w:rFonts w:ascii="Times New Roman" w:hAnsi="Times New Roman" w:eastAsia="Times New Roman" w:cs="Times New Roman"/>
      <w:kern w:val="0"/>
      <w:sz w:val="20"/>
      <w:szCs w:val="24"/>
    </w:rPr>
  </w:style>
  <w:style w:type="paragraph" w:customStyle="1" w:styleId="504">
    <w:name w:val="Char Char Char2 Char Char Char Char Char Char Char Char Char Char Char Char Char"/>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505">
    <w:name w:val="正文文本 21"/>
    <w:basedOn w:val="1"/>
    <w:qFormat/>
    <w:uiPriority w:val="0"/>
    <w:pPr>
      <w:adjustRightInd w:val="0"/>
      <w:spacing w:line="540" w:lineRule="exact"/>
      <w:ind w:right="-334" w:firstLine="540"/>
      <w:jc w:val="left"/>
      <w:textAlignment w:val="baseline"/>
    </w:pPr>
    <w:rPr>
      <w:rFonts w:ascii="Times New Roman" w:hAnsi="Times New Roman" w:eastAsia="宋体" w:cs="Times New Roman"/>
      <w:color w:val="000000"/>
      <w:sz w:val="28"/>
      <w:szCs w:val="20"/>
    </w:rPr>
  </w:style>
  <w:style w:type="paragraph" w:customStyle="1" w:styleId="506">
    <w:name w:val="Char Char Char2 Char Char Char Char Char Char Char Char Char Char Char Char Char1"/>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507">
    <w:name w:val="样式20"/>
    <w:basedOn w:val="1"/>
    <w:qFormat/>
    <w:uiPriority w:val="0"/>
    <w:pPr>
      <w:spacing w:line="500" w:lineRule="exact"/>
      <w:ind w:firstLine="141" w:firstLineChars="50"/>
      <w:outlineLvl w:val="1"/>
    </w:pPr>
    <w:rPr>
      <w:rFonts w:ascii="Times New Roman" w:hAnsi="Times New Roman" w:eastAsia="Times New Roman" w:cs="Times New Roman"/>
      <w:b/>
      <w:sz w:val="28"/>
      <w:szCs w:val="24"/>
    </w:rPr>
  </w:style>
  <w:style w:type="paragraph" w:customStyle="1" w:styleId="508">
    <w:name w:val="font6"/>
    <w:basedOn w:val="1"/>
    <w:qFormat/>
    <w:uiPriority w:val="0"/>
    <w:pPr>
      <w:widowControl/>
      <w:spacing w:before="100" w:beforeAutospacing="1" w:after="100" w:afterAutospacing="1"/>
      <w:jc w:val="left"/>
    </w:pPr>
    <w:rPr>
      <w:rFonts w:hint="eastAsia" w:ascii="宋体" w:hAnsi="宋体" w:eastAsia="宋体" w:cs="Arial Unicode MS"/>
      <w:kern w:val="0"/>
      <w:sz w:val="22"/>
    </w:rPr>
  </w:style>
  <w:style w:type="paragraph" w:customStyle="1" w:styleId="509">
    <w:name w:val="a01"/>
    <w:basedOn w:val="1"/>
    <w:qFormat/>
    <w:uiPriority w:val="0"/>
    <w:pPr>
      <w:widowControl/>
      <w:spacing w:before="100" w:beforeAutospacing="1" w:after="100" w:afterAutospacing="1" w:line="385" w:lineRule="atLeast"/>
      <w:jc w:val="left"/>
    </w:pPr>
    <w:rPr>
      <w:rFonts w:ascii="Arial Unicode MS" w:hAnsi="Arial Unicode MS" w:eastAsia="宋体" w:cs="Times New Roman"/>
      <w:color w:val="000000"/>
      <w:kern w:val="0"/>
      <w:sz w:val="23"/>
      <w:szCs w:val="23"/>
    </w:rPr>
  </w:style>
  <w:style w:type="paragraph" w:customStyle="1" w:styleId="510">
    <w:name w:val="样式 表格后正文 + 首行缩进:  2 字符"/>
    <w:basedOn w:val="1"/>
    <w:qFormat/>
    <w:uiPriority w:val="0"/>
    <w:pPr>
      <w:widowControl/>
      <w:tabs>
        <w:tab w:val="left" w:pos="567"/>
      </w:tabs>
      <w:spacing w:before="200" w:line="360" w:lineRule="auto"/>
      <w:ind w:firstLine="560" w:firstLineChars="200"/>
      <w:jc w:val="left"/>
    </w:pPr>
    <w:rPr>
      <w:rFonts w:ascii="Times New Roman" w:hAnsi="Times New Roman" w:eastAsia="华文中宋" w:cs="宋体"/>
      <w:spacing w:val="20"/>
      <w:kern w:val="0"/>
      <w:sz w:val="24"/>
      <w:szCs w:val="20"/>
    </w:rPr>
  </w:style>
  <w:style w:type="paragraph" w:customStyle="1" w:styleId="511">
    <w:name w:val="（1）名字"/>
    <w:basedOn w:val="1"/>
    <w:qFormat/>
    <w:uiPriority w:val="0"/>
    <w:pPr>
      <w:spacing w:line="480" w:lineRule="auto"/>
    </w:pPr>
    <w:rPr>
      <w:rFonts w:ascii="Times New Roman" w:hAnsi="宋体" w:eastAsia="宋体" w:cs="Times New Roman"/>
      <w:sz w:val="24"/>
      <w:szCs w:val="24"/>
    </w:rPr>
  </w:style>
  <w:style w:type="paragraph" w:customStyle="1" w:styleId="512">
    <w:name w:val="正文楷体"/>
    <w:basedOn w:val="1"/>
    <w:qFormat/>
    <w:uiPriority w:val="0"/>
    <w:rPr>
      <w:rFonts w:ascii="Times New Roman" w:hAnsi="Times New Roman" w:eastAsia="楷体_GB2312" w:cs="Times New Roman"/>
      <w:szCs w:val="21"/>
    </w:rPr>
  </w:style>
  <w:style w:type="paragraph" w:customStyle="1" w:styleId="513">
    <w:name w:val="正文02"/>
    <w:basedOn w:val="2"/>
    <w:qFormat/>
    <w:uiPriority w:val="0"/>
    <w:pPr>
      <w:spacing w:before="300" w:line="460" w:lineRule="exact"/>
      <w:ind w:firstLine="200"/>
    </w:pPr>
    <w:rPr>
      <w:rFonts w:ascii="Times New Roman" w:hAnsi="Times New Roman" w:eastAsia="宋体" w:cs="Times New Roman"/>
      <w:sz w:val="24"/>
      <w:szCs w:val="24"/>
    </w:rPr>
  </w:style>
  <w:style w:type="paragraph" w:customStyle="1" w:styleId="514">
    <w:name w:val="表头字体宋"/>
    <w:basedOn w:val="1"/>
    <w:qFormat/>
    <w:uiPriority w:val="0"/>
    <w:pPr>
      <w:spacing w:line="500" w:lineRule="exact"/>
      <w:jc w:val="center"/>
    </w:pPr>
    <w:rPr>
      <w:rFonts w:ascii="宋体" w:hAnsi="宋体" w:eastAsia="宋体" w:cs="宋体"/>
      <w:b/>
      <w:bCs/>
      <w:sz w:val="24"/>
      <w:szCs w:val="20"/>
    </w:rPr>
  </w:style>
  <w:style w:type="paragraph" w:customStyle="1" w:styleId="515">
    <w:name w:val="Char Char Char Char1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516">
    <w:name w:val="SEK level 1"/>
    <w:basedOn w:val="1"/>
    <w:next w:val="483"/>
    <w:semiHidden/>
    <w:qFormat/>
    <w:uiPriority w:val="0"/>
    <w:pPr>
      <w:keepNext/>
      <w:widowControl/>
      <w:tabs>
        <w:tab w:val="left" w:pos="1080"/>
      </w:tabs>
      <w:spacing w:before="380" w:line="360" w:lineRule="auto"/>
      <w:ind w:left="1080" w:hanging="1080" w:firstLineChars="200"/>
      <w:jc w:val="left"/>
      <w:outlineLvl w:val="0"/>
    </w:pPr>
    <w:rPr>
      <w:rFonts w:ascii="Arial" w:hAnsi="Arial" w:eastAsia="PMingLiU" w:cs="Times New Roman"/>
      <w:b/>
      <w:caps/>
      <w:kern w:val="0"/>
      <w:sz w:val="24"/>
      <w:szCs w:val="20"/>
      <w:lang w:val="en-GB" w:eastAsia="zh-TW"/>
    </w:rPr>
  </w:style>
  <w:style w:type="paragraph" w:customStyle="1" w:styleId="517">
    <w:name w:val="表格正文01"/>
    <w:basedOn w:val="1"/>
    <w:qFormat/>
    <w:uiPriority w:val="0"/>
    <w:pPr>
      <w:snapToGrid w:val="0"/>
      <w:spacing w:line="360" w:lineRule="exact"/>
    </w:pPr>
    <w:rPr>
      <w:rFonts w:ascii="Times New Roman" w:hAnsi="Times New Roman" w:eastAsia="宋体" w:cs="Times New Roman"/>
      <w:szCs w:val="24"/>
    </w:rPr>
  </w:style>
  <w:style w:type="paragraph" w:customStyle="1" w:styleId="518">
    <w:name w:val="样式 正文 首行缩进:  2 字符 + 首行缩进:  2 字符"/>
    <w:basedOn w:val="1"/>
    <w:qFormat/>
    <w:uiPriority w:val="0"/>
    <w:pPr>
      <w:spacing w:before="100" w:line="520" w:lineRule="exact"/>
      <w:ind w:firstLine="562" w:firstLineChars="200"/>
    </w:pPr>
    <w:rPr>
      <w:rFonts w:ascii="仿宋_GB2312" w:hAnsi="Times New Roman" w:eastAsia="仿宋_GB2312" w:cs="Times New Roman"/>
      <w:b/>
      <w:color w:val="000000"/>
      <w:sz w:val="28"/>
      <w:szCs w:val="28"/>
    </w:rPr>
  </w:style>
  <w:style w:type="paragraph" w:customStyle="1" w:styleId="51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20">
    <w:name w:val="表格_正文"/>
    <w:qFormat/>
    <w:uiPriority w:val="0"/>
    <w:pPr>
      <w:snapToGrid w:val="0"/>
      <w:spacing w:before="60" w:after="60"/>
    </w:pPr>
    <w:rPr>
      <w:rFonts w:ascii="Times New Roman" w:hAnsi="Times New Roman" w:eastAsia="宋体" w:cs="Times New Roman"/>
      <w:kern w:val="0"/>
      <w:sz w:val="21"/>
      <w:szCs w:val="20"/>
      <w:lang w:val="en-US" w:eastAsia="zh-CN" w:bidi="ar-SA"/>
    </w:rPr>
  </w:style>
  <w:style w:type="paragraph" w:customStyle="1" w:styleId="521">
    <w:name w:val="Char Char Char Char Char Char Char Char Char Char Char Char Char11"/>
    <w:basedOn w:val="1"/>
    <w:qFormat/>
    <w:uiPriority w:val="0"/>
    <w:pPr>
      <w:spacing w:line="360" w:lineRule="auto"/>
      <w:ind w:firstLine="200" w:firstLineChars="200"/>
    </w:pPr>
    <w:rPr>
      <w:rFonts w:ascii="宋体" w:hAnsi="宋体" w:eastAsia="宋体" w:cs="宋体"/>
      <w:sz w:val="24"/>
      <w:szCs w:val="24"/>
    </w:rPr>
  </w:style>
  <w:style w:type="paragraph" w:customStyle="1" w:styleId="522">
    <w:name w:val="样式 纯文本 + 行距: 1.5 倍行距"/>
    <w:basedOn w:val="26"/>
    <w:qFormat/>
    <w:uiPriority w:val="0"/>
    <w:pPr>
      <w:snapToGrid w:val="0"/>
      <w:spacing w:before="190" w:beforeLines="50" w:line="360" w:lineRule="auto"/>
      <w:ind w:firstLine="480" w:firstLineChars="200"/>
    </w:pPr>
    <w:rPr>
      <w:rFonts w:ascii="Times New Roman" w:hAnsi="Times New Roman"/>
      <w:sz w:val="24"/>
    </w:rPr>
  </w:style>
  <w:style w:type="paragraph" w:customStyle="1" w:styleId="523">
    <w:name w:val="font0"/>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524">
    <w:name w:val="Char Char Char Char Char Char Char1 Char Char Char Char Char Char Char"/>
    <w:basedOn w:val="1"/>
    <w:qFormat/>
    <w:uiPriority w:val="0"/>
    <w:pPr>
      <w:tabs>
        <w:tab w:val="left" w:pos="432"/>
      </w:tabs>
      <w:ind w:left="432" w:hanging="432"/>
    </w:pPr>
    <w:rPr>
      <w:rFonts w:ascii="Tahoma" w:hAnsi="Tahoma" w:eastAsia="宋体" w:cs="Times New Roman"/>
      <w:sz w:val="24"/>
      <w:szCs w:val="20"/>
    </w:rPr>
  </w:style>
  <w:style w:type="paragraph" w:customStyle="1" w:styleId="525">
    <w:name w:val="xl3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526">
    <w:name w:val="Char Char Char Char Char Char Char Char Char Char1"/>
    <w:basedOn w:val="1"/>
    <w:qFormat/>
    <w:uiPriority w:val="0"/>
    <w:rPr>
      <w:rFonts w:ascii="Times New Roman" w:hAnsi="Times New Roman" w:eastAsia="宋体" w:cs="Times New Roman"/>
      <w:sz w:val="24"/>
      <w:szCs w:val="24"/>
    </w:rPr>
  </w:style>
  <w:style w:type="paragraph" w:customStyle="1" w:styleId="527">
    <w:name w:val="表格文字居中"/>
    <w:basedOn w:val="1"/>
    <w:qFormat/>
    <w:uiPriority w:val="0"/>
    <w:pPr>
      <w:adjustRightInd w:val="0"/>
      <w:snapToGrid w:val="0"/>
      <w:ind w:left="-256" w:leftChars="-122" w:firstLine="256" w:firstLineChars="122"/>
      <w:jc w:val="center"/>
    </w:pPr>
    <w:rPr>
      <w:rFonts w:ascii="宋体" w:hAnsi="宋体" w:eastAsia="宋体" w:cs="Times New Roman"/>
      <w:szCs w:val="20"/>
    </w:rPr>
  </w:style>
  <w:style w:type="paragraph" w:customStyle="1" w:styleId="528">
    <w:name w:val="样式 四号 黑色 行距: 1.5 倍行距 首行缩进:  2 字符"/>
    <w:basedOn w:val="1"/>
    <w:qFormat/>
    <w:uiPriority w:val="0"/>
    <w:pPr>
      <w:spacing w:line="360" w:lineRule="auto"/>
      <w:ind w:firstLine="560" w:firstLineChars="200"/>
    </w:pPr>
    <w:rPr>
      <w:rFonts w:ascii="Times New Roman" w:hAnsi="Times New Roman" w:eastAsia="仿宋_GB2312" w:cs="Times New Roman"/>
      <w:color w:val="000000"/>
      <w:sz w:val="28"/>
      <w:szCs w:val="28"/>
    </w:rPr>
  </w:style>
  <w:style w:type="paragraph" w:customStyle="1" w:styleId="52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Arial Unicode MS" w:cs="Times New Roman"/>
      <w:kern w:val="0"/>
      <w:sz w:val="16"/>
      <w:szCs w:val="16"/>
    </w:rPr>
  </w:style>
  <w:style w:type="paragraph" w:customStyle="1" w:styleId="530">
    <w:name w:val="Char Char Char Char Char Char Char Char Char Char Char Char Char1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531">
    <w:name w:val="Char Char Char2 Char Char Char Char Char1"/>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532">
    <w:name w:val="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53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534">
    <w:name w:val="Char1 Char Char Char"/>
    <w:basedOn w:val="1"/>
    <w:qFormat/>
    <w:uiPriority w:val="0"/>
    <w:rPr>
      <w:rFonts w:ascii="Times New Roman" w:hAnsi="Times New Roman" w:eastAsia="宋体" w:cs="Times New Roman"/>
      <w:sz w:val="24"/>
      <w:szCs w:val="24"/>
    </w:rPr>
  </w:style>
  <w:style w:type="paragraph" w:customStyle="1" w:styleId="535">
    <w:name w:val="Char Char Char Char Char Char Char Char Char Char Char1"/>
    <w:basedOn w:val="1"/>
    <w:qFormat/>
    <w:uiPriority w:val="0"/>
    <w:rPr>
      <w:rFonts w:ascii="Times New Roman" w:hAnsi="Times New Roman" w:eastAsia="宋体" w:cs="Times New Roman"/>
      <w:sz w:val="24"/>
      <w:szCs w:val="24"/>
    </w:rPr>
  </w:style>
  <w:style w:type="paragraph" w:customStyle="1" w:styleId="536">
    <w:name w:val="法规列表"/>
    <w:basedOn w:val="1"/>
    <w:semiHidden/>
    <w:qFormat/>
    <w:uiPriority w:val="0"/>
    <w:pPr>
      <w:tabs>
        <w:tab w:val="left" w:pos="420"/>
      </w:tabs>
      <w:spacing w:before="50" w:beforeLines="50"/>
      <w:ind w:left="420" w:hanging="420"/>
    </w:pPr>
    <w:rPr>
      <w:rFonts w:ascii="Times New Roman" w:hAnsi="Times New Roman" w:eastAsia="仿宋_GB2312" w:cs="Times New Roman"/>
      <w:sz w:val="24"/>
      <w:szCs w:val="24"/>
    </w:rPr>
  </w:style>
  <w:style w:type="paragraph" w:customStyle="1" w:styleId="537">
    <w:name w:val="斜体加粗"/>
    <w:basedOn w:val="1"/>
    <w:next w:val="1"/>
    <w:qFormat/>
    <w:uiPriority w:val="0"/>
    <w:pPr>
      <w:widowControl/>
    </w:pPr>
    <w:rPr>
      <w:rFonts w:ascii="Times New Roman" w:hAnsi="Times New Roman" w:eastAsia="宋体" w:cs="Times New Roman"/>
      <w:b/>
      <w:i/>
      <w:iCs/>
      <w:kern w:val="0"/>
      <w:sz w:val="22"/>
      <w:szCs w:val="20"/>
    </w:rPr>
  </w:style>
  <w:style w:type="paragraph" w:customStyle="1" w:styleId="538">
    <w:name w:val="SEK level 2"/>
    <w:basedOn w:val="516"/>
    <w:semiHidden/>
    <w:qFormat/>
    <w:uiPriority w:val="0"/>
    <w:pPr>
      <w:tabs>
        <w:tab w:val="left" w:pos="567"/>
      </w:tabs>
      <w:ind w:left="567" w:hanging="567"/>
      <w:outlineLvl w:val="1"/>
    </w:pPr>
    <w:rPr>
      <w:caps w:val="0"/>
    </w:rPr>
  </w:style>
  <w:style w:type="paragraph" w:customStyle="1" w:styleId="539">
    <w:name w:val="Char Char Char Char Char Char"/>
    <w:basedOn w:val="1"/>
    <w:qFormat/>
    <w:uiPriority w:val="0"/>
    <w:pPr>
      <w:spacing w:line="360" w:lineRule="auto"/>
      <w:ind w:firstLine="200" w:firstLineChars="200"/>
    </w:pPr>
    <w:rPr>
      <w:rFonts w:ascii="宋体" w:hAnsi="宋体" w:eastAsia="宋体" w:cs="Times New Roman"/>
      <w:sz w:val="24"/>
      <w:szCs w:val="24"/>
    </w:rPr>
  </w:style>
  <w:style w:type="paragraph" w:customStyle="1" w:styleId="540">
    <w:name w:val="Char1 Char Char Char Char Char1"/>
    <w:basedOn w:val="1"/>
    <w:qFormat/>
    <w:uiPriority w:val="0"/>
    <w:rPr>
      <w:rFonts w:ascii="Times New Roman" w:hAnsi="Times New Roman" w:eastAsia="宋体" w:cs="Times New Roman"/>
      <w:sz w:val="24"/>
      <w:szCs w:val="24"/>
    </w:rPr>
  </w:style>
  <w:style w:type="paragraph" w:customStyle="1" w:styleId="541">
    <w:name w:val="样式 样式 标题1 + 段前: 0.5 行 + 段前: 0.5 行"/>
    <w:basedOn w:val="1"/>
    <w:qFormat/>
    <w:uiPriority w:val="0"/>
    <w:pPr>
      <w:spacing w:before="120" w:beforeLines="50" w:line="500" w:lineRule="exact"/>
      <w:jc w:val="left"/>
      <w:outlineLvl w:val="0"/>
    </w:pPr>
    <w:rPr>
      <w:rFonts w:ascii="Times New Roman" w:hAnsi="Times New Roman" w:eastAsia="宋体" w:cs="宋体"/>
      <w:b/>
      <w:bCs/>
      <w:sz w:val="32"/>
      <w:szCs w:val="20"/>
    </w:rPr>
  </w:style>
  <w:style w:type="paragraph" w:customStyle="1" w:styleId="542">
    <w:name w:val="Plain Text1"/>
    <w:basedOn w:val="1"/>
    <w:qFormat/>
    <w:uiPriority w:val="0"/>
    <w:pPr>
      <w:autoSpaceDE w:val="0"/>
      <w:autoSpaceDN w:val="0"/>
      <w:adjustRightInd w:val="0"/>
      <w:textAlignment w:val="baseline"/>
    </w:pPr>
    <w:rPr>
      <w:rFonts w:ascii="宋体" w:hAnsi="Tms Rmn" w:eastAsia="宋体" w:cs="Times New Roman"/>
      <w:kern w:val="0"/>
      <w:szCs w:val="20"/>
    </w:rPr>
  </w:style>
  <w:style w:type="paragraph" w:customStyle="1" w:styleId="543">
    <w:name w:val="In Table"/>
    <w:basedOn w:val="1"/>
    <w:qFormat/>
    <w:uiPriority w:val="0"/>
    <w:pPr>
      <w:tabs>
        <w:tab w:val="left" w:pos="2200"/>
        <w:tab w:val="left" w:pos="3960"/>
        <w:tab w:val="left" w:pos="5280"/>
      </w:tabs>
      <w:spacing w:before="96" w:after="96" w:line="0" w:lineRule="atLeast"/>
      <w:jc w:val="center"/>
    </w:pPr>
    <w:rPr>
      <w:rFonts w:hint="eastAsia" w:ascii="Tahoma" w:hAnsi="Tahoma" w:eastAsia="华文中宋" w:cs="Times New Roman"/>
      <w:szCs w:val="20"/>
    </w:rPr>
  </w:style>
  <w:style w:type="paragraph" w:customStyle="1" w:styleId="544">
    <w:name w:val="Char Char Char Char Char Char Char Char Char Char Char Char Char1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545">
    <w:name w:val="批注文字 New"/>
    <w:basedOn w:val="452"/>
    <w:qFormat/>
    <w:uiPriority w:val="0"/>
    <w:pPr>
      <w:jc w:val="left"/>
    </w:pPr>
  </w:style>
  <w:style w:type="paragraph" w:customStyle="1" w:styleId="546">
    <w:name w:val="标题样式"/>
    <w:basedOn w:val="465"/>
    <w:qFormat/>
    <w:uiPriority w:val="0"/>
    <w:pPr>
      <w:keepLines/>
      <w:adjustRightInd w:val="0"/>
      <w:spacing w:before="0" w:line="360" w:lineRule="auto"/>
      <w:ind w:firstLine="0" w:firstLineChars="0"/>
      <w:jc w:val="left"/>
      <w:textAlignment w:val="baseline"/>
    </w:pPr>
    <w:rPr>
      <w:rFonts w:ascii="宋体" w:hAnsi="宋体"/>
      <w:szCs w:val="18"/>
    </w:rPr>
  </w:style>
  <w:style w:type="paragraph" w:customStyle="1" w:styleId="547">
    <w:name w:val="ljx正文1"/>
    <w:basedOn w:val="21"/>
    <w:qFormat/>
    <w:uiPriority w:val="0"/>
    <w:pPr>
      <w:spacing w:after="0"/>
      <w:ind w:left="0" w:leftChars="0"/>
    </w:pPr>
    <w:rPr>
      <w:rFonts w:ascii="Times New Roman"/>
      <w:sz w:val="28"/>
    </w:rPr>
  </w:style>
  <w:style w:type="paragraph" w:customStyle="1" w:styleId="548">
    <w:name w:val="Char Char Char2 Char Char Char"/>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549">
    <w:name w:val="图文框"/>
    <w:basedOn w:val="1"/>
    <w:qFormat/>
    <w:uiPriority w:val="0"/>
    <w:pPr>
      <w:autoSpaceDE w:val="0"/>
      <w:autoSpaceDN w:val="0"/>
      <w:adjustRightInd w:val="0"/>
      <w:snapToGrid w:val="0"/>
      <w:jc w:val="center"/>
      <w:textAlignment w:val="baseline"/>
    </w:pPr>
    <w:rPr>
      <w:rFonts w:ascii="Times New Roman" w:hAnsi="Times New Roman" w:eastAsia="宋体" w:cs="Times New Roman"/>
      <w:kern w:val="0"/>
      <w:szCs w:val="21"/>
    </w:rPr>
  </w:style>
  <w:style w:type="paragraph" w:customStyle="1" w:styleId="55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551">
    <w:name w:val="reader-word-layer reader-word-s4-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2">
    <w:name w:val="表格目录"/>
    <w:basedOn w:val="1"/>
    <w:next w:val="1"/>
    <w:qFormat/>
    <w:uiPriority w:val="0"/>
    <w:pPr>
      <w:widowControl/>
      <w:spacing w:line="240" w:lineRule="atLeast"/>
      <w:jc w:val="center"/>
    </w:pPr>
    <w:rPr>
      <w:rFonts w:ascii="Times New Roman" w:hAnsi="Times New Roman" w:eastAsia="宋体" w:cs="Times New Roman"/>
      <w:b/>
      <w:bCs/>
      <w:kern w:val="0"/>
      <w:szCs w:val="20"/>
    </w:rPr>
  </w:style>
  <w:style w:type="paragraph" w:customStyle="1" w:styleId="553">
    <w:name w:val="表格正文-1"/>
    <w:basedOn w:val="1"/>
    <w:qFormat/>
    <w:uiPriority w:val="0"/>
    <w:pPr>
      <w:spacing w:line="360" w:lineRule="exact"/>
      <w:jc w:val="center"/>
    </w:pPr>
    <w:rPr>
      <w:rFonts w:ascii="Times New Roman" w:hAnsi="Times New Roman" w:eastAsia="宋体" w:cs="Times New Roman"/>
      <w:szCs w:val="24"/>
    </w:rPr>
  </w:style>
  <w:style w:type="paragraph" w:customStyle="1" w:styleId="554">
    <w:name w:val="符号_01"/>
    <w:qFormat/>
    <w:uiPriority w:val="0"/>
    <w:pPr>
      <w:tabs>
        <w:tab w:val="left" w:pos="360"/>
        <w:tab w:val="right" w:leader="dot" w:pos="6896"/>
        <w:tab w:val="left" w:pos="7070"/>
      </w:tabs>
      <w:spacing w:after="120" w:afterLines="50" w:line="240" w:lineRule="atLeast"/>
      <w:ind w:left="360" w:right="420" w:rightChars="200" w:hanging="360"/>
      <w:jc w:val="both"/>
    </w:pPr>
    <w:rPr>
      <w:rFonts w:ascii="Garamond" w:hAnsi="Garamond" w:eastAsia="楷体_GB2312" w:cs="Times New Roman"/>
      <w:kern w:val="2"/>
      <w:sz w:val="28"/>
      <w:szCs w:val="28"/>
      <w:lang w:val="en-US" w:eastAsia="zh-CN" w:bidi="ar-SA"/>
    </w:rPr>
  </w:style>
  <w:style w:type="paragraph" w:customStyle="1" w:styleId="555">
    <w:name w:val="_Style 10"/>
    <w:basedOn w:val="1"/>
    <w:qFormat/>
    <w:uiPriority w:val="0"/>
    <w:pPr>
      <w:ind w:firstLine="200" w:firstLineChars="200"/>
    </w:pPr>
    <w:rPr>
      <w:rFonts w:ascii="Times New Roman" w:hAnsi="Times New Roman" w:eastAsia="仿宋_GB2312" w:cs="Times New Roman"/>
      <w:sz w:val="34"/>
      <w:szCs w:val="24"/>
    </w:rPr>
  </w:style>
  <w:style w:type="paragraph" w:customStyle="1" w:styleId="556">
    <w:name w:val="正文表标题"/>
    <w:next w:val="1"/>
    <w:qFormat/>
    <w:uiPriority w:val="0"/>
    <w:pPr>
      <w:tabs>
        <w:tab w:val="left" w:pos="720"/>
      </w:tabs>
      <w:ind w:left="720" w:hanging="720"/>
      <w:jc w:val="center"/>
    </w:pPr>
    <w:rPr>
      <w:rFonts w:ascii="黑体" w:hAnsi="Times New Roman" w:eastAsia="黑体" w:cs="Times New Roman"/>
      <w:kern w:val="0"/>
      <w:sz w:val="21"/>
      <w:szCs w:val="20"/>
      <w:lang w:val="en-US" w:eastAsia="zh-CN" w:bidi="ar-SA"/>
    </w:rPr>
  </w:style>
  <w:style w:type="paragraph" w:customStyle="1" w:styleId="557">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8">
    <w:name w:val="样式 正文001 + Times New Roman"/>
    <w:basedOn w:val="1"/>
    <w:qFormat/>
    <w:uiPriority w:val="0"/>
    <w:pPr>
      <w:spacing w:before="60" w:line="460" w:lineRule="exact"/>
      <w:ind w:firstLine="482"/>
    </w:pPr>
    <w:rPr>
      <w:rFonts w:ascii="Times New Roman" w:hAnsi="Times New Roman" w:eastAsia="宋体" w:cs="Times New Roman"/>
      <w:sz w:val="24"/>
      <w:szCs w:val="20"/>
    </w:rPr>
  </w:style>
  <w:style w:type="paragraph" w:customStyle="1" w:styleId="559">
    <w:name w:val="p01"/>
    <w:basedOn w:val="1"/>
    <w:qFormat/>
    <w:uiPriority w:val="0"/>
    <w:pPr>
      <w:widowControl/>
      <w:spacing w:before="100" w:beforeAutospacing="1" w:after="100" w:afterAutospacing="1"/>
      <w:ind w:firstLine="480"/>
      <w:jc w:val="left"/>
    </w:pPr>
    <w:rPr>
      <w:rFonts w:ascii="宋体" w:hAnsi="宋体" w:eastAsia="宋体" w:cs="宋体"/>
      <w:kern w:val="0"/>
      <w:sz w:val="24"/>
      <w:szCs w:val="24"/>
    </w:rPr>
  </w:style>
  <w:style w:type="paragraph" w:customStyle="1" w:styleId="560">
    <w:name w:val="Char"/>
    <w:basedOn w:val="1"/>
    <w:qFormat/>
    <w:uiPriority w:val="0"/>
    <w:pPr>
      <w:spacing w:line="360" w:lineRule="auto"/>
      <w:ind w:firstLine="200" w:firstLineChars="200"/>
    </w:pPr>
    <w:rPr>
      <w:rFonts w:ascii="宋体" w:hAnsi="宋体" w:eastAsia="宋体" w:cs="宋体"/>
      <w:sz w:val="24"/>
      <w:szCs w:val="24"/>
    </w:rPr>
  </w:style>
  <w:style w:type="paragraph" w:customStyle="1" w:styleId="561">
    <w:name w:val="WPS Plain"/>
    <w:qFormat/>
    <w:uiPriority w:val="0"/>
    <w:rPr>
      <w:rFonts w:ascii="Times New Roman" w:hAnsi="Times New Roman" w:eastAsia="宋体" w:cs="Times New Roman"/>
      <w:kern w:val="0"/>
      <w:sz w:val="20"/>
      <w:szCs w:val="20"/>
      <w:lang w:val="en-US" w:eastAsia="zh-CN" w:bidi="ar-SA"/>
    </w:rPr>
  </w:style>
  <w:style w:type="paragraph" w:customStyle="1" w:styleId="562">
    <w:name w:val="表图题"/>
    <w:basedOn w:val="1"/>
    <w:qFormat/>
    <w:uiPriority w:val="0"/>
    <w:pPr>
      <w:spacing w:line="440" w:lineRule="exact"/>
      <w:jc w:val="center"/>
    </w:pPr>
    <w:rPr>
      <w:rFonts w:ascii="Times New Roman" w:hAnsi="Times New Roman" w:eastAsia="华文细黑" w:cs="Times New Roman"/>
      <w:b/>
      <w:szCs w:val="28"/>
    </w:rPr>
  </w:style>
  <w:style w:type="paragraph" w:customStyle="1" w:styleId="563">
    <w:name w:val="正文文本 311"/>
    <w:basedOn w:val="1"/>
    <w:semiHidden/>
    <w:qFormat/>
    <w:uiPriority w:val="0"/>
    <w:pPr>
      <w:adjustRightInd w:val="0"/>
      <w:spacing w:line="360" w:lineRule="atLeast"/>
      <w:jc w:val="center"/>
    </w:pPr>
    <w:rPr>
      <w:rFonts w:ascii="仿宋体" w:hAnsi="Times New Roman" w:eastAsia="仿宋体" w:cs="Times New Roman"/>
      <w:kern w:val="0"/>
      <w:sz w:val="24"/>
      <w:szCs w:val="20"/>
    </w:rPr>
  </w:style>
  <w:style w:type="paragraph" w:customStyle="1" w:styleId="564">
    <w:name w:val=":("/>
    <w:qFormat/>
    <w:uiPriority w:val="0"/>
    <w:pPr>
      <w:widowControl w:val="0"/>
      <w:adjustRightInd w:val="0"/>
      <w:spacing w:line="312" w:lineRule="atLeast"/>
      <w:jc w:val="both"/>
      <w:textAlignment w:val="baseline"/>
    </w:pPr>
    <w:rPr>
      <w:rFonts w:ascii="Times New Roman" w:hAnsi="Times New Roman" w:eastAsia="·s²Ó©úÅé" w:cs="Times New Roman"/>
      <w:kern w:val="0"/>
      <w:sz w:val="21"/>
      <w:szCs w:val="20"/>
      <w:lang w:val="en-US" w:eastAsia="zh-CN" w:bidi="ar-SA"/>
    </w:rPr>
  </w:style>
  <w:style w:type="paragraph" w:customStyle="1" w:styleId="565">
    <w:name w:val="样式 表格正文 + 黑色 段后: 0.1 行 行距: 最小值 12 磅"/>
    <w:basedOn w:val="98"/>
    <w:qFormat/>
    <w:uiPriority w:val="0"/>
    <w:pPr>
      <w:spacing w:line="360" w:lineRule="atLeast"/>
    </w:pPr>
    <w:rPr>
      <w:rFonts w:hint="eastAsia"/>
      <w:color w:val="000000"/>
      <w:szCs w:val="20"/>
    </w:rPr>
  </w:style>
  <w:style w:type="paragraph" w:customStyle="1" w:styleId="566">
    <w:name w:val="新正文"/>
    <w:basedOn w:val="1"/>
    <w:qFormat/>
    <w:uiPriority w:val="0"/>
    <w:pPr>
      <w:spacing w:before="60" w:line="460" w:lineRule="exact"/>
      <w:ind w:firstLine="200" w:firstLineChars="200"/>
    </w:pPr>
    <w:rPr>
      <w:rFonts w:ascii="Times New Roman" w:hAnsi="Times New Roman" w:eastAsia="宋体" w:cs="Times New Roman"/>
      <w:sz w:val="24"/>
      <w:szCs w:val="20"/>
    </w:rPr>
  </w:style>
  <w:style w:type="paragraph" w:customStyle="1" w:styleId="567">
    <w:name w:val="表中文字1"/>
    <w:qFormat/>
    <w:uiPriority w:val="0"/>
    <w:pPr>
      <w:widowControl w:val="0"/>
      <w:adjustRightInd w:val="0"/>
      <w:snapToGrid w:val="0"/>
      <w:jc w:val="center"/>
    </w:pPr>
    <w:rPr>
      <w:rFonts w:ascii="仿宋_GB2312" w:hAnsi="华文仿宋" w:eastAsia="仿宋_GB2312" w:cs="Times New Roman"/>
      <w:b/>
      <w:kern w:val="2"/>
      <w:sz w:val="21"/>
      <w:szCs w:val="21"/>
      <w:lang w:val="en-US" w:eastAsia="zh-CN" w:bidi="ar-SA"/>
    </w:rPr>
  </w:style>
  <w:style w:type="paragraph" w:customStyle="1" w:styleId="568">
    <w:name w:val="xl40"/>
    <w:basedOn w:val="1"/>
    <w:qFormat/>
    <w:uiPriority w:val="0"/>
    <w:pPr>
      <w:widowControl/>
      <w:spacing w:before="100" w:after="100"/>
      <w:jc w:val="center"/>
    </w:pPr>
    <w:rPr>
      <w:rFonts w:ascii="宋体" w:hAnsi="宋体" w:eastAsia="宋体" w:cs="Times New Roman"/>
      <w:kern w:val="0"/>
      <w:szCs w:val="20"/>
    </w:rPr>
  </w:style>
  <w:style w:type="paragraph" w:customStyle="1" w:styleId="569">
    <w:name w:val="Char Char Char Char Char Char Char Char Char Char Char Char Char1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570">
    <w:name w:val="Char Char Char Char Char Char Char1"/>
    <w:basedOn w:val="1"/>
    <w:qFormat/>
    <w:uiPriority w:val="0"/>
    <w:pPr>
      <w:tabs>
        <w:tab w:val="left" w:pos="360"/>
      </w:tabs>
    </w:pPr>
    <w:rPr>
      <w:rFonts w:ascii="Times New Roman" w:hAnsi="Times New Roman" w:eastAsia="宋体" w:cs="Times New Roman"/>
      <w:szCs w:val="24"/>
    </w:rPr>
  </w:style>
  <w:style w:type="paragraph" w:customStyle="1" w:styleId="571">
    <w:name w:val="表格标题居中"/>
    <w:basedOn w:val="527"/>
    <w:qFormat/>
    <w:uiPriority w:val="0"/>
    <w:pPr>
      <w:tabs>
        <w:tab w:val="left" w:pos="180"/>
        <w:tab w:val="center" w:pos="279"/>
      </w:tabs>
      <w:adjustRightInd/>
      <w:snapToGrid/>
      <w:ind w:left="0" w:leftChars="0" w:firstLine="0" w:firstLineChars="0"/>
    </w:pPr>
    <w:rPr>
      <w:rFonts w:hint="eastAsia" w:ascii="Times New Roman" w:eastAsia="黑体"/>
      <w:color w:val="000000"/>
      <w:szCs w:val="21"/>
    </w:rPr>
  </w:style>
  <w:style w:type="paragraph" w:customStyle="1" w:styleId="572">
    <w:name w:val="文字缩进"/>
    <w:basedOn w:val="2"/>
    <w:qFormat/>
    <w:uiPriority w:val="0"/>
    <w:pPr>
      <w:tabs>
        <w:tab w:val="left" w:pos="840"/>
        <w:tab w:val="left" w:pos="4802"/>
      </w:tabs>
      <w:topLinePunct/>
      <w:adjustRightInd w:val="0"/>
      <w:ind w:left="1134" w:firstLine="200"/>
    </w:pPr>
    <w:rPr>
      <w:rFonts w:ascii="Times New Roman" w:hAnsi="Times New Roman" w:eastAsia="仿宋_GB2312" w:cs="Times New Roman"/>
      <w:sz w:val="24"/>
      <w:szCs w:val="20"/>
      <w:lang w:val="es-ES"/>
    </w:rPr>
  </w:style>
  <w:style w:type="paragraph" w:customStyle="1" w:styleId="573">
    <w:name w:val="font11"/>
    <w:basedOn w:val="1"/>
    <w:qFormat/>
    <w:uiPriority w:val="0"/>
    <w:pPr>
      <w:widowControl/>
      <w:spacing w:before="100" w:beforeAutospacing="1" w:after="100" w:afterAutospacing="1"/>
      <w:jc w:val="left"/>
    </w:pPr>
    <w:rPr>
      <w:rFonts w:hint="eastAsia" w:ascii="宋体" w:hAnsi="宋体" w:eastAsia="宋体" w:cs="Arial Unicode MS"/>
      <w:kern w:val="0"/>
      <w:sz w:val="16"/>
      <w:szCs w:val="16"/>
    </w:rPr>
  </w:style>
  <w:style w:type="paragraph" w:customStyle="1" w:styleId="574">
    <w:name w:val="文本条标题"/>
    <w:basedOn w:val="1"/>
    <w:qFormat/>
    <w:uiPriority w:val="0"/>
    <w:pPr>
      <w:tabs>
        <w:tab w:val="left" w:pos="870"/>
      </w:tabs>
      <w:spacing w:before="312" w:beforeLines="100" w:after="156" w:afterLines="50"/>
      <w:ind w:left="870" w:hanging="390"/>
    </w:pPr>
    <w:rPr>
      <w:rFonts w:ascii="Times New Roman" w:hAnsi="Times New Roman" w:eastAsia="宋体" w:cs="宋体"/>
      <w:sz w:val="24"/>
      <w:szCs w:val="20"/>
    </w:rPr>
  </w:style>
  <w:style w:type="paragraph" w:customStyle="1" w:styleId="575">
    <w:name w:val="字元 字元"/>
    <w:basedOn w:val="1"/>
    <w:qFormat/>
    <w:uiPriority w:val="0"/>
    <w:rPr>
      <w:rFonts w:ascii="Times New Roman" w:hAnsi="Times New Roman" w:eastAsia="宋体" w:cs="Times New Roman"/>
      <w:szCs w:val="21"/>
    </w:rPr>
  </w:style>
  <w:style w:type="paragraph" w:customStyle="1" w:styleId="576">
    <w:name w:val="Filename"/>
    <w:basedOn w:val="34"/>
    <w:semiHidden/>
    <w:qFormat/>
    <w:uiPriority w:val="0"/>
    <w:pPr>
      <w:widowControl/>
      <w:snapToGrid/>
      <w:spacing w:before="72"/>
      <w:ind w:firstLine="200" w:firstLineChars="200"/>
    </w:pPr>
    <w:rPr>
      <w:rFonts w:ascii="Times New Roman" w:hAnsi="Times New Roman" w:eastAsia="PMingLiU" w:cs="Times New Roman"/>
      <w:caps/>
      <w:kern w:val="0"/>
      <w:sz w:val="12"/>
      <w:szCs w:val="20"/>
      <w:lang w:val="en-GB" w:eastAsia="zh-TW"/>
    </w:rPr>
  </w:style>
  <w:style w:type="paragraph" w:customStyle="1" w:styleId="577">
    <w:name w:val="表头文字"/>
    <w:basedOn w:val="1"/>
    <w:qFormat/>
    <w:uiPriority w:val="0"/>
    <w:pPr>
      <w:widowControl/>
      <w:adjustRightInd w:val="0"/>
      <w:snapToGrid w:val="0"/>
      <w:spacing w:line="400" w:lineRule="exact"/>
      <w:jc w:val="center"/>
      <w:textAlignment w:val="baseline"/>
    </w:pPr>
    <w:rPr>
      <w:rFonts w:ascii="Times New Roman" w:hAnsi="Times New Roman" w:eastAsia="宋体" w:cs="Times New Roman"/>
      <w:b/>
      <w:kern w:val="0"/>
      <w:szCs w:val="20"/>
    </w:rPr>
  </w:style>
  <w:style w:type="paragraph" w:customStyle="1" w:styleId="578">
    <w:name w:val="正文b"/>
    <w:basedOn w:val="1"/>
    <w:qFormat/>
    <w:uiPriority w:val="0"/>
    <w:pPr>
      <w:spacing w:line="360" w:lineRule="auto"/>
      <w:ind w:firstLine="200" w:firstLineChars="200"/>
    </w:pPr>
    <w:rPr>
      <w:rFonts w:ascii="Times New Roman" w:hAnsi="Times New Roman" w:eastAsia="宋体" w:cs="宋体"/>
      <w:sz w:val="24"/>
      <w:szCs w:val="20"/>
    </w:rPr>
  </w:style>
  <w:style w:type="paragraph" w:customStyle="1" w:styleId="579">
    <w:name w:val="标题001"/>
    <w:basedOn w:val="1"/>
    <w:qFormat/>
    <w:uiPriority w:val="0"/>
    <w:pPr>
      <w:spacing w:before="60" w:line="460" w:lineRule="exact"/>
      <w:outlineLvl w:val="0"/>
    </w:pPr>
    <w:rPr>
      <w:rFonts w:ascii="Times New Roman" w:hAnsi="Times New Roman" w:eastAsia="宋体" w:cs="Times New Roman"/>
      <w:b/>
      <w:sz w:val="32"/>
      <w:szCs w:val="20"/>
    </w:rPr>
  </w:style>
  <w:style w:type="paragraph" w:customStyle="1" w:styleId="580">
    <w:name w:val="表格一"/>
    <w:basedOn w:val="1"/>
    <w:qFormat/>
    <w:uiPriority w:val="0"/>
    <w:pPr>
      <w:spacing w:line="360" w:lineRule="auto"/>
      <w:jc w:val="center"/>
    </w:pPr>
    <w:rPr>
      <w:rFonts w:ascii="宋体" w:hAnsi="宋体" w:eastAsia="宋体" w:cs="宋体"/>
      <w:szCs w:val="20"/>
    </w:rPr>
  </w:style>
  <w:style w:type="paragraph" w:customStyle="1" w:styleId="581">
    <w:name w:val="正文："/>
    <w:basedOn w:val="1"/>
    <w:qFormat/>
    <w:uiPriority w:val="0"/>
    <w:rPr>
      <w:rFonts w:ascii="Times New Roman" w:hAnsi="Times New Roman" w:eastAsia="宋体" w:cs="Times New Roman"/>
      <w:szCs w:val="24"/>
    </w:rPr>
  </w:style>
  <w:style w:type="paragraph" w:customStyle="1" w:styleId="582">
    <w:name w:val="表题"/>
    <w:qFormat/>
    <w:uiPriority w:val="0"/>
    <w:pPr>
      <w:widowControl w:val="0"/>
      <w:adjustRightInd w:val="0"/>
      <w:snapToGrid w:val="0"/>
      <w:jc w:val="center"/>
    </w:pPr>
    <w:rPr>
      <w:rFonts w:ascii="Times New Roman" w:hAnsi="Times New Roman" w:eastAsia="黑体" w:cs="Times New Roman"/>
      <w:kern w:val="0"/>
      <w:sz w:val="24"/>
      <w:szCs w:val="20"/>
      <w:lang w:val="en-US" w:eastAsia="zh-CN" w:bidi="ar-SA"/>
    </w:rPr>
  </w:style>
  <w:style w:type="paragraph" w:customStyle="1" w:styleId="583">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4">
    <w:name w:val="正文1 Char"/>
    <w:basedOn w:val="1"/>
    <w:qFormat/>
    <w:uiPriority w:val="0"/>
    <w:pPr>
      <w:snapToGrid w:val="0"/>
      <w:spacing w:before="10" w:beforeLines="10" w:line="440" w:lineRule="atLeast"/>
      <w:ind w:firstLine="624"/>
    </w:pPr>
    <w:rPr>
      <w:rFonts w:ascii="Times New Roman" w:hAnsi="Times New Roman" w:eastAsia="宋体" w:cs="Times New Roman"/>
      <w:sz w:val="24"/>
      <w:szCs w:val="24"/>
    </w:rPr>
  </w:style>
  <w:style w:type="paragraph" w:customStyle="1" w:styleId="585">
    <w:name w:val="表格后文"/>
    <w:basedOn w:val="92"/>
    <w:qFormat/>
    <w:uiPriority w:val="0"/>
    <w:pPr>
      <w:spacing w:before="300"/>
    </w:pPr>
    <w:rPr>
      <w:rFonts w:ascii="Times New Roman" w:hAnsi="Times New Roman" w:cs="Times New Roman"/>
    </w:rPr>
  </w:style>
  <w:style w:type="paragraph" w:customStyle="1" w:styleId="586">
    <w:name w:val="标题004"/>
    <w:basedOn w:val="1"/>
    <w:qFormat/>
    <w:uiPriority w:val="0"/>
    <w:pPr>
      <w:spacing w:before="60" w:line="420" w:lineRule="exact"/>
      <w:outlineLvl w:val="3"/>
    </w:pPr>
    <w:rPr>
      <w:rFonts w:ascii="Times New Roman" w:hAnsi="Times New Roman" w:eastAsia="宋体" w:cs="Times New Roman"/>
      <w:b/>
      <w:sz w:val="24"/>
      <w:szCs w:val="20"/>
    </w:rPr>
  </w:style>
  <w:style w:type="paragraph" w:customStyle="1" w:styleId="587">
    <w:name w:val="报告表正文"/>
    <w:basedOn w:val="1"/>
    <w:qFormat/>
    <w:uiPriority w:val="0"/>
    <w:pPr>
      <w:adjustRightInd w:val="0"/>
      <w:spacing w:line="312" w:lineRule="auto"/>
      <w:ind w:left="113" w:right="113" w:firstLine="482"/>
      <w:jc w:val="left"/>
      <w:textAlignment w:val="baseline"/>
    </w:pPr>
    <w:rPr>
      <w:rFonts w:ascii="Times New Roman" w:hAnsi="Times New Roman" w:eastAsia="宋体" w:cs="Times New Roman"/>
      <w:kern w:val="0"/>
      <w:sz w:val="24"/>
      <w:szCs w:val="20"/>
    </w:rPr>
  </w:style>
  <w:style w:type="paragraph" w:customStyle="1" w:styleId="588">
    <w:name w:val="一级标题"/>
    <w:basedOn w:val="1"/>
    <w:qFormat/>
    <w:uiPriority w:val="0"/>
    <w:pPr>
      <w:spacing w:before="60" w:line="460" w:lineRule="exact"/>
      <w:outlineLvl w:val="0"/>
    </w:pPr>
    <w:rPr>
      <w:rFonts w:ascii="Times New Roman" w:hAnsi="Times New Roman" w:eastAsia="宋体" w:cs="Times New Roman"/>
      <w:b/>
      <w:bCs/>
      <w:sz w:val="32"/>
      <w:szCs w:val="24"/>
    </w:rPr>
  </w:style>
  <w:style w:type="paragraph" w:customStyle="1" w:styleId="589">
    <w:name w:val="报批稿"/>
    <w:basedOn w:val="1"/>
    <w:qFormat/>
    <w:uiPriority w:val="0"/>
    <w:pPr>
      <w:spacing w:line="600" w:lineRule="auto"/>
      <w:jc w:val="center"/>
    </w:pPr>
    <w:rPr>
      <w:rFonts w:ascii="Times New Roman" w:hAnsi="Times New Roman" w:eastAsia="隶书" w:cs="Times New Roman"/>
      <w:b/>
      <w:spacing w:val="30"/>
      <w:sz w:val="48"/>
      <w:szCs w:val="20"/>
    </w:rPr>
  </w:style>
  <w:style w:type="paragraph" w:customStyle="1" w:styleId="590">
    <w:name w:val="css"/>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 w:val="18"/>
      <w:szCs w:val="18"/>
    </w:rPr>
  </w:style>
  <w:style w:type="paragraph" w:customStyle="1" w:styleId="591">
    <w:name w:val="Char Char Char Char Char Char Char Char Char Char Char Char Char1 Char Char Char Char Char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592">
    <w:name w:val="样式 1级标题 + 行距: 单倍行距"/>
    <w:basedOn w:val="593"/>
    <w:qFormat/>
    <w:uiPriority w:val="0"/>
    <w:pPr>
      <w:spacing w:line="480" w:lineRule="exact"/>
    </w:pPr>
    <w:rPr>
      <w:rFonts w:ascii="Arial" w:hAnsi="Arial" w:cs="宋体"/>
      <w:bCs/>
      <w:color w:val="000000"/>
      <w:szCs w:val="20"/>
    </w:rPr>
  </w:style>
  <w:style w:type="paragraph" w:customStyle="1" w:styleId="593">
    <w:name w:val="1级标题"/>
    <w:basedOn w:val="1"/>
    <w:qFormat/>
    <w:uiPriority w:val="0"/>
    <w:pPr>
      <w:spacing w:before="60" w:line="460" w:lineRule="exact"/>
      <w:outlineLvl w:val="0"/>
    </w:pPr>
    <w:rPr>
      <w:rFonts w:ascii="Times New Roman" w:hAnsi="Times New Roman" w:eastAsia="宋体" w:cs="Times New Roman"/>
      <w:b/>
      <w:sz w:val="32"/>
      <w:szCs w:val="24"/>
    </w:rPr>
  </w:style>
  <w:style w:type="paragraph" w:customStyle="1" w:styleId="594">
    <w:name w:val="p0"/>
    <w:basedOn w:val="1"/>
    <w:qFormat/>
    <w:uiPriority w:val="0"/>
    <w:pPr>
      <w:widowControl/>
      <w:jc w:val="left"/>
    </w:pPr>
    <w:rPr>
      <w:rFonts w:ascii="Times New Roman" w:hAnsi="Times New Roman" w:eastAsia="宋体" w:cs="Times New Roman"/>
      <w:kern w:val="0"/>
      <w:szCs w:val="21"/>
    </w:rPr>
  </w:style>
  <w:style w:type="paragraph" w:customStyle="1" w:styleId="595">
    <w:name w:val="表文_L5"/>
    <w:qFormat/>
    <w:uiPriority w:val="0"/>
    <w:rPr>
      <w:rFonts w:ascii="Garamond" w:hAnsi="Garamond" w:eastAsia="楷体_GB2312" w:cs="Times New Roman"/>
      <w:bCs/>
      <w:kern w:val="2"/>
      <w:sz w:val="21"/>
      <w:szCs w:val="21"/>
      <w:lang w:val="en-US" w:eastAsia="zh-CN" w:bidi="ar-SA"/>
    </w:rPr>
  </w:style>
  <w:style w:type="paragraph" w:customStyle="1" w:styleId="596">
    <w:name w:val="Char Char Char2 Char Char Char1"/>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597">
    <w:name w:val="Char Char2 Char Char Char Char Char Char Char Char Char1 Char Char Char Char Char Char1 Char Char Char Char Char Char Char Char Char"/>
    <w:basedOn w:val="1"/>
    <w:qFormat/>
    <w:uiPriority w:val="0"/>
    <w:pPr>
      <w:spacing w:line="360" w:lineRule="auto"/>
      <w:ind w:firstLine="200" w:firstLineChars="200"/>
    </w:pPr>
    <w:rPr>
      <w:rFonts w:ascii="Times New Roman" w:hAnsi="Times New Roman" w:eastAsia="宋体" w:cs="Times New Roman"/>
      <w:szCs w:val="20"/>
    </w:rPr>
  </w:style>
  <w:style w:type="paragraph" w:customStyle="1" w:styleId="598">
    <w:name w:val="Char Char Char Char Char Char Char Char Char Char Char Char Char1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599">
    <w:name w:val="字元 字元1"/>
    <w:basedOn w:val="1"/>
    <w:qFormat/>
    <w:uiPriority w:val="0"/>
    <w:pPr>
      <w:widowControl/>
      <w:jc w:val="left"/>
    </w:pPr>
    <w:rPr>
      <w:rFonts w:ascii="Times New Roman" w:hAnsi="Times New Roman" w:eastAsia="宋体" w:cs="Times New Roman"/>
      <w:kern w:val="0"/>
      <w:sz w:val="20"/>
      <w:szCs w:val="20"/>
    </w:rPr>
  </w:style>
  <w:style w:type="paragraph" w:customStyle="1" w:styleId="600">
    <w:name w:val="Char Char Char2 Char Char Char Char Char Char Char Char Char Char"/>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601">
    <w:name w:val="Char Char Char4"/>
    <w:basedOn w:val="1"/>
    <w:qFormat/>
    <w:uiPriority w:val="0"/>
    <w:pPr>
      <w:spacing w:line="360" w:lineRule="auto"/>
      <w:ind w:firstLine="200" w:firstLineChars="200"/>
    </w:pPr>
    <w:rPr>
      <w:rFonts w:ascii="宋体" w:hAnsi="宋体" w:eastAsia="宋体" w:cs="宋体"/>
      <w:sz w:val="24"/>
      <w:szCs w:val="24"/>
    </w:rPr>
  </w:style>
  <w:style w:type="paragraph" w:customStyle="1" w:styleId="602">
    <w:name w:val="常用表格样式"/>
    <w:basedOn w:val="1"/>
    <w:next w:val="1"/>
    <w:link w:val="603"/>
    <w:qFormat/>
    <w:uiPriority w:val="0"/>
    <w:pPr>
      <w:adjustRightInd w:val="0"/>
      <w:snapToGrid w:val="0"/>
      <w:jc w:val="center"/>
    </w:pPr>
    <w:rPr>
      <w:rFonts w:ascii="宋体" w:hAnsi="宋体" w:eastAsia="宋体" w:cs="宋体"/>
      <w:color w:val="000000"/>
      <w:kern w:val="0"/>
      <w:sz w:val="18"/>
      <w:szCs w:val="18"/>
    </w:rPr>
  </w:style>
  <w:style w:type="character" w:customStyle="1" w:styleId="603">
    <w:name w:val="常用表格样式 Char1"/>
    <w:link w:val="602"/>
    <w:qFormat/>
    <w:uiPriority w:val="0"/>
    <w:rPr>
      <w:rFonts w:ascii="宋体" w:hAnsi="宋体" w:eastAsia="宋体" w:cs="宋体"/>
      <w:color w:val="000000"/>
      <w:kern w:val="0"/>
      <w:sz w:val="18"/>
      <w:szCs w:val="18"/>
    </w:rPr>
  </w:style>
  <w:style w:type="paragraph" w:customStyle="1" w:styleId="604">
    <w:name w:val="Char Char Char Char Char Char Char Char Char Char"/>
    <w:basedOn w:val="1"/>
    <w:qFormat/>
    <w:uiPriority w:val="0"/>
    <w:rPr>
      <w:rFonts w:ascii="Times New Roman" w:hAnsi="Times New Roman" w:eastAsia="宋体" w:cs="Times New Roman"/>
      <w:sz w:val="24"/>
      <w:szCs w:val="24"/>
    </w:rPr>
  </w:style>
  <w:style w:type="paragraph" w:customStyle="1" w:styleId="605">
    <w:name w:val="1"/>
    <w:basedOn w:val="1"/>
    <w:next w:val="26"/>
    <w:link w:val="606"/>
    <w:qFormat/>
    <w:uiPriority w:val="0"/>
    <w:rPr>
      <w:rFonts w:ascii="宋体" w:hAnsi="Courier New" w:eastAsia="宋体" w:cs="Courier New"/>
      <w:szCs w:val="21"/>
    </w:rPr>
  </w:style>
  <w:style w:type="character" w:customStyle="1" w:styleId="606">
    <w:name w:val="1 Char"/>
    <w:link w:val="605"/>
    <w:qFormat/>
    <w:uiPriority w:val="0"/>
    <w:rPr>
      <w:rFonts w:ascii="宋体" w:hAnsi="Courier New" w:eastAsia="宋体" w:cs="Courier New"/>
      <w:szCs w:val="21"/>
    </w:rPr>
  </w:style>
  <w:style w:type="paragraph" w:customStyle="1" w:styleId="607">
    <w:name w:val="正文my"/>
    <w:basedOn w:val="21"/>
    <w:qFormat/>
    <w:uiPriority w:val="0"/>
    <w:pPr>
      <w:spacing w:before="60" w:after="0" w:line="480" w:lineRule="exact"/>
      <w:ind w:left="0" w:leftChars="0" w:firstLine="200" w:firstLineChars="200"/>
    </w:pPr>
    <w:rPr>
      <w:rFonts w:ascii="Times New Roman"/>
      <w:szCs w:val="24"/>
    </w:rPr>
  </w:style>
  <w:style w:type="paragraph" w:customStyle="1" w:styleId="608">
    <w:name w:val="样式 正文1 + 段前: 0.1 行 Char"/>
    <w:basedOn w:val="1"/>
    <w:qFormat/>
    <w:uiPriority w:val="0"/>
    <w:pPr>
      <w:snapToGrid w:val="0"/>
      <w:spacing w:before="31" w:beforeLines="10" w:line="440" w:lineRule="atLeast"/>
      <w:ind w:firstLine="624"/>
    </w:pPr>
    <w:rPr>
      <w:rFonts w:ascii="Times New Roman" w:hAnsi="Times New Roman" w:eastAsia="宋体" w:cs="Times New Roman"/>
      <w:sz w:val="24"/>
      <w:szCs w:val="20"/>
    </w:rPr>
  </w:style>
  <w:style w:type="paragraph" w:customStyle="1" w:styleId="609">
    <w:name w:val="标题一"/>
    <w:basedOn w:val="1"/>
    <w:qFormat/>
    <w:uiPriority w:val="0"/>
    <w:pPr>
      <w:spacing w:line="360" w:lineRule="auto"/>
      <w:ind w:firstLine="200" w:firstLineChars="200"/>
    </w:pPr>
    <w:rPr>
      <w:rFonts w:ascii="Times New Roman" w:hAnsi="Times New Roman" w:eastAsia="宋体" w:cs="Times New Roman"/>
      <w:sz w:val="24"/>
      <w:szCs w:val="20"/>
    </w:rPr>
  </w:style>
  <w:style w:type="paragraph" w:customStyle="1" w:styleId="610">
    <w:name w:val="表头"/>
    <w:basedOn w:val="1"/>
    <w:qFormat/>
    <w:uiPriority w:val="0"/>
    <w:pPr>
      <w:spacing w:line="360" w:lineRule="auto"/>
      <w:jc w:val="center"/>
    </w:pPr>
    <w:rPr>
      <w:rFonts w:ascii="Arial" w:hAnsi="Arial" w:eastAsia="黑体" w:cs="Times New Roman"/>
      <w:b/>
      <w:szCs w:val="21"/>
    </w:rPr>
  </w:style>
  <w:style w:type="paragraph" w:customStyle="1" w:styleId="611">
    <w:name w:val="四级标题"/>
    <w:basedOn w:val="1"/>
    <w:qFormat/>
    <w:uiPriority w:val="0"/>
    <w:pPr>
      <w:spacing w:before="60" w:line="460" w:lineRule="exact"/>
    </w:pPr>
    <w:rPr>
      <w:rFonts w:ascii="Times New Roman" w:hAnsi="Times New Roman" w:eastAsia="宋体" w:cs="Times New Roman"/>
      <w:sz w:val="24"/>
      <w:szCs w:val="24"/>
    </w:rPr>
  </w:style>
  <w:style w:type="paragraph" w:customStyle="1" w:styleId="612">
    <w:name w:val="样式 正文文字 + 首行缩进:  2 字符"/>
    <w:basedOn w:val="20"/>
    <w:qFormat/>
    <w:uiPriority w:val="0"/>
    <w:rPr>
      <w:szCs w:val="24"/>
    </w:rPr>
  </w:style>
  <w:style w:type="paragraph" w:customStyle="1" w:styleId="613">
    <w:name w:val="Char Char Char Char Char Char Char Char Char Char Char Char Char1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614">
    <w:name w:val="font9"/>
    <w:basedOn w:val="1"/>
    <w:qFormat/>
    <w:uiPriority w:val="0"/>
    <w:pPr>
      <w:widowControl/>
      <w:spacing w:before="100" w:beforeAutospacing="1" w:after="100" w:afterAutospacing="1"/>
      <w:jc w:val="left"/>
    </w:pPr>
    <w:rPr>
      <w:rFonts w:ascii="Times New Roman" w:hAnsi="Times New Roman" w:eastAsia="Arial Unicode MS" w:cs="Times New Roman"/>
      <w:kern w:val="0"/>
      <w:sz w:val="18"/>
      <w:szCs w:val="18"/>
    </w:rPr>
  </w:style>
  <w:style w:type="paragraph" w:customStyle="1" w:styleId="615">
    <w:name w:val="图表标题"/>
    <w:basedOn w:val="489"/>
    <w:qFormat/>
    <w:uiPriority w:val="0"/>
    <w:pPr>
      <w:ind w:firstLine="199" w:firstLineChars="199"/>
      <w:jc w:val="center"/>
    </w:pPr>
    <w:rPr>
      <w:b/>
      <w:bCs/>
      <w:sz w:val="21"/>
      <w:szCs w:val="21"/>
    </w:rPr>
  </w:style>
  <w:style w:type="paragraph" w:customStyle="1" w:styleId="616">
    <w:name w:val="xl39"/>
    <w:basedOn w:val="1"/>
    <w:qFormat/>
    <w:uiPriority w:val="0"/>
    <w:pPr>
      <w:widowControl/>
      <w:spacing w:before="100" w:beforeAutospacing="1" w:after="100" w:afterAutospacing="1"/>
      <w:jc w:val="left"/>
    </w:pPr>
    <w:rPr>
      <w:rFonts w:hint="eastAsia" w:ascii="Arial Unicode MS" w:hAnsi="Arial Unicode MS" w:eastAsia="Arial Unicode MS" w:cs="Times New Roman"/>
      <w:szCs w:val="20"/>
    </w:rPr>
  </w:style>
  <w:style w:type="paragraph" w:customStyle="1" w:styleId="617">
    <w:name w:val="样式 样式 正文1 + 段前: 0.1 行 + 段前: 0.1 行"/>
    <w:basedOn w:val="1"/>
    <w:qFormat/>
    <w:uiPriority w:val="0"/>
    <w:pPr>
      <w:snapToGrid w:val="0"/>
      <w:spacing w:before="24" w:beforeLines="10" w:line="440" w:lineRule="atLeast"/>
      <w:ind w:firstLine="567"/>
    </w:pPr>
    <w:rPr>
      <w:rFonts w:ascii="Times New Roman" w:hAnsi="Times New Roman" w:eastAsia="宋体" w:cs="Times New Roman"/>
      <w:sz w:val="24"/>
      <w:szCs w:val="20"/>
    </w:rPr>
  </w:style>
  <w:style w:type="paragraph" w:customStyle="1" w:styleId="618">
    <w:name w:val="样式 (中文) 仿宋_GB2312 四号 行距: 固定值 22 磅"/>
    <w:basedOn w:val="1"/>
    <w:qFormat/>
    <w:uiPriority w:val="0"/>
    <w:pPr>
      <w:spacing w:line="440" w:lineRule="exact"/>
    </w:pPr>
    <w:rPr>
      <w:rFonts w:ascii="Times New Roman" w:hAnsi="Times New Roman" w:eastAsia="仿宋_GB2312" w:cs="Times New Roman"/>
      <w:sz w:val="24"/>
      <w:szCs w:val="20"/>
    </w:rPr>
  </w:style>
  <w:style w:type="paragraph" w:customStyle="1" w:styleId="619">
    <w:name w:val="Char Char Char11"/>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620">
    <w:name w:val="表中正文"/>
    <w:basedOn w:val="1"/>
    <w:semiHidden/>
    <w:qFormat/>
    <w:uiPriority w:val="0"/>
    <w:pPr>
      <w:tabs>
        <w:tab w:val="left" w:pos="958"/>
        <w:tab w:val="left" w:pos="7320"/>
        <w:tab w:val="left" w:pos="8160"/>
      </w:tabs>
      <w:adjustRightInd w:val="0"/>
      <w:spacing w:line="360" w:lineRule="atLeast"/>
      <w:ind w:right="113"/>
      <w:jc w:val="center"/>
      <w:textAlignment w:val="baseline"/>
    </w:pPr>
    <w:rPr>
      <w:rFonts w:ascii="宋体" w:hAnsi="宋体" w:eastAsia="宋体" w:cs="Times New Roman"/>
      <w:spacing w:val="6"/>
      <w:kern w:val="20"/>
      <w:szCs w:val="24"/>
    </w:rPr>
  </w:style>
  <w:style w:type="paragraph" w:customStyle="1" w:styleId="621">
    <w:name w:val="单元格"/>
    <w:basedOn w:val="1"/>
    <w:semiHidden/>
    <w:qFormat/>
    <w:uiPriority w:val="0"/>
    <w:pPr>
      <w:jc w:val="center"/>
    </w:pPr>
    <w:rPr>
      <w:rFonts w:ascii="楷体_GB2312" w:hAnsi="Times New Roman" w:eastAsia="楷体_GB2312" w:cs="Times New Roman"/>
      <w:szCs w:val="20"/>
    </w:rPr>
  </w:style>
  <w:style w:type="paragraph" w:customStyle="1" w:styleId="622">
    <w:name w:val="Char Char Char Char Char Char Char Char Char Char Char Char Char Char"/>
    <w:basedOn w:val="1"/>
    <w:qFormat/>
    <w:uiPriority w:val="0"/>
    <w:rPr>
      <w:rFonts w:ascii="Times New Roman" w:hAnsi="Times New Roman" w:eastAsia="宋体" w:cs="Times New Roman"/>
      <w:sz w:val="24"/>
      <w:szCs w:val="24"/>
    </w:rPr>
  </w:style>
  <w:style w:type="paragraph" w:customStyle="1" w:styleId="623">
    <w:name w:val="样式 首行缩进:  0.77 厘米 段前: 7.8 磅 段后: 0.5 行"/>
    <w:basedOn w:val="1"/>
    <w:qFormat/>
    <w:uiPriority w:val="0"/>
    <w:pPr>
      <w:snapToGrid w:val="0"/>
      <w:spacing w:after="120" w:line="480" w:lineRule="exact"/>
      <w:ind w:firstLine="437"/>
    </w:pPr>
    <w:rPr>
      <w:rFonts w:ascii="Times New Roman" w:hAnsi="Times New Roman" w:eastAsia="仿宋_GB2312" w:cs="Times New Roman"/>
      <w:sz w:val="28"/>
      <w:szCs w:val="20"/>
    </w:rPr>
  </w:style>
  <w:style w:type="paragraph" w:customStyle="1" w:styleId="624">
    <w:name w:val="char"/>
    <w:basedOn w:val="1"/>
    <w:qFormat/>
    <w:uiPriority w:val="0"/>
    <w:pPr>
      <w:widowControl/>
      <w:spacing w:after="160" w:line="240" w:lineRule="exact"/>
      <w:jc w:val="left"/>
    </w:pPr>
    <w:rPr>
      <w:rFonts w:ascii="Verdana" w:hAnsi="Verdana" w:eastAsia="仿宋_GB2312" w:cs="”“Times New Roman”“"/>
      <w:kern w:val="0"/>
      <w:sz w:val="36"/>
      <w:szCs w:val="36"/>
      <w:lang w:eastAsia="en-US"/>
    </w:rPr>
  </w:style>
  <w:style w:type="paragraph" w:customStyle="1" w:styleId="625">
    <w:name w:val="Char Char Char2 Char Char Char Char"/>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626">
    <w:name w:val="标题5"/>
    <w:next w:val="2"/>
    <w:qFormat/>
    <w:uiPriority w:val="0"/>
    <w:pPr>
      <w:spacing w:line="360" w:lineRule="auto"/>
    </w:pPr>
    <w:rPr>
      <w:rFonts w:ascii="宋体" w:hAnsi="宋体" w:eastAsia="宋体" w:cs="Times New Roman"/>
      <w:b/>
      <w:bCs/>
      <w:kern w:val="2"/>
      <w:sz w:val="24"/>
      <w:szCs w:val="24"/>
      <w:lang w:val="en-US" w:eastAsia="zh-CN" w:bidi="ar-SA"/>
    </w:rPr>
  </w:style>
  <w:style w:type="paragraph" w:customStyle="1" w:styleId="627">
    <w:name w:val="表中正文居中"/>
    <w:semiHidden/>
    <w:qFormat/>
    <w:uiPriority w:val="0"/>
    <w:pPr>
      <w:spacing w:before="120" w:after="120" w:line="240" w:lineRule="atLeast"/>
      <w:jc w:val="center"/>
    </w:pPr>
    <w:rPr>
      <w:rFonts w:ascii="宋体" w:hAnsi="Times New Roman" w:eastAsia="宋体" w:cs="Times New Roman"/>
      <w:kern w:val="2"/>
      <w:sz w:val="21"/>
      <w:szCs w:val="20"/>
      <w:lang w:val="en-US" w:eastAsia="zh-CN" w:bidi="ar-SA"/>
    </w:rPr>
  </w:style>
  <w:style w:type="paragraph" w:customStyle="1" w:styleId="628">
    <w:name w:val="3级标题-"/>
    <w:basedOn w:val="233"/>
    <w:qFormat/>
    <w:uiPriority w:val="0"/>
    <w:rPr>
      <w:snapToGrid w:val="0"/>
      <w:color w:val="000000"/>
      <w:kern w:val="0"/>
      <w:szCs w:val="24"/>
    </w:rPr>
  </w:style>
  <w:style w:type="paragraph" w:customStyle="1" w:styleId="629">
    <w:name w:val="报告表格"/>
    <w:basedOn w:val="1"/>
    <w:qFormat/>
    <w:uiPriority w:val="0"/>
    <w:pPr>
      <w:autoSpaceDE w:val="0"/>
      <w:autoSpaceDN w:val="0"/>
      <w:adjustRightInd w:val="0"/>
      <w:spacing w:before="40" w:after="40"/>
      <w:jc w:val="center"/>
      <w:textAlignment w:val="bottom"/>
    </w:pPr>
    <w:rPr>
      <w:rFonts w:ascii="Times New Roman" w:hAnsi="Times New Roman" w:eastAsia="宋体" w:cs="Times New Roman"/>
      <w:kern w:val="0"/>
      <w:szCs w:val="20"/>
    </w:rPr>
  </w:style>
  <w:style w:type="paragraph" w:customStyle="1" w:styleId="630">
    <w:name w:val="封面标准文稿编辑信息"/>
    <w:qFormat/>
    <w:uiPriority w:val="0"/>
    <w:pPr>
      <w:tabs>
        <w:tab w:val="left" w:pos="4500"/>
      </w:tabs>
      <w:spacing w:before="180" w:line="180" w:lineRule="exact"/>
      <w:ind w:firstLine="231"/>
      <w:jc w:val="center"/>
    </w:pPr>
    <w:rPr>
      <w:rFonts w:ascii="宋体" w:hAnsi="Times New Roman" w:eastAsia="宋体" w:cs="Times New Roman"/>
      <w:kern w:val="0"/>
      <w:sz w:val="21"/>
      <w:szCs w:val="20"/>
      <w:lang w:val="en-US" w:eastAsia="zh-CN" w:bidi="ar-SA"/>
    </w:rPr>
  </w:style>
  <w:style w:type="paragraph" w:customStyle="1" w:styleId="63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6"/>
      <w:szCs w:val="16"/>
    </w:rPr>
  </w:style>
  <w:style w:type="paragraph" w:customStyle="1" w:styleId="632">
    <w:name w:val="样式 正文格式 + 首行缩进:  2 字符"/>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633">
    <w:name w:val="正文31"/>
    <w:basedOn w:val="1"/>
    <w:semiHidden/>
    <w:qFormat/>
    <w:uiPriority w:val="0"/>
    <w:pPr>
      <w:keepNext/>
      <w:adjustRightInd w:val="0"/>
      <w:jc w:val="center"/>
    </w:pPr>
    <w:rPr>
      <w:rFonts w:ascii="Times New Roman" w:hAnsi="Times New Roman" w:eastAsia="宋体" w:cs="Times New Roman"/>
      <w:kern w:val="0"/>
      <w:sz w:val="28"/>
      <w:szCs w:val="20"/>
    </w:rPr>
  </w:style>
  <w:style w:type="paragraph" w:customStyle="1" w:styleId="63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635">
    <w:name w:val="表内字"/>
    <w:qFormat/>
    <w:uiPriority w:val="0"/>
    <w:pPr>
      <w:tabs>
        <w:tab w:val="left" w:pos="360"/>
      </w:tabs>
      <w:spacing w:line="312" w:lineRule="auto"/>
      <w:jc w:val="center"/>
    </w:pPr>
    <w:rPr>
      <w:rFonts w:ascii="Times New Roman" w:hAnsi="Times New Roman" w:eastAsia="宋体" w:cs="Times New Roman"/>
      <w:color w:val="000000"/>
      <w:kern w:val="0"/>
      <w:sz w:val="21"/>
      <w:szCs w:val="20"/>
      <w:lang w:val="en-US" w:eastAsia="zh-CN" w:bidi="ar-SA"/>
    </w:rPr>
  </w:style>
  <w:style w:type="paragraph" w:customStyle="1" w:styleId="636">
    <w:name w:val="c"/>
    <w:qFormat/>
    <w:uiPriority w:val="0"/>
    <w:pPr>
      <w:widowControl w:val="0"/>
      <w:autoSpaceDE w:val="0"/>
      <w:autoSpaceDN w:val="0"/>
      <w:adjustRightInd w:val="0"/>
      <w:jc w:val="both"/>
    </w:pPr>
    <w:rPr>
      <w:rFonts w:hint="eastAsia" w:ascii="Arial" w:hAnsi="Arial" w:eastAsia="宋体" w:cs="Times New Roman"/>
      <w:kern w:val="0"/>
      <w:sz w:val="24"/>
      <w:szCs w:val="20"/>
      <w:lang w:val="en-US" w:eastAsia="zh-CN" w:bidi="ar-SA"/>
    </w:rPr>
  </w:style>
  <w:style w:type="paragraph" w:customStyle="1" w:styleId="637">
    <w:name w:val="样式 普通(网站) + 首行缩进:  0.74 厘米 行距: 1.5 倍行距"/>
    <w:basedOn w:val="47"/>
    <w:qFormat/>
    <w:uiPriority w:val="0"/>
    <w:pPr>
      <w:spacing w:line="360" w:lineRule="auto"/>
      <w:ind w:firstLine="420"/>
    </w:pPr>
    <w:rPr>
      <w:rFonts w:hint="eastAsia" w:cs="宋体"/>
      <w:color w:val="000000"/>
      <w:kern w:val="0"/>
      <w:szCs w:val="20"/>
    </w:rPr>
  </w:style>
  <w:style w:type="paragraph" w:customStyle="1" w:styleId="638">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0"/>
      <w:sz w:val="28"/>
      <w:szCs w:val="20"/>
      <w:lang w:val="en-US" w:eastAsia="zh-CN" w:bidi="ar-SA"/>
    </w:rPr>
  </w:style>
  <w:style w:type="paragraph" w:customStyle="1" w:styleId="639">
    <w:name w:val="标1"/>
    <w:basedOn w:val="1"/>
    <w:qFormat/>
    <w:uiPriority w:val="0"/>
    <w:pPr>
      <w:spacing w:before="60" w:line="460" w:lineRule="exact"/>
      <w:outlineLvl w:val="0"/>
    </w:pPr>
    <w:rPr>
      <w:rFonts w:ascii="Times New Roman" w:hAnsi="Times New Roman" w:eastAsia="宋体" w:cs="Times New Roman"/>
      <w:b/>
      <w:sz w:val="32"/>
      <w:szCs w:val="24"/>
    </w:rPr>
  </w:style>
  <w:style w:type="paragraph" w:customStyle="1" w:styleId="640">
    <w:name w:val="xl22"/>
    <w:basedOn w:val="1"/>
    <w:qFormat/>
    <w:uiPriority w:val="0"/>
    <w:pPr>
      <w:widowControl/>
      <w:spacing w:before="100" w:after="100"/>
      <w:jc w:val="center"/>
    </w:pPr>
    <w:rPr>
      <w:rFonts w:ascii="Times New Roman" w:hAnsi="Times New Roman" w:eastAsia="宋体" w:cs="Times New Roman"/>
      <w:kern w:val="0"/>
      <w:sz w:val="24"/>
      <w:szCs w:val="24"/>
    </w:rPr>
  </w:style>
  <w:style w:type="paragraph" w:customStyle="1" w:styleId="641">
    <w:name w:val="Char Char Char2 Char Char Char Char Char Char Char Char Char Char1"/>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642">
    <w:name w:val="假设列表"/>
    <w:semiHidden/>
    <w:qFormat/>
    <w:uiPriority w:val="0"/>
    <w:pPr>
      <w:tabs>
        <w:tab w:val="left" w:pos="1200"/>
      </w:tabs>
      <w:spacing w:before="156"/>
      <w:ind w:left="1200" w:hanging="720"/>
    </w:pPr>
    <w:rPr>
      <w:rFonts w:ascii="仿宋_GB2312" w:hAnsi="Times New Roman" w:eastAsia="仿宋_GB2312" w:cs="Times New Roman"/>
      <w:kern w:val="0"/>
      <w:sz w:val="24"/>
      <w:szCs w:val="20"/>
      <w:lang w:val="en-US" w:eastAsia="zh-CN" w:bidi="ar-SA"/>
    </w:rPr>
  </w:style>
  <w:style w:type="paragraph" w:customStyle="1" w:styleId="643">
    <w:name w:val="Char Char Char Char Char Char Char Char Char Char Char Char Char1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644">
    <w:name w:val="样式 4级标题 + 首行缩进:  2 字符"/>
    <w:basedOn w:val="1"/>
    <w:qFormat/>
    <w:uiPriority w:val="0"/>
    <w:pPr>
      <w:spacing w:before="60" w:line="460" w:lineRule="exact"/>
      <w:ind w:firstLine="480"/>
    </w:pPr>
    <w:rPr>
      <w:rFonts w:ascii="Arial" w:hAnsi="Arial" w:eastAsia="宋体" w:cs="宋体"/>
      <w:b/>
      <w:sz w:val="24"/>
      <w:szCs w:val="20"/>
    </w:rPr>
  </w:style>
  <w:style w:type="paragraph" w:customStyle="1" w:styleId="645">
    <w:name w:val="文字"/>
    <w:basedOn w:val="1"/>
    <w:qFormat/>
    <w:uiPriority w:val="0"/>
    <w:pPr>
      <w:widowControl/>
      <w:spacing w:after="156" w:afterLines="50" w:line="360" w:lineRule="auto"/>
      <w:ind w:firstLine="420"/>
    </w:pPr>
    <w:rPr>
      <w:rFonts w:ascii="Times New Roman" w:hAnsi="Times New Roman" w:eastAsia="宋体" w:cs="Times New Roman"/>
      <w:kern w:val="0"/>
      <w:sz w:val="24"/>
      <w:szCs w:val="24"/>
    </w:rPr>
  </w:style>
  <w:style w:type="paragraph" w:customStyle="1" w:styleId="646">
    <w:name w:val="小四表格"/>
    <w:basedOn w:val="1"/>
    <w:qFormat/>
    <w:uiPriority w:val="0"/>
    <w:pPr>
      <w:snapToGrid w:val="0"/>
      <w:jc w:val="center"/>
    </w:pPr>
    <w:rPr>
      <w:rFonts w:ascii="Times New Roman" w:hAnsi="Times New Roman" w:eastAsia="宋体" w:cs="Times New Roman"/>
      <w:kern w:val="0"/>
      <w:sz w:val="24"/>
      <w:szCs w:val="20"/>
    </w:rPr>
  </w:style>
  <w:style w:type="paragraph" w:customStyle="1" w:styleId="647">
    <w:name w:val="正文a"/>
    <w:basedOn w:val="578"/>
    <w:qFormat/>
    <w:uiPriority w:val="0"/>
    <w:pPr>
      <w:ind w:firstLine="0" w:firstLineChars="0"/>
    </w:pPr>
  </w:style>
  <w:style w:type="paragraph" w:customStyle="1" w:styleId="648">
    <w:name w:val="样式 题注 + 小四"/>
    <w:basedOn w:val="16"/>
    <w:qFormat/>
    <w:uiPriority w:val="0"/>
    <w:pPr>
      <w:keepNext/>
      <w:tabs>
        <w:tab w:val="left" w:pos="1727"/>
        <w:tab w:val="left" w:pos="1884"/>
      </w:tabs>
      <w:spacing w:line="360" w:lineRule="auto"/>
    </w:pPr>
    <w:rPr>
      <w:rFonts w:hint="eastAsia" w:ascii="Times New Roman" w:hAnsi="Times New Roman" w:cs="Times New Roman"/>
      <w:sz w:val="24"/>
    </w:rPr>
  </w:style>
  <w:style w:type="paragraph" w:customStyle="1" w:styleId="649">
    <w:name w:val="Char Char Char Char Char Char Char Char Char Char Char Char Char1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650">
    <w:name w:val="样式2"/>
    <w:basedOn w:val="34"/>
    <w:qFormat/>
    <w:uiPriority w:val="0"/>
    <w:pPr>
      <w:pBdr>
        <w:top w:val="single" w:color="auto" w:sz="4" w:space="0"/>
      </w:pBdr>
    </w:pPr>
    <w:rPr>
      <w:rFonts w:ascii="Times New Roman" w:hAnsi="Times New Roman" w:eastAsia="宋体" w:cs="Times New Roman"/>
      <w:lang w:val="zh-CN" w:eastAsia="zh-CN"/>
    </w:rPr>
  </w:style>
  <w:style w:type="paragraph" w:customStyle="1" w:styleId="651">
    <w:name w:val="font5"/>
    <w:basedOn w:val="1"/>
    <w:qFormat/>
    <w:uiPriority w:val="0"/>
    <w:pPr>
      <w:widowControl/>
      <w:spacing w:before="100" w:beforeAutospacing="1" w:after="100" w:afterAutospacing="1"/>
      <w:jc w:val="left"/>
    </w:pPr>
    <w:rPr>
      <w:rFonts w:hint="eastAsia" w:ascii="宋体" w:hAnsi="宋体" w:eastAsia="宋体" w:cs="Arial Unicode MS"/>
      <w:kern w:val="0"/>
      <w:sz w:val="18"/>
      <w:szCs w:val="18"/>
    </w:rPr>
  </w:style>
  <w:style w:type="paragraph" w:customStyle="1" w:styleId="652">
    <w:name w:val="Char Char Char Char Char Char Char Char Char Char Char Char Char Char Char Char Char Char Char Char Char Char Char Char Char1"/>
    <w:basedOn w:val="1"/>
    <w:next w:val="1"/>
    <w:qFormat/>
    <w:uiPriority w:val="0"/>
    <w:rPr>
      <w:rFonts w:ascii="Times New Roman" w:hAnsi="Times New Roman" w:eastAsia="宋体" w:cs="Times New Roman"/>
      <w:szCs w:val="24"/>
    </w:rPr>
  </w:style>
  <w:style w:type="paragraph" w:customStyle="1" w:styleId="653">
    <w:name w:val="Char Char Char Char Char Char Char Char Char Char Char Char Char1 Char Char Char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654">
    <w:name w:val="基准页眉样式"/>
    <w:basedOn w:val="20"/>
    <w:qFormat/>
    <w:uiPriority w:val="0"/>
    <w:pPr>
      <w:spacing w:after="0" w:line="320" w:lineRule="exact"/>
      <w:jc w:val="center"/>
    </w:pPr>
    <w:rPr>
      <w:color w:val="000000"/>
      <w:szCs w:val="21"/>
    </w:rPr>
  </w:style>
  <w:style w:type="paragraph" w:customStyle="1" w:styleId="655">
    <w:name w:val="Char Char Char1 Char"/>
    <w:basedOn w:val="1"/>
    <w:qFormat/>
    <w:uiPriority w:val="0"/>
    <w:rPr>
      <w:rFonts w:ascii="Times New Roman" w:hAnsi="Times New Roman" w:eastAsia="宋体" w:cs="Times New Roman"/>
      <w:szCs w:val="24"/>
    </w:rPr>
  </w:style>
  <w:style w:type="paragraph" w:customStyle="1" w:styleId="656">
    <w:name w:val="正文001 Char Char Char"/>
    <w:basedOn w:val="1"/>
    <w:qFormat/>
    <w:uiPriority w:val="0"/>
    <w:pPr>
      <w:spacing w:line="500" w:lineRule="atLeast"/>
      <w:ind w:firstLine="200" w:firstLineChars="200"/>
    </w:pPr>
    <w:rPr>
      <w:rFonts w:ascii="Times New Roman" w:hAnsi="Times New Roman" w:eastAsia="宋体" w:cs="Times New Roman"/>
      <w:color w:val="000000"/>
      <w:sz w:val="24"/>
      <w:szCs w:val="24"/>
    </w:rPr>
  </w:style>
  <w:style w:type="paragraph" w:customStyle="1" w:styleId="657">
    <w:name w:val="In Table (II)"/>
    <w:basedOn w:val="543"/>
    <w:qFormat/>
    <w:uiPriority w:val="0"/>
    <w:pPr>
      <w:spacing w:before="60" w:after="60"/>
      <w:ind w:left="52" w:leftChars="20" w:right="-588"/>
      <w:jc w:val="both"/>
    </w:pPr>
    <w:rPr>
      <w:sz w:val="18"/>
    </w:rPr>
  </w:style>
  <w:style w:type="paragraph" w:customStyle="1" w:styleId="658">
    <w:name w:val="Char Char Char2 Char Char Char Char Char Char Char Char Char Char Char Char Char Char Char Char Char Char Char Char"/>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659">
    <w:name w:val="框图"/>
    <w:basedOn w:val="1"/>
    <w:qFormat/>
    <w:uiPriority w:val="0"/>
    <w:pPr>
      <w:jc w:val="center"/>
    </w:pPr>
    <w:rPr>
      <w:rFonts w:ascii="Times New Roman" w:hAnsi="Times New Roman" w:eastAsia="宋体" w:cs="Times New Roman"/>
      <w:color w:val="000000"/>
      <w:sz w:val="20"/>
      <w:szCs w:val="21"/>
    </w:rPr>
  </w:style>
  <w:style w:type="paragraph" w:customStyle="1" w:styleId="660">
    <w:name w:val="表文左对齐"/>
    <w:basedOn w:val="468"/>
    <w:semiHidden/>
    <w:qFormat/>
    <w:uiPriority w:val="0"/>
    <w:pPr>
      <w:adjustRightInd w:val="0"/>
      <w:spacing w:after="0"/>
      <w:jc w:val="left"/>
    </w:pPr>
    <w:rPr>
      <w:rFonts w:ascii="Times" w:hAnsi="Times" w:eastAsia="仿宋_GB2312"/>
      <w:sz w:val="18"/>
    </w:rPr>
  </w:style>
  <w:style w:type="paragraph" w:customStyle="1" w:styleId="661">
    <w:name w:val="表格_表头"/>
    <w:next w:val="1"/>
    <w:qFormat/>
    <w:uiPriority w:val="0"/>
    <w:pPr>
      <w:widowControl w:val="0"/>
      <w:spacing w:line="258" w:lineRule="atLeast"/>
      <w:jc w:val="center"/>
    </w:pPr>
    <w:rPr>
      <w:rFonts w:ascii="Times New Roman" w:hAnsi="Times New Roman" w:eastAsia="宋体" w:cs="Times New Roman"/>
      <w:b/>
      <w:bCs/>
      <w:kern w:val="2"/>
      <w:sz w:val="21"/>
      <w:szCs w:val="16"/>
      <w:lang w:val="en-US" w:eastAsia="zh-CN" w:bidi="ar-SA"/>
    </w:rPr>
  </w:style>
  <w:style w:type="paragraph" w:customStyle="1" w:styleId="662">
    <w:name w:val="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663">
    <w:name w:val="表号"/>
    <w:basedOn w:val="635"/>
    <w:next w:val="635"/>
    <w:qFormat/>
    <w:uiPriority w:val="0"/>
    <w:pPr>
      <w:tabs>
        <w:tab w:val="left" w:pos="420"/>
        <w:tab w:val="clear" w:pos="360"/>
      </w:tabs>
      <w:spacing w:before="120" w:after="120" w:line="240" w:lineRule="atLeast"/>
      <w:ind w:left="420" w:hanging="420"/>
    </w:pPr>
    <w:rPr>
      <w:rFonts w:ascii="黑体" w:eastAsia="黑体"/>
      <w:b/>
      <w:color w:val="auto"/>
      <w:sz w:val="28"/>
    </w:rPr>
  </w:style>
  <w:style w:type="paragraph" w:customStyle="1" w:styleId="664">
    <w:name w:val="样式 (中文) 仿宋_GB2312 四号 黑色"/>
    <w:basedOn w:val="1"/>
    <w:qFormat/>
    <w:uiPriority w:val="0"/>
    <w:pPr>
      <w:spacing w:line="580" w:lineRule="exact"/>
      <w:ind w:left="178" w:leftChars="85" w:firstLine="496" w:firstLineChars="177"/>
    </w:pPr>
    <w:rPr>
      <w:rFonts w:ascii="Times New Roman" w:hAnsi="Times New Roman" w:eastAsia="仿宋_GB2312" w:cs="宋体"/>
      <w:color w:val="000000"/>
      <w:sz w:val="28"/>
      <w:szCs w:val="20"/>
    </w:rPr>
  </w:style>
  <w:style w:type="paragraph" w:customStyle="1" w:styleId="665">
    <w:name w:val="正文11"/>
    <w:basedOn w:val="1"/>
    <w:qFormat/>
    <w:uiPriority w:val="0"/>
    <w:pPr>
      <w:adjustRightInd w:val="0"/>
      <w:snapToGrid w:val="0"/>
      <w:spacing w:line="500" w:lineRule="atLeast"/>
      <w:ind w:firstLine="567"/>
    </w:pPr>
    <w:rPr>
      <w:rFonts w:ascii="Times New Roman" w:hAnsi="Times New Roman" w:eastAsia="宋体" w:cs="Times New Roman"/>
      <w:sz w:val="28"/>
      <w:szCs w:val="20"/>
    </w:rPr>
  </w:style>
  <w:style w:type="paragraph" w:customStyle="1" w:styleId="666">
    <w:name w:val="Char Char Char2 Char Char Char Char Char Char Char Char Char Char Char1"/>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667">
    <w:name w:val="条题"/>
    <w:basedOn w:val="1"/>
    <w:qFormat/>
    <w:uiPriority w:val="0"/>
    <w:pPr>
      <w:tabs>
        <w:tab w:val="left" w:pos="420"/>
        <w:tab w:val="left" w:pos="1640"/>
      </w:tabs>
      <w:spacing w:line="460" w:lineRule="exact"/>
      <w:ind w:left="420" w:hanging="420"/>
    </w:pPr>
    <w:rPr>
      <w:rFonts w:ascii="Times New Roman" w:hAnsi="Times New Roman" w:eastAsia="幼圆" w:cs="Times New Roman"/>
      <w:sz w:val="28"/>
      <w:szCs w:val="24"/>
    </w:rPr>
  </w:style>
  <w:style w:type="paragraph" w:customStyle="1" w:styleId="668">
    <w:name w:val="Char Char Char Char Char Char Char Char Char Char Char Char Char2"/>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669">
    <w:name w:val="Report List 2"/>
    <w:basedOn w:val="1"/>
    <w:qFormat/>
    <w:uiPriority w:val="0"/>
    <w:pPr>
      <w:widowControl/>
      <w:tabs>
        <w:tab w:val="left" w:pos="360"/>
        <w:tab w:val="left" w:pos="900"/>
      </w:tabs>
      <w:ind w:left="900" w:hanging="420"/>
      <w:jc w:val="left"/>
    </w:pPr>
    <w:rPr>
      <w:rFonts w:ascii="Times New Roman" w:hAnsi="Times New Roman" w:eastAsia="Times New Roman" w:cs="Times New Roman"/>
      <w:kern w:val="0"/>
      <w:sz w:val="22"/>
      <w:szCs w:val="20"/>
      <w:lang w:val="en-GB" w:eastAsia="en-US"/>
    </w:rPr>
  </w:style>
  <w:style w:type="paragraph" w:customStyle="1" w:styleId="670">
    <w:name w:val="样式 正文1 + 段前: 0.1 行1"/>
    <w:basedOn w:val="1"/>
    <w:qFormat/>
    <w:uiPriority w:val="0"/>
    <w:pPr>
      <w:snapToGrid w:val="0"/>
      <w:spacing w:before="10" w:beforeLines="10" w:line="440" w:lineRule="atLeast"/>
      <w:ind w:firstLine="510"/>
    </w:pPr>
    <w:rPr>
      <w:rFonts w:ascii="Times New Roman" w:hAnsi="Times New Roman" w:eastAsia="宋体" w:cs="宋体"/>
      <w:sz w:val="24"/>
      <w:szCs w:val="20"/>
    </w:rPr>
  </w:style>
  <w:style w:type="paragraph" w:customStyle="1" w:styleId="671">
    <w:name w:val="二级无标题条"/>
    <w:basedOn w:val="1"/>
    <w:qFormat/>
    <w:uiPriority w:val="0"/>
    <w:rPr>
      <w:rFonts w:ascii="Times New Roman" w:hAnsi="Times New Roman" w:eastAsia="宋体" w:cs="Times New Roman"/>
      <w:szCs w:val="20"/>
    </w:rPr>
  </w:style>
  <w:style w:type="paragraph" w:customStyle="1" w:styleId="672">
    <w:name w:val="标题11"/>
    <w:basedOn w:val="1"/>
    <w:next w:val="4"/>
    <w:qFormat/>
    <w:uiPriority w:val="0"/>
    <w:pPr>
      <w:spacing w:before="240" w:after="240"/>
      <w:jc w:val="center"/>
    </w:pPr>
    <w:rPr>
      <w:rFonts w:ascii="Times New Roman" w:hAnsi="Times New Roman" w:eastAsia="宋体" w:cs="Times New Roman"/>
      <w:b/>
      <w:sz w:val="32"/>
      <w:szCs w:val="20"/>
    </w:rPr>
  </w:style>
  <w:style w:type="paragraph" w:customStyle="1" w:styleId="673">
    <w:name w:val="xl37"/>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674">
    <w:name w:val="Body Text 21"/>
    <w:basedOn w:val="1"/>
    <w:qFormat/>
    <w:uiPriority w:val="0"/>
    <w:pPr>
      <w:adjustRightInd w:val="0"/>
      <w:spacing w:line="312" w:lineRule="atLeast"/>
      <w:jc w:val="center"/>
    </w:pPr>
    <w:rPr>
      <w:rFonts w:ascii="Times New Roman" w:hAnsi="Times New Roman" w:eastAsia="楷体_GB2312" w:cs="Times New Roman"/>
      <w:kern w:val="0"/>
      <w:sz w:val="28"/>
      <w:szCs w:val="20"/>
    </w:rPr>
  </w:style>
  <w:style w:type="paragraph" w:customStyle="1" w:styleId="675">
    <w:name w:val="Char Char Char Char Char Char Char11"/>
    <w:basedOn w:val="1"/>
    <w:qFormat/>
    <w:uiPriority w:val="0"/>
    <w:pPr>
      <w:tabs>
        <w:tab w:val="left" w:pos="360"/>
      </w:tabs>
    </w:pPr>
    <w:rPr>
      <w:rFonts w:ascii="Times New Roman" w:hAnsi="Times New Roman" w:eastAsia="宋体" w:cs="Times New Roman"/>
      <w:szCs w:val="24"/>
    </w:rPr>
  </w:style>
  <w:style w:type="paragraph" w:customStyle="1" w:styleId="676">
    <w:name w:val="表格01"/>
    <w:basedOn w:val="1"/>
    <w:qFormat/>
    <w:uiPriority w:val="0"/>
    <w:pPr>
      <w:jc w:val="center"/>
    </w:pPr>
    <w:rPr>
      <w:rFonts w:ascii="Times New Roman" w:hAnsi="Times New Roman" w:eastAsia="宋体" w:cs="Times New Roman"/>
      <w:sz w:val="24"/>
      <w:szCs w:val="20"/>
    </w:rPr>
  </w:style>
  <w:style w:type="paragraph" w:customStyle="1" w:styleId="677">
    <w:name w:val="表文_M5"/>
    <w:qFormat/>
    <w:uiPriority w:val="0"/>
    <w:pPr>
      <w:widowControl w:val="0"/>
      <w:spacing w:line="360" w:lineRule="exact"/>
      <w:jc w:val="center"/>
    </w:pPr>
    <w:rPr>
      <w:rFonts w:ascii="Garamond" w:hAnsi="Garamond" w:eastAsia="楷体_GB2312" w:cs="Times New Roman"/>
      <w:bCs/>
      <w:color w:val="000000"/>
      <w:kern w:val="0"/>
      <w:sz w:val="21"/>
      <w:szCs w:val="21"/>
      <w:lang w:val="en-US" w:eastAsia="zh-CN" w:bidi="ar-SA"/>
    </w:rPr>
  </w:style>
  <w:style w:type="paragraph" w:customStyle="1" w:styleId="678">
    <w:name w:val="标题C"/>
    <w:basedOn w:val="1"/>
    <w:qFormat/>
    <w:uiPriority w:val="0"/>
    <w:pPr>
      <w:spacing w:line="360" w:lineRule="auto"/>
      <w:outlineLvl w:val="2"/>
    </w:pPr>
    <w:rPr>
      <w:rFonts w:ascii="Times New Roman" w:hAnsi="Times New Roman" w:eastAsia="宋体" w:cs="宋体"/>
      <w:b/>
      <w:bCs/>
      <w:sz w:val="24"/>
      <w:szCs w:val="20"/>
    </w:rPr>
  </w:style>
  <w:style w:type="paragraph" w:customStyle="1" w:styleId="679">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80">
    <w:name w:val="Char Char Char Char Char Char Char Char Char Char Char Char Char1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681">
    <w:name w:val="Char Char Char Char1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682">
    <w:name w:val="表1"/>
    <w:basedOn w:val="1"/>
    <w:next w:val="1"/>
    <w:qFormat/>
    <w:uiPriority w:val="0"/>
    <w:pPr>
      <w:spacing w:line="300" w:lineRule="auto"/>
      <w:ind w:left="900" w:leftChars="200" w:hanging="480" w:hangingChars="200"/>
      <w:jc w:val="center"/>
    </w:pPr>
    <w:rPr>
      <w:rFonts w:ascii="Times New Roman" w:hAnsi="Times New Roman" w:eastAsia="宋体" w:cs="Times New Roman"/>
      <w:sz w:val="24"/>
      <w:szCs w:val="24"/>
    </w:rPr>
  </w:style>
  <w:style w:type="paragraph" w:customStyle="1" w:styleId="683">
    <w:name w:val="Table-I(S)"/>
    <w:basedOn w:val="1"/>
    <w:qFormat/>
    <w:uiPriority w:val="0"/>
    <w:pPr>
      <w:tabs>
        <w:tab w:val="left" w:pos="2160"/>
        <w:tab w:val="left" w:pos="3840"/>
        <w:tab w:val="left" w:pos="5280"/>
      </w:tabs>
      <w:spacing w:line="0" w:lineRule="atLeast"/>
      <w:jc w:val="center"/>
    </w:pPr>
    <w:rPr>
      <w:rFonts w:hint="eastAsia" w:ascii="Tahoma" w:hAnsi="Tahoma" w:eastAsia="华文中宋" w:cs="Times New Roman"/>
      <w:sz w:val="18"/>
      <w:szCs w:val="20"/>
    </w:rPr>
  </w:style>
  <w:style w:type="paragraph" w:customStyle="1" w:styleId="684">
    <w:name w:val="正文版本"/>
    <w:basedOn w:val="1"/>
    <w:qFormat/>
    <w:uiPriority w:val="0"/>
    <w:pPr>
      <w:autoSpaceDE w:val="0"/>
      <w:autoSpaceDN w:val="0"/>
      <w:adjustRightInd w:val="0"/>
      <w:spacing w:line="420" w:lineRule="auto"/>
      <w:jc w:val="center"/>
    </w:pPr>
    <w:rPr>
      <w:rFonts w:ascii="宋体" w:hAnsi="宋体" w:eastAsia="宋体" w:cs="Times New Roman"/>
      <w:sz w:val="24"/>
      <w:szCs w:val="20"/>
      <w:lang w:val="zh-CN"/>
    </w:rPr>
  </w:style>
  <w:style w:type="paragraph" w:customStyle="1" w:styleId="68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686">
    <w:name w:val="6"/>
    <w:basedOn w:val="1"/>
    <w:next w:val="19"/>
    <w:qFormat/>
    <w:uiPriority w:val="0"/>
    <w:pPr>
      <w:jc w:val="center"/>
    </w:pPr>
    <w:rPr>
      <w:rFonts w:ascii="Times New Roman" w:hAnsi="Times New Roman" w:eastAsia="仿宋_GB2312" w:cs="Times New Roman"/>
      <w:sz w:val="24"/>
      <w:szCs w:val="24"/>
    </w:rPr>
  </w:style>
  <w:style w:type="paragraph" w:customStyle="1" w:styleId="687">
    <w:name w:val="表名"/>
    <w:basedOn w:val="1"/>
    <w:qFormat/>
    <w:uiPriority w:val="0"/>
    <w:pPr>
      <w:widowControl/>
      <w:overflowPunct w:val="0"/>
      <w:autoSpaceDE w:val="0"/>
      <w:autoSpaceDN w:val="0"/>
      <w:adjustRightInd w:val="0"/>
      <w:spacing w:line="480" w:lineRule="exact"/>
      <w:ind w:firstLine="360"/>
      <w:jc w:val="center"/>
      <w:textAlignment w:val="baseline"/>
    </w:pPr>
    <w:rPr>
      <w:rFonts w:ascii="黑体" w:hAnsi="Times New Roman" w:eastAsia="黑体" w:cs="Times New Roman"/>
      <w:b/>
      <w:color w:val="000000"/>
      <w:spacing w:val="20"/>
      <w:kern w:val="0"/>
      <w:sz w:val="28"/>
      <w:szCs w:val="20"/>
    </w:rPr>
  </w:style>
  <w:style w:type="paragraph" w:customStyle="1" w:styleId="688">
    <w:name w:val="样式 样式 标题2 + 首行缩进:  1 字符 段前: 0.5 行 + 段前: 0.5 行"/>
    <w:basedOn w:val="1"/>
    <w:qFormat/>
    <w:uiPriority w:val="0"/>
    <w:pPr>
      <w:spacing w:before="120" w:beforeLines="50" w:line="500" w:lineRule="atLeast"/>
      <w:ind w:firstLine="281" w:firstLineChars="100"/>
      <w:jc w:val="left"/>
      <w:outlineLvl w:val="1"/>
    </w:pPr>
    <w:rPr>
      <w:rFonts w:ascii="Times New Roman" w:hAnsi="Times New Roman" w:eastAsia="宋体" w:cs="宋体"/>
      <w:b/>
      <w:bCs/>
      <w:sz w:val="28"/>
      <w:szCs w:val="20"/>
    </w:rPr>
  </w:style>
  <w:style w:type="paragraph" w:customStyle="1" w:styleId="689">
    <w:name w:val="简单回函地址"/>
    <w:basedOn w:val="1"/>
    <w:qFormat/>
    <w:uiPriority w:val="0"/>
    <w:rPr>
      <w:rFonts w:ascii="Times New Roman" w:hAnsi="Times New Roman" w:eastAsia="宋体" w:cs="Times New Roman"/>
      <w:szCs w:val="24"/>
    </w:rPr>
  </w:style>
  <w:style w:type="paragraph" w:customStyle="1" w:styleId="690">
    <w:name w:val="标题003"/>
    <w:basedOn w:val="1"/>
    <w:qFormat/>
    <w:uiPriority w:val="0"/>
    <w:pPr>
      <w:spacing w:before="300" w:line="460" w:lineRule="exact"/>
      <w:outlineLvl w:val="2"/>
    </w:pPr>
    <w:rPr>
      <w:rFonts w:ascii="Times New Roman" w:hAnsi="Times New Roman" w:eastAsia="宋体" w:cs="Times New Roman"/>
      <w:b/>
      <w:sz w:val="24"/>
      <w:szCs w:val="20"/>
    </w:rPr>
  </w:style>
  <w:style w:type="paragraph" w:customStyle="1" w:styleId="691">
    <w:name w:val="gao"/>
    <w:basedOn w:val="1"/>
    <w:qFormat/>
    <w:uiPriority w:val="0"/>
    <w:pPr>
      <w:autoSpaceDE w:val="0"/>
      <w:autoSpaceDN w:val="0"/>
      <w:adjustRightInd w:val="0"/>
      <w:spacing w:line="360" w:lineRule="auto"/>
    </w:pPr>
    <w:rPr>
      <w:rFonts w:ascii="宋体" w:hAnsi="Times New Roman" w:eastAsia="宋体" w:cs="Times New Roman"/>
      <w:kern w:val="0"/>
      <w:sz w:val="28"/>
      <w:szCs w:val="20"/>
    </w:rPr>
  </w:style>
  <w:style w:type="paragraph" w:customStyle="1" w:styleId="692">
    <w:name w:val="Char Char Char2 Char Char Char Char Char Char Char Char Char Char Char Char Char Char Char"/>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styleId="693">
    <w:name w:val="No Spacing"/>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694">
    <w:name w:val="Main"/>
    <w:basedOn w:val="1"/>
    <w:qFormat/>
    <w:uiPriority w:val="0"/>
    <w:pPr>
      <w:spacing w:line="480" w:lineRule="atLeast"/>
      <w:ind w:left="400" w:leftChars="400" w:right="400" w:rightChars="400" w:firstLine="200" w:firstLineChars="200"/>
    </w:pPr>
    <w:rPr>
      <w:rFonts w:ascii="Tahoma" w:hAnsi="Tahoma" w:eastAsia="宋体" w:cs="Times New Roman"/>
      <w:sz w:val="28"/>
      <w:szCs w:val="28"/>
    </w:rPr>
  </w:style>
  <w:style w:type="paragraph" w:customStyle="1" w:styleId="695">
    <w:name w:val="Char Char Char Char Char Char1 Char Char Char Char"/>
    <w:basedOn w:val="1"/>
    <w:qFormat/>
    <w:uiPriority w:val="0"/>
    <w:rPr>
      <w:rFonts w:ascii="Times New Roman" w:hAnsi="Times New Roman" w:eastAsia="宋体" w:cs="Times New Roman"/>
      <w:sz w:val="24"/>
      <w:szCs w:val="24"/>
    </w:rPr>
  </w:style>
  <w:style w:type="paragraph" w:customStyle="1" w:styleId="696">
    <w:name w:val="Char Char Char Char Char Char Char Char Char Char Char Char Char1 Char Char 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697">
    <w:name w:val="样式8"/>
    <w:basedOn w:val="2"/>
    <w:qFormat/>
    <w:uiPriority w:val="0"/>
    <w:pPr>
      <w:tabs>
        <w:tab w:val="left" w:pos="5203"/>
      </w:tabs>
      <w:spacing w:line="264" w:lineRule="auto"/>
      <w:ind w:firstLine="476" w:firstLineChars="0"/>
    </w:pPr>
    <w:rPr>
      <w:rFonts w:ascii="Arial" w:hAnsi="Arial" w:eastAsia="宋体" w:cs="Arial"/>
      <w:spacing w:val="10"/>
      <w:sz w:val="24"/>
      <w:szCs w:val="20"/>
    </w:rPr>
  </w:style>
  <w:style w:type="paragraph" w:customStyle="1" w:styleId="698">
    <w:name w:val="表格题头"/>
    <w:basedOn w:val="1"/>
    <w:qFormat/>
    <w:uiPriority w:val="0"/>
    <w:pPr>
      <w:spacing w:before="100" w:after="60" w:line="480" w:lineRule="exact"/>
      <w:jc w:val="center"/>
    </w:pPr>
    <w:rPr>
      <w:rFonts w:ascii="Times New Roman" w:hAnsi="Times New Roman" w:eastAsia="宋体" w:cs="Times New Roman"/>
      <w:sz w:val="24"/>
      <w:szCs w:val="24"/>
    </w:rPr>
  </w:style>
  <w:style w:type="paragraph" w:customStyle="1" w:styleId="699">
    <w:name w:val="Char Char Char Char Char Char Char2"/>
    <w:basedOn w:val="1"/>
    <w:qFormat/>
    <w:uiPriority w:val="0"/>
    <w:rPr>
      <w:rFonts w:ascii="Times New Roman" w:hAnsi="Times New Roman" w:eastAsia="宋体" w:cs="Times New Roman"/>
      <w:szCs w:val="24"/>
    </w:rPr>
  </w:style>
  <w:style w:type="paragraph" w:customStyle="1" w:styleId="700">
    <w:name w:val="正文 小四 行距: 1.5 倍行距"/>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701">
    <w:name w:val="表格001"/>
    <w:basedOn w:val="1"/>
    <w:qFormat/>
    <w:uiPriority w:val="0"/>
    <w:pPr>
      <w:spacing w:line="360" w:lineRule="exact"/>
      <w:jc w:val="center"/>
    </w:pPr>
    <w:rPr>
      <w:rFonts w:ascii="Arial" w:hAnsi="Arial" w:eastAsia="宋体" w:cs="Times New Roman"/>
      <w:szCs w:val="24"/>
    </w:rPr>
  </w:style>
  <w:style w:type="paragraph" w:customStyle="1" w:styleId="702">
    <w:name w:val="zxz5"/>
    <w:next w:val="1"/>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703">
    <w:name w:val="表"/>
    <w:basedOn w:val="1"/>
    <w:qFormat/>
    <w:uiPriority w:val="0"/>
    <w:pPr>
      <w:snapToGrid w:val="0"/>
      <w:jc w:val="center"/>
    </w:pPr>
    <w:rPr>
      <w:rFonts w:ascii="Times New Roman" w:hAnsi="Times New Roman" w:eastAsia="宋体" w:cs="Times New Roman"/>
      <w:spacing w:val="2"/>
      <w:szCs w:val="20"/>
    </w:rPr>
  </w:style>
  <w:style w:type="paragraph" w:customStyle="1" w:styleId="704">
    <w:name w:val="font1"/>
    <w:basedOn w:val="1"/>
    <w:qFormat/>
    <w:uiPriority w:val="0"/>
    <w:pPr>
      <w:widowControl/>
      <w:spacing w:before="100" w:beforeAutospacing="1" w:after="100" w:afterAutospacing="1"/>
      <w:jc w:val="left"/>
    </w:pPr>
    <w:rPr>
      <w:rFonts w:hint="eastAsia" w:ascii="宋体" w:hAnsi="宋体" w:eastAsia="宋体" w:cs="Arial Unicode MS"/>
      <w:kern w:val="0"/>
      <w:sz w:val="24"/>
      <w:szCs w:val="24"/>
    </w:rPr>
  </w:style>
  <w:style w:type="paragraph" w:customStyle="1" w:styleId="705">
    <w:name w:val="Char Char Char Char Char Char Char Char Char Char Char Char Char1 Char Char Char Char Char Char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06">
    <w:name w:val="Char Char1 Char Char 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707">
    <w:name w:val="Char Char Char Char Char Char Char Char Char Char Char Char Char1 Char Char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08">
    <w:name w:val="Char Char Char2 Char Char Char Char1"/>
    <w:basedOn w:val="1"/>
    <w:qFormat/>
    <w:uiPriority w:val="0"/>
    <w:pPr>
      <w:spacing w:beforeLines="20" w:line="440" w:lineRule="atLeast"/>
      <w:ind w:firstLine="200" w:firstLineChars="200"/>
    </w:pPr>
    <w:rPr>
      <w:rFonts w:ascii="Times New Roman" w:hAnsi="Times New Roman" w:eastAsia="宋体" w:cs="Times New Roman"/>
      <w:sz w:val="24"/>
      <w:szCs w:val="24"/>
    </w:rPr>
  </w:style>
  <w:style w:type="paragraph" w:customStyle="1" w:styleId="709">
    <w:name w:val="样式 标题 3 + 首行缩进:  2 字符"/>
    <w:basedOn w:val="5"/>
    <w:qFormat/>
    <w:uiPriority w:val="0"/>
  </w:style>
  <w:style w:type="paragraph" w:customStyle="1" w:styleId="710">
    <w:name w:val="热电厂正文"/>
    <w:basedOn w:val="1"/>
    <w:qFormat/>
    <w:uiPriority w:val="0"/>
    <w:pPr>
      <w:spacing w:line="440" w:lineRule="exact"/>
      <w:ind w:firstLine="480" w:firstLineChars="200"/>
    </w:pPr>
    <w:rPr>
      <w:rFonts w:ascii="Times New Roman" w:hAnsi="Times New Roman" w:eastAsia="宋体" w:cs="Times New Roman"/>
      <w:sz w:val="24"/>
      <w:szCs w:val="24"/>
    </w:rPr>
  </w:style>
  <w:style w:type="paragraph" w:customStyle="1" w:styleId="711">
    <w:name w:val="图形标题"/>
    <w:basedOn w:val="2"/>
    <w:next w:val="1"/>
    <w:qFormat/>
    <w:uiPriority w:val="0"/>
    <w:pPr>
      <w:topLinePunct/>
      <w:spacing w:before="120" w:after="120"/>
      <w:ind w:firstLine="0"/>
      <w:jc w:val="center"/>
    </w:pPr>
    <w:rPr>
      <w:rFonts w:ascii="Times" w:hAnsi="Times" w:eastAsia="宋体" w:cs="Times New Roman"/>
      <w:b/>
      <w:szCs w:val="20"/>
    </w:rPr>
  </w:style>
  <w:style w:type="paragraph" w:customStyle="1" w:styleId="712">
    <w:name w:val="样式 标题 3 + 四号"/>
    <w:basedOn w:val="5"/>
    <w:qFormat/>
    <w:uiPriority w:val="0"/>
    <w:pPr>
      <w:spacing w:before="0" w:after="0" w:line="360" w:lineRule="auto"/>
      <w:ind w:left="720" w:hanging="720"/>
    </w:pPr>
    <w:rPr>
      <w:color w:val="000000"/>
      <w:sz w:val="30"/>
    </w:rPr>
  </w:style>
  <w:style w:type="paragraph" w:customStyle="1" w:styleId="713">
    <w:name w:val="Char3"/>
    <w:basedOn w:val="1"/>
    <w:qFormat/>
    <w:uiPriority w:val="0"/>
    <w:rPr>
      <w:rFonts w:ascii="Times New Roman" w:hAnsi="Times New Roman" w:eastAsia="宋体" w:cs="Times New Roman"/>
      <w:szCs w:val="24"/>
    </w:rPr>
  </w:style>
  <w:style w:type="paragraph" w:customStyle="1" w:styleId="714">
    <w:name w:val="样式 正文001 + Times New Roman Char Char Char"/>
    <w:basedOn w:val="656"/>
    <w:qFormat/>
    <w:uiPriority w:val="0"/>
    <w:pPr>
      <w:spacing w:before="60" w:line="460" w:lineRule="exact"/>
      <w:ind w:firstLine="482" w:firstLineChars="0"/>
    </w:pPr>
  </w:style>
  <w:style w:type="paragraph" w:customStyle="1" w:styleId="715">
    <w:name w:val="文本条款 Char Char"/>
    <w:basedOn w:val="92"/>
    <w:qFormat/>
    <w:uiPriority w:val="0"/>
    <w:pPr>
      <w:spacing w:before="40" w:after="60" w:line="420" w:lineRule="exact"/>
      <w:ind w:firstLine="0" w:firstLineChars="0"/>
      <w:jc w:val="center"/>
    </w:pPr>
    <w:rPr>
      <w:rFonts w:ascii="Times New Roman" w:hAnsi="Times New Roman" w:cs="Times New Roman"/>
      <w:color w:val="000000"/>
    </w:rPr>
  </w:style>
  <w:style w:type="paragraph" w:customStyle="1" w:styleId="716">
    <w:name w:val="燕山正文"/>
    <w:basedOn w:val="1"/>
    <w:qFormat/>
    <w:uiPriority w:val="0"/>
    <w:pPr>
      <w:tabs>
        <w:tab w:val="left" w:pos="4680"/>
      </w:tabs>
      <w:adjustRightInd w:val="0"/>
      <w:snapToGrid w:val="0"/>
      <w:spacing w:line="360" w:lineRule="auto"/>
      <w:ind w:firstLine="560" w:firstLineChars="200"/>
    </w:pPr>
    <w:rPr>
      <w:rFonts w:ascii="宋体" w:hAnsi="宋体" w:eastAsia="宋体" w:cs="Times New Roman"/>
      <w:color w:val="000000"/>
      <w:sz w:val="28"/>
      <w:szCs w:val="28"/>
    </w:rPr>
  </w:style>
  <w:style w:type="paragraph" w:customStyle="1" w:styleId="717">
    <w:name w:val="样式 表格内容 + 居中 首行缩进:  0.86 厘米"/>
    <w:basedOn w:val="1"/>
    <w:qFormat/>
    <w:uiPriority w:val="0"/>
    <w:pPr>
      <w:widowControl/>
      <w:overflowPunct w:val="0"/>
      <w:snapToGrid w:val="0"/>
      <w:jc w:val="center"/>
      <w:textAlignment w:val="baseline"/>
    </w:pPr>
    <w:rPr>
      <w:rFonts w:ascii="Arial" w:hAnsi="Arial" w:eastAsia="仿宋_GB2312" w:cs="宋体"/>
      <w:kern w:val="0"/>
      <w:sz w:val="22"/>
      <w:szCs w:val="20"/>
    </w:rPr>
  </w:style>
  <w:style w:type="paragraph" w:customStyle="1" w:styleId="718">
    <w:name w:val="默认段落字体 Para Char Char Char Char"/>
    <w:basedOn w:val="1"/>
    <w:qFormat/>
    <w:uiPriority w:val="0"/>
    <w:rPr>
      <w:rFonts w:ascii="Times New Roman" w:hAnsi="Times New Roman" w:eastAsia="宋体" w:cs="Times New Roman"/>
      <w:sz w:val="24"/>
      <w:szCs w:val="24"/>
    </w:rPr>
  </w:style>
  <w:style w:type="paragraph" w:customStyle="1" w:styleId="719">
    <w:name w:val="Report List 1"/>
    <w:basedOn w:val="15"/>
    <w:semiHidden/>
    <w:qFormat/>
    <w:uiPriority w:val="0"/>
    <w:pPr>
      <w:widowControl/>
      <w:tabs>
        <w:tab w:val="left" w:pos="1440"/>
      </w:tabs>
      <w:adjustRightInd/>
      <w:spacing w:before="138" w:line="360" w:lineRule="auto"/>
      <w:ind w:left="1440" w:hanging="360" w:firstLineChars="200"/>
      <w:jc w:val="left"/>
      <w:textAlignment w:val="auto"/>
    </w:pPr>
    <w:rPr>
      <w:rFonts w:eastAsia="PMingLiU"/>
      <w:kern w:val="0"/>
      <w:sz w:val="22"/>
      <w:szCs w:val="20"/>
      <w:lang w:val="en-GB" w:eastAsia="zh-TW"/>
    </w:rPr>
  </w:style>
  <w:style w:type="paragraph" w:customStyle="1" w:styleId="720">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721">
    <w:name w:val="xl31"/>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72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723">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4">
    <w:name w:val="bg"/>
    <w:basedOn w:val="1"/>
    <w:qFormat/>
    <w:uiPriority w:val="0"/>
    <w:pPr>
      <w:widowControl/>
      <w:jc w:val="center"/>
    </w:pPr>
    <w:rPr>
      <w:rFonts w:ascii="Dotum" w:hAnsi="Dotum" w:eastAsia="仿宋_GB2312" w:cs="Times New Roman"/>
      <w:kern w:val="0"/>
      <w:sz w:val="24"/>
      <w:szCs w:val="20"/>
    </w:rPr>
  </w:style>
  <w:style w:type="paragraph" w:customStyle="1" w:styleId="725">
    <w:name w:val="font7"/>
    <w:basedOn w:val="1"/>
    <w:qFormat/>
    <w:uiPriority w:val="0"/>
    <w:pPr>
      <w:widowControl/>
      <w:spacing w:before="100" w:beforeAutospacing="1" w:after="100" w:afterAutospacing="1"/>
      <w:jc w:val="left"/>
    </w:pPr>
    <w:rPr>
      <w:rFonts w:ascii="Times New Roman" w:hAnsi="Times New Roman" w:eastAsia="Arial Unicode MS" w:cs="Times New Roman"/>
      <w:kern w:val="0"/>
      <w:sz w:val="22"/>
    </w:rPr>
  </w:style>
  <w:style w:type="paragraph" w:customStyle="1" w:styleId="726">
    <w:name w:val="Char1 Char Char Char1"/>
    <w:basedOn w:val="1"/>
    <w:qFormat/>
    <w:uiPriority w:val="0"/>
    <w:rPr>
      <w:rFonts w:ascii="Times New Roman" w:hAnsi="Times New Roman" w:eastAsia="宋体" w:cs="Times New Roman"/>
      <w:sz w:val="24"/>
      <w:szCs w:val="24"/>
    </w:rPr>
  </w:style>
  <w:style w:type="paragraph" w:customStyle="1" w:styleId="72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2"/>
    </w:rPr>
  </w:style>
  <w:style w:type="paragraph" w:customStyle="1" w:styleId="728">
    <w:name w:val="影响评价正文"/>
    <w:basedOn w:val="1"/>
    <w:qFormat/>
    <w:uiPriority w:val="0"/>
    <w:pPr>
      <w:spacing w:line="400" w:lineRule="exact"/>
      <w:ind w:firstLine="567"/>
    </w:pPr>
    <w:rPr>
      <w:rFonts w:ascii="Times New Roman" w:hAnsi="Times New Roman" w:eastAsia="宋体" w:cs="Times New Roman"/>
      <w:snapToGrid w:val="0"/>
      <w:spacing w:val="4"/>
      <w:kern w:val="0"/>
      <w:sz w:val="24"/>
      <w:szCs w:val="20"/>
    </w:rPr>
  </w:style>
  <w:style w:type="paragraph" w:customStyle="1" w:styleId="7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0">
    <w:name w:val="样式 段前: 0.5 行 段后: 0.5 行"/>
    <w:basedOn w:val="1"/>
    <w:semiHidden/>
    <w:qFormat/>
    <w:uiPriority w:val="0"/>
    <w:pPr>
      <w:adjustRightInd w:val="0"/>
      <w:snapToGrid w:val="0"/>
      <w:spacing w:before="25" w:beforeLines="25" w:after="25" w:afterLines="25" w:line="300" w:lineRule="auto"/>
      <w:ind w:firstLine="510" w:firstLineChars="200"/>
    </w:pPr>
    <w:rPr>
      <w:rFonts w:ascii="Times New Roman" w:hAnsi="Times New Roman" w:eastAsia="宋体" w:cs="宋体"/>
      <w:spacing w:val="10"/>
      <w:sz w:val="28"/>
      <w:szCs w:val="20"/>
    </w:rPr>
  </w:style>
  <w:style w:type="paragraph" w:customStyle="1" w:styleId="731">
    <w:name w:val="Char Char Char1 Char1"/>
    <w:basedOn w:val="1"/>
    <w:qFormat/>
    <w:uiPriority w:val="0"/>
    <w:rPr>
      <w:rFonts w:ascii="Times New Roman" w:hAnsi="Times New Roman" w:eastAsia="宋体" w:cs="Times New Roman"/>
      <w:szCs w:val="24"/>
    </w:rPr>
  </w:style>
  <w:style w:type="paragraph" w:customStyle="1" w:styleId="732">
    <w:name w:val="样式 标题 + 黑体 小三 两端对齐 左侧:  0 厘米 首行缩进:  0 厘米 段前: 0 磅 段后: 0 磅 ...1"/>
    <w:basedOn w:val="48"/>
    <w:qFormat/>
    <w:uiPriority w:val="0"/>
    <w:pPr>
      <w:pageBreakBefore/>
      <w:tabs>
        <w:tab w:val="left" w:pos="425"/>
      </w:tabs>
      <w:spacing w:before="100" w:beforeAutospacing="1" w:after="100" w:afterAutospacing="1" w:line="360" w:lineRule="auto"/>
      <w:ind w:left="425" w:hanging="425"/>
      <w:jc w:val="both"/>
    </w:pPr>
    <w:rPr>
      <w:rFonts w:ascii="黑体" w:hAnsi="Arial" w:eastAsia="黑体"/>
      <w:bCs/>
      <w:sz w:val="32"/>
    </w:rPr>
  </w:style>
  <w:style w:type="paragraph" w:customStyle="1" w:styleId="733">
    <w:name w:val="nr"/>
    <w:basedOn w:val="1"/>
    <w:qFormat/>
    <w:uiPriority w:val="0"/>
    <w:pPr>
      <w:widowControl/>
      <w:spacing w:before="100" w:beforeAutospacing="1" w:after="100" w:afterAutospacing="1" w:line="320" w:lineRule="atLeast"/>
      <w:jc w:val="left"/>
    </w:pPr>
    <w:rPr>
      <w:rFonts w:hint="eastAsia" w:ascii="宋体" w:hAnsi="宋体" w:eastAsia="宋体" w:cs="Times New Roman"/>
      <w:color w:val="000000"/>
      <w:kern w:val="0"/>
      <w:sz w:val="22"/>
    </w:rPr>
  </w:style>
  <w:style w:type="paragraph" w:customStyle="1" w:styleId="734">
    <w:name w:val="默认段落字体 Para Char Char Char Char Char Char Char Char Char Char"/>
    <w:basedOn w:val="5"/>
    <w:qFormat/>
    <w:uiPriority w:val="0"/>
    <w:pPr>
      <w:tabs>
        <w:tab w:val="left" w:pos="360"/>
        <w:tab w:val="left" w:pos="900"/>
      </w:tabs>
      <w:snapToGrid w:val="0"/>
      <w:spacing w:before="120" w:after="120" w:line="360" w:lineRule="auto"/>
      <w:ind w:left="542" w:leftChars="-12" w:firstLine="200" w:firstLineChars="200"/>
      <w:jc w:val="left"/>
    </w:pPr>
    <w:rPr>
      <w:rFonts w:eastAsia="黑体"/>
      <w:b w:val="0"/>
      <w:bCs w:val="0"/>
      <w:snapToGrid w:val="0"/>
      <w:sz w:val="24"/>
      <w:szCs w:val="24"/>
    </w:rPr>
  </w:style>
  <w:style w:type="paragraph" w:customStyle="1" w:styleId="735">
    <w:name w:val="正文缩近"/>
    <w:basedOn w:val="1"/>
    <w:qFormat/>
    <w:uiPriority w:val="0"/>
    <w:pPr>
      <w:spacing w:line="360" w:lineRule="auto"/>
      <w:ind w:firstLine="560" w:firstLineChars="200"/>
    </w:pPr>
    <w:rPr>
      <w:rFonts w:ascii="Times New Roman" w:hAnsi="Times New Roman" w:eastAsia="宋体" w:cs="Times New Roman"/>
      <w:sz w:val="28"/>
      <w:szCs w:val="20"/>
    </w:rPr>
  </w:style>
  <w:style w:type="paragraph" w:customStyle="1" w:styleId="736">
    <w:name w:val="表格后正文"/>
    <w:basedOn w:val="1"/>
    <w:qFormat/>
    <w:uiPriority w:val="0"/>
    <w:pPr>
      <w:widowControl/>
      <w:tabs>
        <w:tab w:val="left" w:pos="567"/>
      </w:tabs>
      <w:spacing w:before="200" w:line="360" w:lineRule="auto"/>
      <w:ind w:firstLine="200" w:firstLineChars="200"/>
      <w:jc w:val="left"/>
    </w:pPr>
    <w:rPr>
      <w:rFonts w:ascii="Times New Roman" w:hAnsi="Times New Roman" w:eastAsia="华文中宋" w:cs="Times New Roman"/>
      <w:spacing w:val="20"/>
      <w:kern w:val="0"/>
      <w:sz w:val="24"/>
      <w:szCs w:val="24"/>
    </w:rPr>
  </w:style>
  <w:style w:type="paragraph" w:customStyle="1" w:styleId="737">
    <w:name w:val="Char Char1 Char Char Char Char Char Char Char Char Char Char Char Char Char Char Char Char Char Char2"/>
    <w:basedOn w:val="1"/>
    <w:qFormat/>
    <w:uiPriority w:val="0"/>
    <w:pPr>
      <w:spacing w:line="360" w:lineRule="auto"/>
      <w:ind w:firstLine="200" w:firstLineChars="200"/>
    </w:pPr>
    <w:rPr>
      <w:rFonts w:ascii="宋体" w:hAnsi="宋体" w:eastAsia="宋体" w:cs="宋体"/>
      <w:sz w:val="24"/>
      <w:szCs w:val="24"/>
    </w:rPr>
  </w:style>
  <w:style w:type="paragraph" w:customStyle="1" w:styleId="738">
    <w:name w:val="表1表2"/>
    <w:basedOn w:val="1"/>
    <w:qFormat/>
    <w:uiPriority w:val="0"/>
    <w:pPr>
      <w:topLinePunct/>
      <w:autoSpaceDE w:val="0"/>
      <w:autoSpaceDN w:val="0"/>
      <w:adjustRightInd w:val="0"/>
      <w:spacing w:line="360" w:lineRule="auto"/>
      <w:ind w:firstLine="425"/>
      <w:jc w:val="center"/>
      <w:textAlignment w:val="center"/>
    </w:pPr>
    <w:rPr>
      <w:rFonts w:ascii="Times New Roman" w:hAnsi="Times New Roman" w:eastAsia="仿宋体" w:cs="Times New Roman"/>
      <w:kern w:val="0"/>
      <w:sz w:val="24"/>
      <w:szCs w:val="20"/>
    </w:rPr>
  </w:style>
  <w:style w:type="paragraph" w:customStyle="1" w:styleId="739">
    <w:name w:val="样式6"/>
    <w:basedOn w:val="1"/>
    <w:qFormat/>
    <w:uiPriority w:val="0"/>
    <w:pPr>
      <w:spacing w:line="360" w:lineRule="exact"/>
      <w:jc w:val="center"/>
    </w:pPr>
    <w:rPr>
      <w:rFonts w:ascii="Times New Roman" w:hAnsi="Times New Roman" w:eastAsia="宋体" w:cs="Times New Roman"/>
      <w:szCs w:val="24"/>
    </w:rPr>
  </w:style>
  <w:style w:type="paragraph" w:customStyle="1" w:styleId="740">
    <w:name w:val="新正文样式"/>
    <w:basedOn w:val="1"/>
    <w:qFormat/>
    <w:uiPriority w:val="0"/>
    <w:pPr>
      <w:widowControl/>
      <w:tabs>
        <w:tab w:val="left" w:pos="567"/>
      </w:tabs>
      <w:spacing w:line="360" w:lineRule="auto"/>
      <w:ind w:firstLine="560" w:firstLineChars="200"/>
      <w:jc w:val="left"/>
    </w:pPr>
    <w:rPr>
      <w:rFonts w:ascii="Times New Roman" w:hAnsi="Times New Roman" w:eastAsia="华文中宋" w:cs="Times New Roman"/>
      <w:spacing w:val="20"/>
      <w:kern w:val="0"/>
      <w:sz w:val="24"/>
      <w:szCs w:val="20"/>
    </w:rPr>
  </w:style>
  <w:style w:type="paragraph" w:customStyle="1" w:styleId="741">
    <w:name w:val="标题002"/>
    <w:basedOn w:val="1"/>
    <w:qFormat/>
    <w:uiPriority w:val="0"/>
    <w:pPr>
      <w:spacing w:before="60" w:line="460" w:lineRule="exact"/>
      <w:outlineLvl w:val="1"/>
    </w:pPr>
    <w:rPr>
      <w:rFonts w:ascii="Times New Roman" w:hAnsi="Times New Roman" w:eastAsia="宋体" w:cs="Times New Roman"/>
      <w:b/>
      <w:sz w:val="28"/>
      <w:szCs w:val="20"/>
    </w:rPr>
  </w:style>
  <w:style w:type="paragraph" w:customStyle="1" w:styleId="742">
    <w:name w:val="报告书表格"/>
    <w:basedOn w:val="1"/>
    <w:qFormat/>
    <w:uiPriority w:val="0"/>
    <w:pPr>
      <w:adjustRightInd w:val="0"/>
      <w:spacing w:before="60" w:after="60" w:line="240" w:lineRule="atLeast"/>
      <w:jc w:val="center"/>
      <w:textAlignment w:val="baseline"/>
    </w:pPr>
    <w:rPr>
      <w:rFonts w:ascii="Cambria" w:hAnsi="Cambria" w:eastAsia="方正宋三简体" w:cs="Cambria"/>
      <w:kern w:val="0"/>
      <w:szCs w:val="20"/>
    </w:rPr>
  </w:style>
  <w:style w:type="paragraph" w:customStyle="1" w:styleId="743">
    <w:name w:val="Char Char Char Char Char Char Char Char Char Char Char Char Char Char1"/>
    <w:basedOn w:val="1"/>
    <w:qFormat/>
    <w:uiPriority w:val="0"/>
    <w:rPr>
      <w:rFonts w:ascii="Times New Roman" w:hAnsi="Times New Roman" w:eastAsia="宋体" w:cs="Times New Roman"/>
      <w:sz w:val="24"/>
      <w:szCs w:val="24"/>
    </w:rPr>
  </w:style>
  <w:style w:type="paragraph" w:customStyle="1" w:styleId="744">
    <w:name w:val="Char Char Char2 Char Char Char Char Char Char Char Char Char Char Char Char Char Char Char Char Char Char Char Char1"/>
    <w:basedOn w:val="1"/>
    <w:qFormat/>
    <w:uiPriority w:val="0"/>
    <w:pPr>
      <w:spacing w:before="20" w:beforeLines="20" w:line="440" w:lineRule="atLeast"/>
      <w:ind w:firstLine="200" w:firstLineChars="200"/>
    </w:pPr>
    <w:rPr>
      <w:rFonts w:ascii="Times New Roman" w:hAnsi="Times New Roman" w:eastAsia="宋体" w:cs="Times New Roman"/>
      <w:sz w:val="24"/>
      <w:szCs w:val="24"/>
    </w:rPr>
  </w:style>
  <w:style w:type="paragraph" w:customStyle="1" w:styleId="745">
    <w:name w:val="表文字"/>
    <w:basedOn w:val="1"/>
    <w:qFormat/>
    <w:uiPriority w:val="0"/>
    <w:pPr>
      <w:topLinePunct/>
      <w:adjustRightInd w:val="0"/>
      <w:spacing w:line="240" w:lineRule="exact"/>
      <w:jc w:val="center"/>
      <w:textAlignment w:val="baseline"/>
    </w:pPr>
    <w:rPr>
      <w:rFonts w:ascii="Times New Roman" w:hAnsi="Times New Roman" w:eastAsia="宋体" w:cs="Times New Roman"/>
      <w:szCs w:val="21"/>
    </w:rPr>
  </w:style>
  <w:style w:type="paragraph" w:customStyle="1" w:styleId="74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kern w:val="0"/>
      <w:sz w:val="28"/>
      <w:szCs w:val="20"/>
      <w:lang w:val="en-US" w:eastAsia="zh-CN" w:bidi="ar-SA"/>
    </w:rPr>
  </w:style>
  <w:style w:type="paragraph" w:customStyle="1" w:styleId="747">
    <w:name w:val="样式 样式 正文首行缩进 + 首行缩进:  2 字符 + 首行缩进:  2 字符"/>
    <w:basedOn w:val="1"/>
    <w:qFormat/>
    <w:uiPriority w:val="0"/>
    <w:pPr>
      <w:topLinePunct/>
      <w:adjustRightInd w:val="0"/>
      <w:snapToGrid w:val="0"/>
      <w:spacing w:line="360" w:lineRule="auto"/>
      <w:ind w:firstLine="480"/>
      <w:textAlignment w:val="baseline"/>
    </w:pPr>
    <w:rPr>
      <w:rFonts w:ascii="Times New Roman" w:hAnsi="宋体" w:eastAsia="Times New Roman" w:cs="Times New Roman"/>
      <w:kern w:val="0"/>
      <w:sz w:val="24"/>
      <w:szCs w:val="20"/>
    </w:rPr>
  </w:style>
  <w:style w:type="paragraph" w:customStyle="1" w:styleId="748">
    <w:name w:val="表格正文正文"/>
    <w:basedOn w:val="1"/>
    <w:qFormat/>
    <w:uiPriority w:val="0"/>
    <w:pPr>
      <w:spacing w:line="0" w:lineRule="atLeast"/>
      <w:jc w:val="center"/>
    </w:pPr>
    <w:rPr>
      <w:rFonts w:ascii="Arial" w:hAnsi="Arial" w:eastAsia="宋体" w:cs="Arial"/>
      <w:szCs w:val="20"/>
    </w:rPr>
  </w:style>
  <w:style w:type="paragraph" w:customStyle="1" w:styleId="749">
    <w:name w:val="表格文字"/>
    <w:basedOn w:val="1"/>
    <w:qFormat/>
    <w:uiPriority w:val="0"/>
    <w:pPr>
      <w:autoSpaceDE w:val="0"/>
      <w:autoSpaceDN w:val="0"/>
      <w:adjustRightInd w:val="0"/>
      <w:snapToGrid w:val="0"/>
      <w:spacing w:line="300" w:lineRule="auto"/>
      <w:jc w:val="center"/>
    </w:pPr>
    <w:rPr>
      <w:rFonts w:ascii="宋体" w:hAnsi="宋体" w:eastAsia="宋体" w:cs="Times New Roman"/>
      <w:kern w:val="0"/>
      <w:szCs w:val="20"/>
    </w:rPr>
  </w:style>
  <w:style w:type="paragraph" w:customStyle="1" w:styleId="750">
    <w:name w:val="正文文本 32"/>
    <w:basedOn w:val="1"/>
    <w:semiHidden/>
    <w:qFormat/>
    <w:uiPriority w:val="0"/>
    <w:pPr>
      <w:adjustRightInd w:val="0"/>
      <w:spacing w:line="360" w:lineRule="atLeast"/>
      <w:jc w:val="center"/>
    </w:pPr>
    <w:rPr>
      <w:rFonts w:ascii="仿宋体" w:hAnsi="Times New Roman" w:eastAsia="仿宋体" w:cs="Times New Roman"/>
      <w:kern w:val="0"/>
      <w:sz w:val="24"/>
      <w:szCs w:val="20"/>
    </w:rPr>
  </w:style>
  <w:style w:type="paragraph" w:customStyle="1" w:styleId="751">
    <w:name w:val="Revision"/>
    <w:unhideWhenUsed/>
    <w:qFormat/>
    <w:uiPriority w:val="99"/>
    <w:rPr>
      <w:rFonts w:ascii="Times New Roman" w:hAnsi="Times New Roman" w:eastAsia="宋体" w:cs="Times New Roman"/>
      <w:kern w:val="2"/>
      <w:sz w:val="24"/>
      <w:szCs w:val="24"/>
      <w:lang w:val="en-US" w:eastAsia="zh-CN" w:bidi="ar-SA"/>
    </w:rPr>
  </w:style>
  <w:style w:type="paragraph" w:customStyle="1" w:styleId="752">
    <w:name w:val="Char Char Char Char Char Char Char Char Char Char Char Char Char Char Char Char Char Char Char Char Char Char Char Char Char Char Char 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53">
    <w:name w:val="正文_1"/>
    <w:basedOn w:val="1"/>
    <w:qFormat/>
    <w:uiPriority w:val="0"/>
    <w:pPr>
      <w:spacing w:before="60" w:after="60" w:line="360" w:lineRule="auto"/>
      <w:ind w:firstLine="560" w:firstLineChars="200"/>
      <w:jc w:val="left"/>
    </w:pPr>
    <w:rPr>
      <w:rFonts w:ascii="Times New Roman" w:hAnsi="Times New Roman" w:eastAsia="宋体" w:cs="Times New Roman"/>
      <w:sz w:val="24"/>
      <w:szCs w:val="24"/>
    </w:rPr>
  </w:style>
  <w:style w:type="paragraph" w:customStyle="1" w:styleId="754">
    <w:name w:val="列表段落1"/>
    <w:basedOn w:val="1"/>
    <w:qFormat/>
    <w:uiPriority w:val="0"/>
    <w:pPr>
      <w:spacing w:before="60" w:after="60" w:line="360" w:lineRule="auto"/>
      <w:ind w:firstLine="420" w:firstLineChars="200"/>
    </w:pPr>
    <w:rPr>
      <w:rFonts w:ascii="Times New Roman" w:hAnsi="Times New Roman" w:eastAsia="宋体" w:cs="Times New Roman"/>
      <w:sz w:val="28"/>
      <w:szCs w:val="24"/>
    </w:rPr>
  </w:style>
  <w:style w:type="paragraph" w:customStyle="1" w:styleId="755">
    <w:name w:val="样式 样式 标题 3 + Times New Roman + 段前: 1 行 段后: 0.5 行"/>
    <w:basedOn w:val="1"/>
    <w:qFormat/>
    <w:uiPriority w:val="0"/>
    <w:pPr>
      <w:keepNext/>
      <w:keepLines/>
      <w:tabs>
        <w:tab w:val="left" w:pos="724"/>
        <w:tab w:val="left" w:pos="804"/>
      </w:tabs>
      <w:spacing w:before="100" w:beforeLines="100" w:after="50" w:afterLines="50"/>
      <w:outlineLvl w:val="2"/>
    </w:pPr>
    <w:rPr>
      <w:rFonts w:ascii="Times New Roman" w:hAnsi="Times New Roman" w:eastAsia="宋体" w:cs="宋体"/>
      <w:b/>
      <w:bCs/>
      <w:sz w:val="28"/>
      <w:szCs w:val="20"/>
    </w:rPr>
  </w:style>
  <w:style w:type="paragraph" w:customStyle="1" w:styleId="756">
    <w:name w:val="Char Char Char1 Char Char Char Char"/>
    <w:basedOn w:val="1"/>
    <w:qFormat/>
    <w:uiPriority w:val="0"/>
    <w:pPr>
      <w:spacing w:line="360" w:lineRule="auto"/>
      <w:ind w:firstLine="200" w:firstLineChars="200"/>
    </w:pPr>
    <w:rPr>
      <w:rFonts w:ascii="Times New Roman" w:hAnsi="Times New Roman" w:eastAsia="仿宋_GB2312" w:cs="宋体"/>
      <w:sz w:val="24"/>
      <w:szCs w:val="24"/>
    </w:rPr>
  </w:style>
  <w:style w:type="paragraph" w:customStyle="1" w:styleId="757">
    <w:name w:val="样式 正文文本正文文字 Char正文文字Body Text 1正文文字1表标body textBody Text ..."/>
    <w:basedOn w:val="20"/>
    <w:qFormat/>
    <w:uiPriority w:val="0"/>
    <w:pPr>
      <w:spacing w:after="0" w:line="360" w:lineRule="auto"/>
      <w:ind w:firstLine="420" w:firstLineChars="200"/>
      <w:jc w:val="left"/>
    </w:pPr>
    <w:rPr>
      <w:rFonts w:hAnsi="宋体"/>
      <w:szCs w:val="21"/>
    </w:rPr>
  </w:style>
  <w:style w:type="paragraph" w:customStyle="1" w:styleId="758">
    <w:name w:val="倪 表头"/>
    <w:basedOn w:val="7"/>
    <w:qFormat/>
    <w:uiPriority w:val="0"/>
    <w:pPr>
      <w:keepNext/>
      <w:tabs>
        <w:tab w:val="clear" w:pos="1008"/>
      </w:tabs>
      <w:adjustRightInd/>
      <w:spacing w:before="0" w:after="0" w:line="360" w:lineRule="auto"/>
      <w:ind w:left="568" w:firstLine="0"/>
      <w:textAlignment w:val="auto"/>
    </w:pPr>
    <w:rPr>
      <w:rFonts w:ascii="Times New Roman" w:hAnsi="Times New Roman" w:eastAsia="仿宋_GB2312"/>
      <w:bCs/>
      <w:kern w:val="2"/>
      <w:szCs w:val="28"/>
    </w:rPr>
  </w:style>
  <w:style w:type="paragraph" w:customStyle="1" w:styleId="759">
    <w:name w:val="LNG－正文"/>
    <w:basedOn w:val="1"/>
    <w:qFormat/>
    <w:uiPriority w:val="0"/>
    <w:pPr>
      <w:spacing w:line="360" w:lineRule="auto"/>
    </w:pPr>
    <w:rPr>
      <w:rFonts w:ascii="Times New Roman" w:hAnsi="Times New Roman" w:eastAsia="宋体" w:cs="Times New Roman"/>
      <w:sz w:val="24"/>
      <w:szCs w:val="24"/>
    </w:rPr>
  </w:style>
  <w:style w:type="paragraph" w:customStyle="1" w:styleId="760">
    <w:name w:val="Table Paragraph"/>
    <w:basedOn w:val="1"/>
    <w:qFormat/>
    <w:uiPriority w:val="0"/>
    <w:pPr>
      <w:autoSpaceDE w:val="0"/>
      <w:autoSpaceDN w:val="0"/>
      <w:adjustRightInd w:val="0"/>
      <w:jc w:val="left"/>
    </w:pPr>
    <w:rPr>
      <w:rFonts w:ascii="Times New Roman" w:hAnsi="Times New Roman" w:eastAsia="宋体" w:cs="Times New Roman"/>
      <w:kern w:val="0"/>
      <w:sz w:val="24"/>
      <w:szCs w:val="24"/>
    </w:rPr>
  </w:style>
  <w:style w:type="paragraph" w:customStyle="1" w:styleId="761">
    <w:name w:val="列出段落1"/>
    <w:basedOn w:val="1"/>
    <w:qFormat/>
    <w:uiPriority w:val="0"/>
    <w:pPr>
      <w:ind w:firstLine="420" w:firstLineChars="200"/>
    </w:pPr>
    <w:rPr>
      <w:rFonts w:ascii="Calibri" w:hAnsi="Calibri" w:eastAsia="宋体" w:cs="Times New Roman"/>
    </w:rPr>
  </w:style>
  <w:style w:type="paragraph" w:customStyle="1" w:styleId="762">
    <w:name w:val="zl正文"/>
    <w:basedOn w:val="1"/>
    <w:qFormat/>
    <w:uiPriority w:val="0"/>
    <w:pPr>
      <w:spacing w:line="360" w:lineRule="auto"/>
      <w:ind w:firstLine="480" w:firstLineChars="200"/>
    </w:pPr>
    <w:rPr>
      <w:rFonts w:ascii="Times New Roman" w:hAnsi="Times New Roman" w:eastAsia="Times New Roman" w:cs="Times New Roman"/>
      <w:kern w:val="0"/>
      <w:sz w:val="24"/>
      <w:szCs w:val="24"/>
    </w:rPr>
  </w:style>
  <w:style w:type="paragraph" w:customStyle="1" w:styleId="763">
    <w:name w:val="样式 样式 样式 标题 2 + 首行缩进:  0 字符 + (西文) Times New Roman + 首行缩进:  1 字符"/>
    <w:basedOn w:val="1"/>
    <w:qFormat/>
    <w:uiPriority w:val="0"/>
    <w:pPr>
      <w:keepNext/>
      <w:keepLines/>
      <w:tabs>
        <w:tab w:val="left" w:pos="2925"/>
      </w:tabs>
      <w:autoSpaceDN w:val="0"/>
      <w:spacing w:line="360" w:lineRule="auto"/>
      <w:outlineLvl w:val="1"/>
    </w:pPr>
    <w:rPr>
      <w:rFonts w:ascii="Times New Roman" w:hAnsi="Times New Roman" w:eastAsia="宋体" w:cs="宋体"/>
      <w:b/>
      <w:bCs/>
      <w:sz w:val="28"/>
      <w:szCs w:val="20"/>
    </w:rPr>
  </w:style>
  <w:style w:type="paragraph" w:customStyle="1" w:styleId="764">
    <w:name w:val="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765">
    <w:name w:val="Char Char Char Char1 Char Char"/>
    <w:basedOn w:val="6"/>
    <w:qFormat/>
    <w:uiPriority w:val="0"/>
    <w:pPr>
      <w:tabs>
        <w:tab w:val="left" w:pos="0"/>
        <w:tab w:val="clear" w:pos="864"/>
      </w:tabs>
      <w:adjustRightInd w:val="0"/>
      <w:snapToGrid w:val="0"/>
      <w:spacing w:line="360" w:lineRule="auto"/>
      <w:ind w:left="0" w:firstLine="0"/>
      <w:jc w:val="center"/>
    </w:pPr>
    <w:rPr>
      <w:rFonts w:ascii="仿宋_GB2312" w:hAnsi="Arial" w:eastAsia="仿宋_GB2312" w:cs="Arial"/>
    </w:rPr>
  </w:style>
  <w:style w:type="paragraph" w:customStyle="1" w:styleId="766">
    <w:name w:val="Char Char Char Char4"/>
    <w:basedOn w:val="1"/>
    <w:qFormat/>
    <w:uiPriority w:val="0"/>
    <w:pPr>
      <w:spacing w:before="62" w:beforeLines="20" w:line="440" w:lineRule="atLeast"/>
      <w:ind w:firstLine="200" w:firstLineChars="200"/>
    </w:pPr>
    <w:rPr>
      <w:rFonts w:ascii="Times New Roman" w:hAnsi="Times New Roman" w:eastAsia="宋体" w:cs="Times New Roman"/>
      <w:szCs w:val="20"/>
    </w:rPr>
  </w:style>
  <w:style w:type="paragraph" w:customStyle="1" w:styleId="767">
    <w:name w:val="样式 居中 行距: 固定值 20 磅"/>
    <w:basedOn w:val="1"/>
    <w:qFormat/>
    <w:uiPriority w:val="0"/>
    <w:pPr>
      <w:spacing w:line="400" w:lineRule="exact"/>
      <w:jc w:val="center"/>
    </w:pPr>
    <w:rPr>
      <w:rFonts w:ascii="Times New Roman" w:hAnsi="Times New Roman" w:eastAsia="宋体" w:cs="Times New Roman"/>
      <w:sz w:val="24"/>
      <w:szCs w:val="24"/>
    </w:rPr>
  </w:style>
  <w:style w:type="paragraph" w:customStyle="1" w:styleId="768">
    <w:name w:val="正文2"/>
    <w:basedOn w:val="1"/>
    <w:qFormat/>
    <w:uiPriority w:val="0"/>
    <w:pPr>
      <w:adjustRightInd w:val="0"/>
      <w:snapToGrid w:val="0"/>
      <w:spacing w:line="440" w:lineRule="atLeast"/>
      <w:ind w:firstLine="510"/>
    </w:pPr>
    <w:rPr>
      <w:rFonts w:ascii="Times New Roman" w:hAnsi="Times New Roman" w:eastAsia="宋体" w:cs="Times New Roman"/>
      <w:szCs w:val="20"/>
    </w:rPr>
  </w:style>
  <w:style w:type="paragraph" w:customStyle="1" w:styleId="769">
    <w:name w:val="标题2"/>
    <w:basedOn w:val="1"/>
    <w:next w:val="1"/>
    <w:qFormat/>
    <w:uiPriority w:val="0"/>
    <w:rPr>
      <w:rFonts w:ascii="Times New Roman" w:hAnsi="Times New Roman" w:eastAsia="宋体" w:cs="Times New Roman"/>
      <w:szCs w:val="24"/>
    </w:rPr>
  </w:style>
  <w:style w:type="paragraph" w:customStyle="1" w:styleId="770">
    <w:name w:val="样式 样式 标题 2 + Times New Roman + 段前: 0.5 行 段后: 0.5 行1"/>
    <w:basedOn w:val="1"/>
    <w:qFormat/>
    <w:uiPriority w:val="0"/>
    <w:pPr>
      <w:keepNext/>
      <w:keepLines/>
      <w:spacing w:line="360" w:lineRule="auto"/>
      <w:outlineLvl w:val="1"/>
    </w:pPr>
    <w:rPr>
      <w:rFonts w:ascii="Times New Roman" w:hAnsi="Times New Roman" w:eastAsia="宋体" w:cs="宋体"/>
      <w:b/>
      <w:bCs/>
      <w:sz w:val="28"/>
      <w:szCs w:val="20"/>
    </w:rPr>
  </w:style>
  <w:style w:type="paragraph" w:customStyle="1" w:styleId="771">
    <w:name w:val="样式 日期 + 五号 行距: 固定值 20 磅"/>
    <w:basedOn w:val="30"/>
    <w:qFormat/>
    <w:uiPriority w:val="0"/>
    <w:pPr>
      <w:adjustRightInd w:val="0"/>
      <w:spacing w:line="400" w:lineRule="exact"/>
      <w:ind w:left="0" w:leftChars="0"/>
      <w:textAlignment w:val="baseline"/>
    </w:pPr>
    <w:rPr>
      <w:rFonts w:ascii="Times New Roman" w:hAnsi="Times New Roman" w:eastAsia="宋体" w:cs="宋体"/>
      <w:szCs w:val="20"/>
    </w:rPr>
  </w:style>
  <w:style w:type="paragraph" w:customStyle="1" w:styleId="772">
    <w:name w:val="标题3.5"/>
    <w:basedOn w:val="1"/>
    <w:qFormat/>
    <w:uiPriority w:val="0"/>
    <w:rPr>
      <w:rFonts w:ascii="Times New Roman" w:hAnsi="Times New Roman" w:eastAsia="仿宋_GB2312" w:cs="Times New Roman"/>
      <w:sz w:val="24"/>
      <w:szCs w:val="24"/>
    </w:rPr>
  </w:style>
  <w:style w:type="paragraph" w:customStyle="1" w:styleId="773">
    <w:name w:val="reader-word-layer reader-word-s1-28"/>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774">
    <w:name w:val="康利维格式"/>
    <w:basedOn w:val="52"/>
    <w:qFormat/>
    <w:uiPriority w:val="0"/>
    <w:rPr>
      <w:rFonts w:ascii="Times New Roman" w:hAnsi="Times New Roman" w:eastAsia="宋体" w:cs="Times New Roman"/>
      <w:kern w:val="0"/>
      <w:sz w:val="20"/>
      <w:szCs w:val="20"/>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style>
  <w:style w:type="character" w:customStyle="1" w:styleId="775">
    <w:name w:val="未处理的提及1"/>
    <w:semiHidden/>
    <w:unhideWhenUsed/>
    <w:qFormat/>
    <w:uiPriority w:val="99"/>
    <w:rPr>
      <w:color w:val="605E5C"/>
      <w:shd w:val="clear" w:color="auto" w:fill="E1DFDD"/>
    </w:rPr>
  </w:style>
  <w:style w:type="character" w:customStyle="1" w:styleId="776">
    <w:name w:val="正文缩进 Char"/>
    <w:qFormat/>
    <w:uiPriority w:val="0"/>
    <w:rPr>
      <w:rFonts w:eastAsia="宋体"/>
      <w:b/>
      <w:sz w:val="24"/>
      <w:lang w:val="en-US" w:eastAsia="zh-CN" w:bidi="ar-SA"/>
    </w:rPr>
  </w:style>
  <w:style w:type="paragraph" w:customStyle="1" w:styleId="777">
    <w:name w:val="样式 表格001 + Arial 五号 行距: 最小值 0 磅"/>
    <w:basedOn w:val="1"/>
    <w:qFormat/>
    <w:uiPriority w:val="0"/>
    <w:pPr>
      <w:spacing w:line="0" w:lineRule="atLeast"/>
      <w:jc w:val="center"/>
    </w:pPr>
    <w:rPr>
      <w:rFonts w:ascii="Arial" w:hAnsi="Arial" w:eastAsia="宋体" w:cs="宋体"/>
      <w:spacing w:val="10"/>
      <w:szCs w:val="20"/>
    </w:rPr>
  </w:style>
  <w:style w:type="character" w:customStyle="1" w:styleId="778">
    <w:name w:val="倪 表格内 Char"/>
    <w:link w:val="779"/>
    <w:qFormat/>
    <w:locked/>
    <w:uiPriority w:val="0"/>
    <w:rPr>
      <w:szCs w:val="21"/>
      <w:lang w:val="zh-CN" w:eastAsia="zh-CN"/>
    </w:rPr>
  </w:style>
  <w:style w:type="paragraph" w:customStyle="1" w:styleId="779">
    <w:name w:val="倪 表格内"/>
    <w:basedOn w:val="1"/>
    <w:link w:val="778"/>
    <w:qFormat/>
    <w:uiPriority w:val="0"/>
    <w:pPr>
      <w:widowControl/>
      <w:jc w:val="center"/>
    </w:pPr>
    <w:rPr>
      <w:szCs w:val="21"/>
      <w:lang w:val="zh-CN" w:eastAsia="zh-CN"/>
    </w:rPr>
  </w:style>
  <w:style w:type="paragraph" w:customStyle="1" w:styleId="780">
    <w:name w:val="生态表格正文"/>
    <w:basedOn w:val="1"/>
    <w:qFormat/>
    <w:uiPriority w:val="0"/>
    <w:pPr>
      <w:widowControl/>
      <w:spacing w:line="400" w:lineRule="exact"/>
      <w:ind w:firstLine="200" w:firstLineChars="200"/>
      <w:jc w:val="center"/>
    </w:pPr>
    <w:rPr>
      <w:rFonts w:ascii="Times New Roman" w:hAnsi="Times New Roman" w:eastAsia="仿宋_GB2312" w:cs="Times New Roman"/>
      <w:kern w:val="0"/>
      <w:sz w:val="24"/>
      <w:szCs w:val="21"/>
    </w:rPr>
  </w:style>
  <w:style w:type="character" w:customStyle="1" w:styleId="781">
    <w:name w:val="fontstyle01"/>
    <w:qFormat/>
    <w:uiPriority w:val="0"/>
    <w:rPr>
      <w:rFonts w:hint="eastAsia" w:ascii="宋体" w:hAnsi="宋体" w:eastAsia="宋体"/>
      <w:color w:val="000000"/>
      <w:sz w:val="24"/>
      <w:szCs w:val="24"/>
    </w:rPr>
  </w:style>
  <w:style w:type="character" w:customStyle="1" w:styleId="782">
    <w:name w:val="fontstyle21"/>
    <w:qFormat/>
    <w:uiPriority w:val="0"/>
    <w:rPr>
      <w:rFonts w:hint="default" w:ascii="TimesNewRoman" w:hAnsi="TimesNewRoman"/>
      <w:color w:val="000000"/>
      <w:sz w:val="24"/>
      <w:szCs w:val="24"/>
    </w:rPr>
  </w:style>
  <w:style w:type="paragraph" w:customStyle="1" w:styleId="783">
    <w:name w:val="样式19"/>
    <w:basedOn w:val="2"/>
    <w:qFormat/>
    <w:uiPriority w:val="0"/>
    <w:pPr>
      <w:spacing w:line="264" w:lineRule="auto"/>
      <w:ind w:firstLine="476" w:firstLineChars="0"/>
    </w:pPr>
    <w:rPr>
      <w:rFonts w:ascii="Arial" w:hAnsi="Arial" w:eastAsia="宋体" w:cs="Arial"/>
      <w:spacing w:val="10"/>
      <w:sz w:val="24"/>
      <w:szCs w:val="20"/>
    </w:rPr>
  </w:style>
  <w:style w:type="character" w:customStyle="1" w:styleId="784">
    <w:name w:val="公式解释 Char"/>
    <w:link w:val="785"/>
    <w:qFormat/>
    <w:locked/>
    <w:uiPriority w:val="0"/>
    <w:rPr>
      <w:szCs w:val="24"/>
      <w:lang w:val="zh-CN" w:eastAsia="zh-CN"/>
    </w:rPr>
  </w:style>
  <w:style w:type="paragraph" w:customStyle="1" w:styleId="785">
    <w:name w:val="公式解释"/>
    <w:basedOn w:val="1"/>
    <w:link w:val="784"/>
    <w:qFormat/>
    <w:uiPriority w:val="0"/>
    <w:pPr>
      <w:widowControl/>
      <w:spacing w:line="500" w:lineRule="exact"/>
    </w:pPr>
    <w:rPr>
      <w:szCs w:val="24"/>
      <w:lang w:val="zh-CN" w:eastAsia="zh-CN"/>
    </w:rPr>
  </w:style>
  <w:style w:type="character" w:customStyle="1" w:styleId="786">
    <w:name w:val="公式行格式 Char"/>
    <w:link w:val="787"/>
    <w:qFormat/>
    <w:locked/>
    <w:uiPriority w:val="0"/>
    <w:rPr>
      <w:rFonts w:ascii="Arial" w:hAnsi="Arial" w:cs="Arial"/>
      <w:szCs w:val="21"/>
      <w:lang w:val="zh-CN" w:eastAsia="zh-CN"/>
    </w:rPr>
  </w:style>
  <w:style w:type="paragraph" w:customStyle="1" w:styleId="787">
    <w:name w:val="公式行格式"/>
    <w:basedOn w:val="16"/>
    <w:link w:val="786"/>
    <w:qFormat/>
    <w:uiPriority w:val="0"/>
    <w:pPr>
      <w:widowControl/>
      <w:tabs>
        <w:tab w:val="center" w:pos="4620"/>
        <w:tab w:val="right" w:pos="9450"/>
      </w:tabs>
      <w:spacing w:beforeLines="50" w:afterLines="50"/>
      <w:jc w:val="center"/>
    </w:pPr>
    <w:rPr>
      <w:rFonts w:eastAsiaTheme="minorEastAsia"/>
      <w:szCs w:val="21"/>
      <w:lang w:val="zh-CN" w:eastAsia="zh-CN"/>
    </w:rPr>
  </w:style>
  <w:style w:type="character" w:customStyle="1" w:styleId="788">
    <w:name w:val="font01"/>
    <w:qFormat/>
    <w:uiPriority w:val="0"/>
    <w:rPr>
      <w:rFonts w:hint="eastAsia" w:ascii="宋体" w:hAnsi="宋体" w:eastAsia="宋体" w:cs="宋体"/>
      <w:color w:val="000000"/>
      <w:sz w:val="22"/>
      <w:szCs w:val="22"/>
      <w:u w:val="none"/>
    </w:rPr>
  </w:style>
  <w:style w:type="paragraph" w:customStyle="1" w:styleId="789">
    <w:name w:val="Body Text 22"/>
    <w:basedOn w:val="1"/>
    <w:qFormat/>
    <w:uiPriority w:val="0"/>
    <w:pPr>
      <w:adjustRightInd w:val="0"/>
      <w:spacing w:line="440" w:lineRule="atLeast"/>
      <w:ind w:firstLine="480"/>
    </w:pPr>
    <w:rPr>
      <w:rFonts w:ascii="Times New Roman" w:hAnsi="Times New Roman" w:eastAsia="仿宋_GB2312" w:cs="Times New Roman"/>
      <w:sz w:val="24"/>
      <w:szCs w:val="20"/>
    </w:rPr>
  </w:style>
  <w:style w:type="character" w:customStyle="1" w:styleId="790">
    <w:name w:val="样式7 Char"/>
    <w:link w:val="100"/>
    <w:qFormat/>
    <w:locked/>
    <w:uiPriority w:val="0"/>
    <w:rPr>
      <w:rFonts w:ascii="仿宋_GB2312" w:hAnsi="Arial" w:eastAsia="仿宋_GB2312" w:cs="Times New Roman"/>
      <w:b/>
      <w:sz w:val="24"/>
      <w:szCs w:val="20"/>
    </w:rPr>
  </w:style>
  <w:style w:type="character" w:customStyle="1" w:styleId="791">
    <w:name w:val="正文-1 Char"/>
    <w:link w:val="792"/>
    <w:qFormat/>
    <w:locked/>
    <w:uiPriority w:val="0"/>
    <w:rPr>
      <w:rFonts w:ascii="仿宋_GB2312" w:eastAsia="仿宋_GB2312"/>
      <w:sz w:val="32"/>
      <w:szCs w:val="24"/>
    </w:rPr>
  </w:style>
  <w:style w:type="paragraph" w:customStyle="1" w:styleId="792">
    <w:name w:val="正文-1"/>
    <w:basedOn w:val="1"/>
    <w:link w:val="791"/>
    <w:qFormat/>
    <w:uiPriority w:val="0"/>
    <w:pPr>
      <w:spacing w:line="560" w:lineRule="exact"/>
      <w:ind w:firstLine="200" w:firstLineChars="200"/>
    </w:pPr>
    <w:rPr>
      <w:rFonts w:ascii="仿宋_GB2312" w:eastAsia="仿宋_GB2312"/>
      <w:sz w:val="32"/>
      <w:szCs w:val="24"/>
    </w:rPr>
  </w:style>
  <w:style w:type="character" w:customStyle="1" w:styleId="793">
    <w:name w:val="td21"/>
    <w:qFormat/>
    <w:uiPriority w:val="0"/>
    <w:rPr>
      <w:sz w:val="21"/>
    </w:rPr>
  </w:style>
  <w:style w:type="character" w:customStyle="1" w:styleId="794">
    <w:name w:val="blacktt1"/>
    <w:qFormat/>
    <w:uiPriority w:val="0"/>
    <w:rPr>
      <w:rFonts w:hint="default"/>
      <w:color w:val="000000"/>
      <w:sz w:val="18"/>
      <w:u w:val="none"/>
    </w:rPr>
  </w:style>
  <w:style w:type="paragraph" w:customStyle="1" w:styleId="795">
    <w:name w:val="表内的表头"/>
    <w:basedOn w:val="1"/>
    <w:link w:val="796"/>
    <w:qFormat/>
    <w:uiPriority w:val="0"/>
    <w:pPr>
      <w:spacing w:line="440" w:lineRule="exact"/>
      <w:jc w:val="center"/>
    </w:pPr>
    <w:rPr>
      <w:rFonts w:ascii="Times New Roman" w:hAnsi="Times New Roman" w:eastAsia="黑体" w:cs="Times New Roman"/>
      <w:b/>
      <w:kern w:val="0"/>
      <w:szCs w:val="20"/>
    </w:rPr>
  </w:style>
  <w:style w:type="character" w:customStyle="1" w:styleId="796">
    <w:name w:val="表内的表头 Char"/>
    <w:link w:val="795"/>
    <w:qFormat/>
    <w:uiPriority w:val="0"/>
    <w:rPr>
      <w:rFonts w:ascii="Times New Roman" w:hAnsi="Times New Roman" w:eastAsia="黑体" w:cs="Times New Roman"/>
      <w:b/>
      <w:kern w:val="0"/>
      <w:szCs w:val="20"/>
    </w:rPr>
  </w:style>
  <w:style w:type="paragraph" w:customStyle="1" w:styleId="797">
    <w:name w:val="Char4"/>
    <w:basedOn w:val="1"/>
    <w:qFormat/>
    <w:uiPriority w:val="0"/>
    <w:pPr>
      <w:spacing w:line="360" w:lineRule="auto"/>
      <w:ind w:firstLine="200" w:firstLineChars="200"/>
    </w:pPr>
    <w:rPr>
      <w:rFonts w:ascii="宋体" w:hAnsi="宋体" w:eastAsia="宋体" w:cs="Times New Roman"/>
      <w:sz w:val="24"/>
      <w:szCs w:val="20"/>
    </w:rPr>
  </w:style>
  <w:style w:type="paragraph" w:customStyle="1" w:styleId="798">
    <w:name w:val="正文 缩进"/>
    <w:basedOn w:val="1"/>
    <w:link w:val="902"/>
    <w:qFormat/>
    <w:uiPriority w:val="0"/>
    <w:pPr>
      <w:spacing w:line="440" w:lineRule="exact"/>
      <w:ind w:firstLine="480" w:firstLineChars="200"/>
    </w:pPr>
    <w:rPr>
      <w:rFonts w:ascii="Times New Roman" w:hAnsi="Times New Roman" w:eastAsia="仿宋_GB2312" w:cs="Times New Roman"/>
      <w:kern w:val="0"/>
      <w:sz w:val="24"/>
      <w:szCs w:val="20"/>
    </w:rPr>
  </w:style>
  <w:style w:type="paragraph" w:customStyle="1" w:styleId="799">
    <w:name w:val="（表格说明"/>
    <w:basedOn w:val="1"/>
    <w:qFormat/>
    <w:uiPriority w:val="0"/>
    <w:pPr>
      <w:jc w:val="center"/>
    </w:pPr>
    <w:rPr>
      <w:rFonts w:ascii="仿宋_GB2312" w:hAnsi="Times New Roman" w:eastAsia="黑体" w:cs="Times New Roman"/>
      <w:b/>
      <w:color w:val="FF0000"/>
      <w:szCs w:val="20"/>
    </w:rPr>
  </w:style>
  <w:style w:type="paragraph" w:customStyle="1" w:styleId="800">
    <w:name w:val="(表格"/>
    <w:basedOn w:val="1"/>
    <w:qFormat/>
    <w:uiPriority w:val="0"/>
    <w:pPr>
      <w:jc w:val="center"/>
    </w:pPr>
    <w:rPr>
      <w:rFonts w:ascii="Times New Roman" w:hAnsi="Times New Roman" w:eastAsia="仿宋_GB2312" w:cs="Times New Roman"/>
      <w:color w:val="FF0000"/>
      <w:szCs w:val="20"/>
    </w:rPr>
  </w:style>
  <w:style w:type="paragraph" w:customStyle="1" w:styleId="801">
    <w:name w:val="样式9"/>
    <w:basedOn w:val="6"/>
    <w:link w:val="802"/>
    <w:qFormat/>
    <w:uiPriority w:val="0"/>
    <w:pPr>
      <w:tabs>
        <w:tab w:val="left" w:pos="851"/>
        <w:tab w:val="clear" w:pos="864"/>
      </w:tabs>
      <w:ind w:left="851" w:hanging="563"/>
      <w:jc w:val="center"/>
    </w:pPr>
    <w:rPr>
      <w:rFonts w:ascii="Arial" w:hAnsi="Arial" w:eastAsia="仿宋_GB2312"/>
      <w:kern w:val="0"/>
    </w:rPr>
  </w:style>
  <w:style w:type="character" w:customStyle="1" w:styleId="802">
    <w:name w:val="样式9 Char"/>
    <w:link w:val="801"/>
    <w:qFormat/>
    <w:uiPriority w:val="0"/>
    <w:rPr>
      <w:rFonts w:ascii="Arial" w:hAnsi="Arial" w:eastAsia="仿宋_GB2312" w:cs="Times New Roman"/>
      <w:b/>
      <w:kern w:val="0"/>
      <w:sz w:val="24"/>
      <w:szCs w:val="20"/>
    </w:rPr>
  </w:style>
  <w:style w:type="paragraph" w:customStyle="1" w:styleId="803">
    <w:name w:val="Char Char11"/>
    <w:basedOn w:val="1"/>
    <w:link w:val="804"/>
    <w:qFormat/>
    <w:uiPriority w:val="0"/>
    <w:rPr>
      <w:rFonts w:ascii="Times New Roman" w:hAnsi="Times New Roman" w:eastAsia="宋体" w:cs="Times New Roman"/>
      <w:sz w:val="24"/>
      <w:szCs w:val="24"/>
    </w:rPr>
  </w:style>
  <w:style w:type="character" w:customStyle="1" w:styleId="804">
    <w:name w:val="Char Char1 Char Char1"/>
    <w:link w:val="803"/>
    <w:qFormat/>
    <w:uiPriority w:val="0"/>
    <w:rPr>
      <w:rFonts w:ascii="Times New Roman" w:hAnsi="Times New Roman" w:eastAsia="宋体" w:cs="Times New Roman"/>
      <w:sz w:val="24"/>
      <w:szCs w:val="24"/>
    </w:rPr>
  </w:style>
  <w:style w:type="paragraph" w:customStyle="1" w:styleId="805">
    <w:name w:val="平湖02"/>
    <w:basedOn w:val="26"/>
    <w:autoRedefine/>
    <w:qFormat/>
    <w:uiPriority w:val="0"/>
    <w:pPr>
      <w:spacing w:line="264" w:lineRule="auto"/>
      <w:ind w:firstLine="509" w:firstLineChars="200"/>
    </w:pPr>
    <w:rPr>
      <w:rFonts w:ascii="微软雅黑" w:hAnsi="微软雅黑" w:eastAsia="微软雅黑" w:cs="宋体"/>
      <w:kern w:val="0"/>
      <w:sz w:val="24"/>
      <w:lang w:val="zh-CN" w:eastAsia="zh-CN"/>
    </w:rPr>
  </w:style>
  <w:style w:type="paragraph" w:customStyle="1" w:styleId="806">
    <w:name w:val="普通(网站)1"/>
    <w:basedOn w:val="1"/>
    <w:qFormat/>
    <w:uiPriority w:val="0"/>
    <w:pPr>
      <w:widowControl/>
      <w:spacing w:before="100" w:beforeAutospacing="1" w:after="100" w:afterAutospacing="1"/>
      <w:jc w:val="left"/>
    </w:pPr>
    <w:rPr>
      <w:rFonts w:hint="eastAsia" w:ascii="宋体" w:hAnsi="宋体" w:eastAsia="宋体" w:cs="Times New Roman"/>
      <w:sz w:val="24"/>
      <w:szCs w:val="20"/>
    </w:rPr>
  </w:style>
  <w:style w:type="character" w:customStyle="1" w:styleId="807">
    <w:name w:val="text1"/>
    <w:qFormat/>
    <w:uiPriority w:val="0"/>
    <w:rPr>
      <w:rFonts w:hint="eastAsia" w:ascii="宋体" w:hAnsi="宋体" w:eastAsia="宋体"/>
      <w:color w:val="999999"/>
      <w:sz w:val="18"/>
      <w:szCs w:val="18"/>
      <w:u w:val="none"/>
    </w:rPr>
  </w:style>
  <w:style w:type="paragraph" w:customStyle="1" w:styleId="808">
    <w:name w:val="正文文本的样式"/>
    <w:basedOn w:val="1"/>
    <w:link w:val="809"/>
    <w:qFormat/>
    <w:uiPriority w:val="0"/>
    <w:pPr>
      <w:widowControl/>
      <w:ind w:firstLine="200" w:firstLineChars="200"/>
      <w:jc w:val="left"/>
    </w:pPr>
    <w:rPr>
      <w:rFonts w:ascii="Arial" w:hAnsi="Arial" w:eastAsia="宋体" w:cs="Arial"/>
      <w:kern w:val="0"/>
      <w:sz w:val="24"/>
      <w:lang w:bidi="en-US"/>
    </w:rPr>
  </w:style>
  <w:style w:type="character" w:customStyle="1" w:styleId="809">
    <w:name w:val="正文文本的样式 Char"/>
    <w:link w:val="808"/>
    <w:qFormat/>
    <w:uiPriority w:val="0"/>
    <w:rPr>
      <w:rFonts w:ascii="Arial" w:hAnsi="Arial" w:eastAsia="宋体" w:cs="Arial"/>
      <w:kern w:val="0"/>
      <w:sz w:val="24"/>
      <w:lang w:bidi="en-US"/>
    </w:rPr>
  </w:style>
  <w:style w:type="paragraph" w:customStyle="1" w:styleId="810">
    <w:name w:val="样式 Times New Roman 行距: 1.5 倍行距"/>
    <w:basedOn w:val="1"/>
    <w:link w:val="811"/>
    <w:qFormat/>
    <w:uiPriority w:val="0"/>
    <w:pPr>
      <w:spacing w:line="360" w:lineRule="auto"/>
      <w:ind w:firstLine="480" w:firstLineChars="200"/>
    </w:pPr>
    <w:rPr>
      <w:rFonts w:ascii="Arial" w:hAnsi="Arial" w:eastAsia="宋体" w:cs="宋体"/>
      <w:kern w:val="0"/>
      <w:sz w:val="24"/>
      <w:szCs w:val="20"/>
    </w:rPr>
  </w:style>
  <w:style w:type="character" w:customStyle="1" w:styleId="811">
    <w:name w:val="样式 Times New Roman 行距: 1.5 倍行距 Char"/>
    <w:link w:val="810"/>
    <w:qFormat/>
    <w:uiPriority w:val="0"/>
    <w:rPr>
      <w:rFonts w:ascii="Arial" w:hAnsi="Arial" w:eastAsia="宋体" w:cs="宋体"/>
      <w:kern w:val="0"/>
      <w:sz w:val="24"/>
      <w:szCs w:val="20"/>
    </w:rPr>
  </w:style>
  <w:style w:type="paragraph" w:customStyle="1" w:styleId="812">
    <w:name w:val="Char Char Char Char2"/>
    <w:basedOn w:val="1"/>
    <w:qFormat/>
    <w:uiPriority w:val="0"/>
    <w:pPr>
      <w:spacing w:line="360" w:lineRule="auto"/>
      <w:ind w:firstLine="200" w:firstLineChars="200"/>
    </w:pPr>
    <w:rPr>
      <w:rFonts w:ascii="宋体" w:hAnsi="宋体" w:eastAsia="宋体" w:cs="Times New Roman"/>
      <w:sz w:val="24"/>
      <w:szCs w:val="20"/>
    </w:rPr>
  </w:style>
  <w:style w:type="paragraph" w:customStyle="1" w:styleId="813">
    <w:name w:val="普通(网站)2"/>
    <w:basedOn w:val="1"/>
    <w:qFormat/>
    <w:uiPriority w:val="0"/>
    <w:pPr>
      <w:widowControl/>
      <w:spacing w:before="100" w:beforeAutospacing="1" w:after="100" w:afterAutospacing="1"/>
      <w:jc w:val="left"/>
    </w:pPr>
    <w:rPr>
      <w:rFonts w:hint="eastAsia" w:ascii="宋体" w:hAnsi="宋体" w:eastAsia="宋体" w:cs="Times New Roman"/>
      <w:sz w:val="24"/>
      <w:szCs w:val="20"/>
    </w:rPr>
  </w:style>
  <w:style w:type="character" w:customStyle="1" w:styleId="814">
    <w:name w:val="五号表格表格 Char"/>
    <w:link w:val="815"/>
    <w:qFormat/>
    <w:uiPriority w:val="0"/>
    <w:rPr>
      <w:color w:val="000000"/>
      <w:kern w:val="18"/>
      <w:szCs w:val="21"/>
    </w:rPr>
  </w:style>
  <w:style w:type="paragraph" w:customStyle="1" w:styleId="815">
    <w:name w:val="五号表格表格"/>
    <w:basedOn w:val="1"/>
    <w:link w:val="814"/>
    <w:qFormat/>
    <w:uiPriority w:val="0"/>
    <w:pPr>
      <w:adjustRightInd w:val="0"/>
      <w:snapToGrid w:val="0"/>
      <w:jc w:val="center"/>
    </w:pPr>
    <w:rPr>
      <w:color w:val="000000"/>
      <w:kern w:val="18"/>
      <w:szCs w:val="21"/>
    </w:rPr>
  </w:style>
  <w:style w:type="paragraph" w:customStyle="1" w:styleId="816">
    <w:name w:val="Char31"/>
    <w:basedOn w:val="1"/>
    <w:qFormat/>
    <w:uiPriority w:val="0"/>
    <w:pPr>
      <w:spacing w:line="360" w:lineRule="auto"/>
      <w:ind w:firstLine="200" w:firstLineChars="200"/>
    </w:pPr>
    <w:rPr>
      <w:rFonts w:ascii="宋体" w:hAnsi="宋体" w:eastAsia="宋体" w:cs="Times New Roman"/>
      <w:sz w:val="24"/>
      <w:szCs w:val="20"/>
    </w:rPr>
  </w:style>
  <w:style w:type="paragraph" w:customStyle="1" w:styleId="817">
    <w:name w:val="Char Char Char Char3"/>
    <w:basedOn w:val="1"/>
    <w:qFormat/>
    <w:uiPriority w:val="0"/>
    <w:pPr>
      <w:spacing w:line="360" w:lineRule="auto"/>
      <w:ind w:firstLine="200" w:firstLineChars="200"/>
    </w:pPr>
    <w:rPr>
      <w:rFonts w:ascii="宋体" w:hAnsi="宋体" w:eastAsia="宋体" w:cs="Times New Roman"/>
      <w:sz w:val="24"/>
      <w:szCs w:val="20"/>
    </w:rPr>
  </w:style>
  <w:style w:type="paragraph" w:customStyle="1" w:styleId="818">
    <w:name w:val="Char Char1 Char Char Char Char Char Char Char Char Char Char Char Char Char Char Char Char Char Char1"/>
    <w:basedOn w:val="1"/>
    <w:qFormat/>
    <w:uiPriority w:val="0"/>
    <w:pPr>
      <w:spacing w:line="360" w:lineRule="auto"/>
      <w:ind w:firstLine="200" w:firstLineChars="200"/>
    </w:pPr>
    <w:rPr>
      <w:rFonts w:ascii="宋体" w:hAnsi="宋体" w:eastAsia="宋体" w:cs="Times New Roman"/>
      <w:sz w:val="24"/>
      <w:szCs w:val="20"/>
    </w:rPr>
  </w:style>
  <w:style w:type="paragraph" w:customStyle="1" w:styleId="819">
    <w:name w:val="Char Char31"/>
    <w:basedOn w:val="1"/>
    <w:qFormat/>
    <w:uiPriority w:val="0"/>
    <w:pPr>
      <w:ind w:firstLine="200" w:firstLineChars="200"/>
    </w:pPr>
    <w:rPr>
      <w:rFonts w:ascii="Times New Roman" w:hAnsi="Times New Roman" w:eastAsia="仿宋_GB2312" w:cs="Times New Roman"/>
      <w:sz w:val="34"/>
      <w:szCs w:val="24"/>
    </w:rPr>
  </w:style>
  <w:style w:type="paragraph" w:customStyle="1" w:styleId="820">
    <w:name w:val="普通(网站)3"/>
    <w:basedOn w:val="1"/>
    <w:qFormat/>
    <w:uiPriority w:val="0"/>
    <w:pPr>
      <w:widowControl/>
      <w:spacing w:before="100" w:beforeAutospacing="1" w:after="100" w:afterAutospacing="1"/>
      <w:jc w:val="left"/>
    </w:pPr>
    <w:rPr>
      <w:rFonts w:hint="eastAsia" w:ascii="宋体" w:hAnsi="宋体" w:eastAsia="宋体" w:cs="Times New Roman"/>
      <w:sz w:val="24"/>
      <w:szCs w:val="20"/>
    </w:rPr>
  </w:style>
  <w:style w:type="paragraph" w:customStyle="1" w:styleId="821">
    <w:name w:val="(1表格"/>
    <w:basedOn w:val="4"/>
    <w:qFormat/>
    <w:uiPriority w:val="0"/>
    <w:pPr>
      <w:keepNext w:val="0"/>
      <w:keepLines w:val="0"/>
      <w:tabs>
        <w:tab w:val="clear" w:pos="576"/>
      </w:tabs>
      <w:spacing w:before="0" w:after="0" w:line="240" w:lineRule="auto"/>
      <w:ind w:left="0" w:firstLine="0"/>
      <w:jc w:val="center"/>
    </w:pPr>
    <w:rPr>
      <w:rFonts w:ascii="Times New Roman" w:hAnsi="Times New Roman" w:eastAsia="仿宋_GB2312"/>
      <w:b w:val="0"/>
      <w:bCs w:val="0"/>
      <w:color w:val="000000"/>
      <w:sz w:val="21"/>
      <w:szCs w:val="30"/>
    </w:rPr>
  </w:style>
  <w:style w:type="paragraph" w:customStyle="1" w:styleId="822">
    <w:name w:val="样式 表头 + 段前: 0.5 行 段后: 0.5 行"/>
    <w:basedOn w:val="1"/>
    <w:qFormat/>
    <w:uiPriority w:val="0"/>
    <w:pPr>
      <w:autoSpaceDE w:val="0"/>
      <w:autoSpaceDN w:val="0"/>
      <w:adjustRightInd w:val="0"/>
      <w:spacing w:before="100" w:beforeAutospacing="1" w:after="100" w:afterAutospacing="1" w:line="480" w:lineRule="exact"/>
      <w:jc w:val="center"/>
    </w:pPr>
    <w:rPr>
      <w:rFonts w:ascii="Times New Roman" w:hAnsi="Times New Roman" w:eastAsia="宋体" w:cs="Times New Roman"/>
      <w:b/>
      <w:bCs/>
      <w:sz w:val="24"/>
      <w:szCs w:val="20"/>
      <w:lang w:val="zh-CN"/>
    </w:rPr>
  </w:style>
  <w:style w:type="character" w:customStyle="1" w:styleId="823">
    <w:name w:val="表格标题 Char2"/>
    <w:qFormat/>
    <w:uiPriority w:val="0"/>
    <w:rPr>
      <w:rFonts w:ascii="Times New Roman" w:hAnsi="Times New Roman" w:eastAsia="宋体" w:cs="Times New Roman"/>
      <w:color w:val="000000"/>
      <w:kern w:val="0"/>
      <w:szCs w:val="21"/>
    </w:rPr>
  </w:style>
  <w:style w:type="character" w:customStyle="1" w:styleId="824">
    <w:name w:val="2缩进正文 Char"/>
    <w:link w:val="825"/>
    <w:qFormat/>
    <w:uiPriority w:val="0"/>
    <w:rPr>
      <w:sz w:val="24"/>
      <w:szCs w:val="24"/>
    </w:rPr>
  </w:style>
  <w:style w:type="paragraph" w:customStyle="1" w:styleId="825">
    <w:name w:val="2缩进正文"/>
    <w:basedOn w:val="1"/>
    <w:link w:val="824"/>
    <w:qFormat/>
    <w:uiPriority w:val="0"/>
    <w:pPr>
      <w:spacing w:line="360" w:lineRule="auto"/>
      <w:ind w:firstLine="200" w:firstLineChars="200"/>
    </w:pPr>
    <w:rPr>
      <w:sz w:val="24"/>
      <w:szCs w:val="24"/>
    </w:rPr>
  </w:style>
  <w:style w:type="paragraph" w:customStyle="1" w:styleId="826">
    <w:name w:val="正文（ZJGYU）"/>
    <w:basedOn w:val="1"/>
    <w:link w:val="827"/>
    <w:qFormat/>
    <w:uiPriority w:val="0"/>
    <w:pPr>
      <w:spacing w:line="440" w:lineRule="exact"/>
      <w:ind w:firstLine="200" w:firstLineChars="200"/>
    </w:pPr>
    <w:rPr>
      <w:rFonts w:ascii="Times New Roman" w:hAnsi="Times New Roman" w:eastAsia="宋体" w:cs="Times New Roman"/>
      <w:sz w:val="24"/>
      <w:szCs w:val="24"/>
    </w:rPr>
  </w:style>
  <w:style w:type="character" w:customStyle="1" w:styleId="827">
    <w:name w:val="正文（ZJGYU） Char"/>
    <w:link w:val="826"/>
    <w:qFormat/>
    <w:uiPriority w:val="0"/>
    <w:rPr>
      <w:rFonts w:ascii="Times New Roman" w:hAnsi="Times New Roman" w:eastAsia="宋体" w:cs="Times New Roman"/>
      <w:sz w:val="24"/>
      <w:szCs w:val="24"/>
    </w:rPr>
  </w:style>
  <w:style w:type="paragraph" w:customStyle="1" w:styleId="828">
    <w:name w:val="魏秀珍   正文"/>
    <w:basedOn w:val="2"/>
    <w:link w:val="829"/>
    <w:qFormat/>
    <w:uiPriority w:val="0"/>
    <w:pPr>
      <w:adjustRightInd w:val="0"/>
      <w:snapToGrid w:val="0"/>
      <w:spacing w:line="360" w:lineRule="auto"/>
      <w:ind w:firstLine="200"/>
      <w:jc w:val="left"/>
    </w:pPr>
    <w:rPr>
      <w:rFonts w:ascii="Calibri" w:hAnsi="Calibri" w:eastAsia="宋体" w:cs="Times New Roman"/>
      <w:sz w:val="24"/>
      <w:szCs w:val="20"/>
      <w:lang w:val="en-GB"/>
    </w:rPr>
  </w:style>
  <w:style w:type="character" w:customStyle="1" w:styleId="829">
    <w:name w:val="魏秀珍   正文 Char"/>
    <w:link w:val="828"/>
    <w:qFormat/>
    <w:locked/>
    <w:uiPriority w:val="0"/>
    <w:rPr>
      <w:rFonts w:ascii="Calibri" w:hAnsi="Calibri" w:eastAsia="宋体" w:cs="Times New Roman"/>
      <w:sz w:val="24"/>
      <w:szCs w:val="20"/>
      <w:lang w:val="en-GB"/>
    </w:rPr>
  </w:style>
  <w:style w:type="paragraph" w:customStyle="1" w:styleId="830">
    <w:name w:val="表格文字1"/>
    <w:basedOn w:val="1"/>
    <w:link w:val="831"/>
    <w:autoRedefine/>
    <w:qFormat/>
    <w:uiPriority w:val="0"/>
    <w:pPr>
      <w:widowControl/>
      <w:tabs>
        <w:tab w:val="left" w:pos="0"/>
      </w:tabs>
      <w:autoSpaceDE w:val="0"/>
      <w:autoSpaceDN w:val="0"/>
      <w:adjustRightInd w:val="0"/>
      <w:spacing w:line="0" w:lineRule="atLeast"/>
      <w:jc w:val="center"/>
      <w:textAlignment w:val="baseline"/>
    </w:pPr>
    <w:rPr>
      <w:rFonts w:ascii="Arial" w:hAnsi="宋体" w:eastAsia="宋体" w:cs="Times New Roman"/>
      <w:color w:val="00B0F0"/>
      <w:szCs w:val="21"/>
      <w:lang w:val="zh-CN" w:eastAsia="zh-CN"/>
    </w:rPr>
  </w:style>
  <w:style w:type="character" w:customStyle="1" w:styleId="831">
    <w:name w:val="表格文字1 Char"/>
    <w:link w:val="830"/>
    <w:qFormat/>
    <w:uiPriority w:val="0"/>
    <w:rPr>
      <w:rFonts w:ascii="Arial" w:hAnsi="宋体" w:eastAsia="宋体" w:cs="Times New Roman"/>
      <w:color w:val="00B0F0"/>
      <w:szCs w:val="21"/>
      <w:lang w:val="zh-CN" w:eastAsia="zh-CN"/>
    </w:rPr>
  </w:style>
  <w:style w:type="paragraph" w:customStyle="1" w:styleId="832">
    <w:name w:val="正文wwwww"/>
    <w:basedOn w:val="1"/>
    <w:next w:val="1"/>
    <w:link w:val="833"/>
    <w:qFormat/>
    <w:uiPriority w:val="0"/>
    <w:pPr>
      <w:widowControl/>
      <w:snapToGrid w:val="0"/>
      <w:spacing w:line="360" w:lineRule="auto"/>
      <w:ind w:firstLine="482"/>
      <w:jc w:val="left"/>
    </w:pPr>
    <w:rPr>
      <w:rFonts w:ascii="Arial" w:hAnsi="Arial" w:eastAsia="宋体" w:cs="Times New Roman"/>
      <w:kern w:val="0"/>
      <w:sz w:val="24"/>
      <w:szCs w:val="24"/>
      <w:lang w:val="zh-CN" w:eastAsia="zh-CN"/>
    </w:rPr>
  </w:style>
  <w:style w:type="character" w:customStyle="1" w:styleId="833">
    <w:name w:val="正文wwwww Char"/>
    <w:link w:val="832"/>
    <w:qFormat/>
    <w:uiPriority w:val="0"/>
    <w:rPr>
      <w:rFonts w:ascii="Arial" w:hAnsi="Arial" w:eastAsia="宋体" w:cs="Times New Roman"/>
      <w:kern w:val="0"/>
      <w:sz w:val="24"/>
      <w:szCs w:val="24"/>
      <w:lang w:val="zh-CN" w:eastAsia="zh-CN"/>
    </w:rPr>
  </w:style>
  <w:style w:type="paragraph" w:customStyle="1" w:styleId="834">
    <w:name w:val="样式 表格样式1 + (西文) Arial (中文) 宋体 自动设置 两端对齐 行距: 单倍行距"/>
    <w:basedOn w:val="1"/>
    <w:qFormat/>
    <w:uiPriority w:val="0"/>
    <w:rPr>
      <w:rFonts w:ascii="Arial" w:hAnsi="Arial" w:eastAsia="宋体" w:cs="宋体"/>
      <w:sz w:val="24"/>
      <w:szCs w:val="24"/>
    </w:rPr>
  </w:style>
  <w:style w:type="paragraph" w:customStyle="1" w:styleId="835">
    <w:name w:val="！！表格编号"/>
    <w:basedOn w:val="1"/>
    <w:qFormat/>
    <w:uiPriority w:val="0"/>
    <w:pPr>
      <w:widowControl/>
      <w:numPr>
        <w:ilvl w:val="0"/>
        <w:numId w:val="2"/>
      </w:numPr>
      <w:spacing w:line="240" w:lineRule="exact"/>
      <w:ind w:left="0"/>
      <w:jc w:val="center"/>
    </w:pPr>
    <w:rPr>
      <w:rFonts w:ascii="Times New Roman" w:hAnsi="Times New Roman" w:eastAsia="宋体" w:cs="Times New Roman"/>
      <w:szCs w:val="24"/>
    </w:rPr>
  </w:style>
  <w:style w:type="paragraph" w:customStyle="1" w:styleId="836">
    <w:name w:val="！！表格文本"/>
    <w:basedOn w:val="1"/>
    <w:link w:val="837"/>
    <w:qFormat/>
    <w:uiPriority w:val="0"/>
    <w:pPr>
      <w:widowControl/>
      <w:spacing w:line="288" w:lineRule="auto"/>
      <w:jc w:val="left"/>
    </w:pPr>
    <w:rPr>
      <w:rFonts w:ascii="Times New Roman" w:hAnsi="Times New Roman" w:eastAsia="宋体" w:cs="Times New Roman"/>
      <w:szCs w:val="20"/>
    </w:rPr>
  </w:style>
  <w:style w:type="character" w:customStyle="1" w:styleId="837">
    <w:name w:val="！！表格文本 Char Char"/>
    <w:link w:val="836"/>
    <w:qFormat/>
    <w:uiPriority w:val="0"/>
    <w:rPr>
      <w:rFonts w:ascii="Times New Roman" w:hAnsi="Times New Roman" w:eastAsia="宋体" w:cs="Times New Roman"/>
      <w:szCs w:val="20"/>
    </w:rPr>
  </w:style>
  <w:style w:type="paragraph" w:customStyle="1" w:styleId="838">
    <w:name w:val="！！二级标题"/>
    <w:basedOn w:val="4"/>
    <w:next w:val="839"/>
    <w:qFormat/>
    <w:uiPriority w:val="0"/>
    <w:pPr>
      <w:numPr>
        <w:ilvl w:val="1"/>
        <w:numId w:val="3"/>
      </w:numPr>
      <w:tabs>
        <w:tab w:val="clear" w:pos="576"/>
      </w:tabs>
      <w:spacing w:before="0" w:beforeLines="20" w:after="0" w:afterLines="20" w:line="240" w:lineRule="auto"/>
    </w:pPr>
    <w:rPr>
      <w:rFonts w:ascii="Times New Roman" w:hAnsi="Times New Roman"/>
      <w:b w:val="0"/>
      <w:bCs w:val="0"/>
      <w:sz w:val="28"/>
      <w:lang w:val="en-GB"/>
    </w:rPr>
  </w:style>
  <w:style w:type="paragraph" w:customStyle="1" w:styleId="839">
    <w:name w:val="！！文本正文"/>
    <w:basedOn w:val="1"/>
    <w:link w:val="840"/>
    <w:qFormat/>
    <w:uiPriority w:val="0"/>
    <w:pPr>
      <w:tabs>
        <w:tab w:val="left" w:pos="0"/>
        <w:tab w:val="left" w:pos="1740"/>
      </w:tabs>
      <w:spacing w:line="360" w:lineRule="auto"/>
      <w:ind w:firstLine="200" w:firstLineChars="200"/>
      <w:jc w:val="left"/>
    </w:pPr>
    <w:rPr>
      <w:rFonts w:ascii="Times New Roman" w:hAnsi="Times New Roman" w:eastAsia="宋体" w:cs="Times New Roman"/>
      <w:kern w:val="0"/>
      <w:sz w:val="24"/>
      <w:szCs w:val="30"/>
    </w:rPr>
  </w:style>
  <w:style w:type="character" w:customStyle="1" w:styleId="840">
    <w:name w:val="！！文本正文 Char"/>
    <w:link w:val="839"/>
    <w:qFormat/>
    <w:uiPriority w:val="0"/>
    <w:rPr>
      <w:rFonts w:ascii="Times New Roman" w:hAnsi="Times New Roman" w:eastAsia="宋体" w:cs="Times New Roman"/>
      <w:kern w:val="0"/>
      <w:sz w:val="24"/>
      <w:szCs w:val="30"/>
    </w:rPr>
  </w:style>
  <w:style w:type="paragraph" w:customStyle="1" w:styleId="841">
    <w:name w:val="！！三级标题"/>
    <w:basedOn w:val="1"/>
    <w:next w:val="839"/>
    <w:link w:val="842"/>
    <w:qFormat/>
    <w:uiPriority w:val="0"/>
    <w:pPr>
      <w:numPr>
        <w:ilvl w:val="2"/>
        <w:numId w:val="3"/>
      </w:numPr>
      <w:adjustRightInd w:val="0"/>
      <w:snapToGrid w:val="0"/>
      <w:spacing w:beforeLines="20" w:afterLines="20"/>
      <w:jc w:val="left"/>
      <w:outlineLvl w:val="2"/>
    </w:pPr>
    <w:rPr>
      <w:rFonts w:ascii="Times New Roman" w:hAnsi="Times New Roman" w:eastAsia="宋体" w:cs="Times New Roman"/>
      <w:b/>
      <w:kern w:val="10"/>
      <w:sz w:val="24"/>
      <w:szCs w:val="24"/>
    </w:rPr>
  </w:style>
  <w:style w:type="character" w:customStyle="1" w:styleId="842">
    <w:name w:val="！！三级标题 Char"/>
    <w:link w:val="841"/>
    <w:qFormat/>
    <w:uiPriority w:val="0"/>
    <w:rPr>
      <w:rFonts w:ascii="Times New Roman" w:hAnsi="Times New Roman" w:eastAsia="宋体" w:cs="Times New Roman"/>
      <w:b/>
      <w:kern w:val="10"/>
      <w:sz w:val="24"/>
      <w:szCs w:val="24"/>
    </w:rPr>
  </w:style>
  <w:style w:type="paragraph" w:customStyle="1" w:styleId="843">
    <w:name w:val="！！一级标题"/>
    <w:basedOn w:val="3"/>
    <w:next w:val="839"/>
    <w:qFormat/>
    <w:uiPriority w:val="0"/>
    <w:pPr>
      <w:keepLines w:val="0"/>
      <w:numPr>
        <w:ilvl w:val="0"/>
        <w:numId w:val="3"/>
      </w:numPr>
      <w:tabs>
        <w:tab w:val="clear" w:pos="432"/>
      </w:tabs>
      <w:spacing w:before="100" w:beforeLines="20" w:after="0" w:afterLines="20" w:line="240" w:lineRule="auto"/>
      <w:jc w:val="left"/>
    </w:pPr>
    <w:rPr>
      <w:rFonts w:eastAsia="黑体"/>
      <w:b w:val="0"/>
      <w:color w:val="000000"/>
      <w:kern w:val="2"/>
      <w:sz w:val="32"/>
      <w:szCs w:val="32"/>
    </w:rPr>
  </w:style>
  <w:style w:type="paragraph" w:customStyle="1" w:styleId="844">
    <w:name w:val="表格 标题"/>
    <w:link w:val="845"/>
    <w:qFormat/>
    <w:uiPriority w:val="0"/>
    <w:pPr>
      <w:snapToGrid w:val="0"/>
      <w:spacing w:before="60" w:after="60"/>
      <w:jc w:val="center"/>
    </w:pPr>
    <w:rPr>
      <w:rFonts w:ascii="Times New Roman" w:hAnsi="Times New Roman" w:eastAsia="仿宋_GB2312" w:cs="Times New Roman"/>
      <w:b/>
      <w:kern w:val="2"/>
      <w:sz w:val="24"/>
      <w:szCs w:val="24"/>
      <w:lang w:val="en-US" w:eastAsia="zh-CN" w:bidi="ar-SA"/>
    </w:rPr>
  </w:style>
  <w:style w:type="character" w:customStyle="1" w:styleId="845">
    <w:name w:val="表格 标题 Char"/>
    <w:link w:val="844"/>
    <w:qFormat/>
    <w:uiPriority w:val="0"/>
    <w:rPr>
      <w:rFonts w:ascii="Times New Roman" w:hAnsi="Times New Roman" w:eastAsia="仿宋_GB2312" w:cs="Times New Roman"/>
      <w:b/>
      <w:sz w:val="24"/>
      <w:szCs w:val="24"/>
    </w:rPr>
  </w:style>
  <w:style w:type="paragraph" w:customStyle="1" w:styleId="846">
    <w:name w:val="报告书 正文"/>
    <w:link w:val="847"/>
    <w:qFormat/>
    <w:uiPriority w:val="0"/>
    <w:pPr>
      <w:widowControl w:val="0"/>
      <w:adjustRightInd w:val="0"/>
      <w:snapToGrid w:val="0"/>
      <w:spacing w:line="500" w:lineRule="exact"/>
      <w:ind w:firstLine="200" w:firstLineChars="200"/>
      <w:jc w:val="both"/>
    </w:pPr>
    <w:rPr>
      <w:rFonts w:ascii="Times New Roman" w:hAnsi="Times New Roman" w:eastAsia="仿宋_GB2312" w:cs="Times New Roman"/>
      <w:kern w:val="2"/>
      <w:sz w:val="28"/>
      <w:szCs w:val="24"/>
      <w:lang w:val="en-US" w:eastAsia="zh-CN" w:bidi="ar-SA"/>
    </w:rPr>
  </w:style>
  <w:style w:type="character" w:customStyle="1" w:styleId="847">
    <w:name w:val="报告书 正文 Char"/>
    <w:link w:val="846"/>
    <w:qFormat/>
    <w:uiPriority w:val="0"/>
    <w:rPr>
      <w:rFonts w:ascii="Times New Roman" w:hAnsi="Times New Roman" w:eastAsia="仿宋_GB2312" w:cs="Times New Roman"/>
      <w:sz w:val="28"/>
      <w:szCs w:val="24"/>
    </w:rPr>
  </w:style>
  <w:style w:type="paragraph" w:customStyle="1" w:styleId="848">
    <w:name w:val="表格 标注"/>
    <w:link w:val="849"/>
    <w:qFormat/>
    <w:uiPriority w:val="0"/>
    <w:pPr>
      <w:widowControl w:val="0"/>
      <w:snapToGrid w:val="0"/>
    </w:pPr>
    <w:rPr>
      <w:rFonts w:ascii="Times New Roman" w:hAnsi="Times New Roman" w:eastAsia="仿宋_GB2312" w:cs="Times New Roman"/>
      <w:kern w:val="2"/>
      <w:sz w:val="21"/>
      <w:szCs w:val="18"/>
      <w:lang w:val="en-US" w:eastAsia="zh-CN" w:bidi="ar-SA"/>
    </w:rPr>
  </w:style>
  <w:style w:type="character" w:customStyle="1" w:styleId="849">
    <w:name w:val="表格 标注 Char"/>
    <w:link w:val="848"/>
    <w:qFormat/>
    <w:uiPriority w:val="0"/>
    <w:rPr>
      <w:rFonts w:ascii="Times New Roman" w:hAnsi="Times New Roman" w:eastAsia="仿宋_GB2312" w:cs="Times New Roman"/>
      <w:szCs w:val="18"/>
    </w:rPr>
  </w:style>
  <w:style w:type="paragraph" w:customStyle="1" w:styleId="850">
    <w:name w:val="表标题"/>
    <w:basedOn w:val="1"/>
    <w:link w:val="851"/>
    <w:qFormat/>
    <w:uiPriority w:val="0"/>
    <w:pPr>
      <w:adjustRightInd w:val="0"/>
      <w:snapToGrid w:val="0"/>
      <w:spacing w:before="60" w:after="60"/>
      <w:jc w:val="center"/>
    </w:pPr>
    <w:rPr>
      <w:rFonts w:ascii="Times New Roman" w:hAnsi="Times New Roman" w:eastAsia="仿宋_GB2312" w:cs="Times New Roman"/>
      <w:b/>
      <w:bCs/>
      <w:kern w:val="0"/>
      <w:sz w:val="24"/>
      <w:lang w:val="zh-CN" w:eastAsia="zh-CN"/>
    </w:rPr>
  </w:style>
  <w:style w:type="character" w:customStyle="1" w:styleId="851">
    <w:name w:val="表标题 Char"/>
    <w:link w:val="850"/>
    <w:qFormat/>
    <w:uiPriority w:val="0"/>
    <w:rPr>
      <w:rFonts w:ascii="Times New Roman" w:hAnsi="Times New Roman" w:eastAsia="仿宋_GB2312" w:cs="Times New Roman"/>
      <w:b/>
      <w:bCs/>
      <w:kern w:val="0"/>
      <w:sz w:val="24"/>
      <w:lang w:val="zh-CN" w:eastAsia="zh-CN"/>
    </w:rPr>
  </w:style>
  <w:style w:type="paragraph" w:customStyle="1" w:styleId="852">
    <w:name w:val="！！题注"/>
    <w:basedOn w:val="1"/>
    <w:next w:val="1"/>
    <w:link w:val="853"/>
    <w:autoRedefine/>
    <w:qFormat/>
    <w:uiPriority w:val="0"/>
    <w:pPr>
      <w:tabs>
        <w:tab w:val="left" w:pos="0"/>
      </w:tabs>
      <w:jc w:val="center"/>
      <w:outlineLvl w:val="3"/>
    </w:pPr>
    <w:rPr>
      <w:rFonts w:ascii="Arial" w:hAnsi="Arial" w:eastAsia="宋体" w:cs="Arial"/>
      <w:b/>
      <w:sz w:val="24"/>
      <w:szCs w:val="24"/>
    </w:rPr>
  </w:style>
  <w:style w:type="character" w:customStyle="1" w:styleId="853">
    <w:name w:val="！！题注 Char"/>
    <w:link w:val="852"/>
    <w:qFormat/>
    <w:uiPriority w:val="0"/>
    <w:rPr>
      <w:rFonts w:ascii="Arial" w:hAnsi="Arial" w:eastAsia="宋体" w:cs="Arial"/>
      <w:b/>
      <w:sz w:val="24"/>
      <w:szCs w:val="24"/>
    </w:rPr>
  </w:style>
  <w:style w:type="character" w:customStyle="1" w:styleId="854">
    <w:name w:val="description"/>
    <w:qFormat/>
    <w:uiPriority w:val="0"/>
  </w:style>
  <w:style w:type="character" w:customStyle="1" w:styleId="855">
    <w:name w:val="表格抬头 字符"/>
    <w:link w:val="856"/>
    <w:qFormat/>
    <w:locked/>
    <w:uiPriority w:val="0"/>
    <w:rPr>
      <w:b/>
      <w:szCs w:val="21"/>
    </w:rPr>
  </w:style>
  <w:style w:type="paragraph" w:customStyle="1" w:styleId="856">
    <w:name w:val="表格抬头"/>
    <w:basedOn w:val="1"/>
    <w:link w:val="855"/>
    <w:qFormat/>
    <w:uiPriority w:val="0"/>
    <w:pPr>
      <w:adjustRightInd w:val="0"/>
      <w:snapToGrid w:val="0"/>
      <w:ind w:left="420" w:hanging="420"/>
      <w:jc w:val="center"/>
    </w:pPr>
    <w:rPr>
      <w:b/>
      <w:szCs w:val="21"/>
    </w:rPr>
  </w:style>
  <w:style w:type="character" w:customStyle="1" w:styleId="857">
    <w:name w:val="黑体字提示 Char"/>
    <w:link w:val="858"/>
    <w:qFormat/>
    <w:locked/>
    <w:uiPriority w:val="0"/>
    <w:rPr>
      <w:rFonts w:ascii="黑体" w:hAnsi="黑体" w:eastAsia="黑体"/>
      <w:sz w:val="24"/>
    </w:rPr>
  </w:style>
  <w:style w:type="paragraph" w:customStyle="1" w:styleId="858">
    <w:name w:val="黑体字提示"/>
    <w:basedOn w:val="1"/>
    <w:link w:val="857"/>
    <w:qFormat/>
    <w:uiPriority w:val="0"/>
    <w:pPr>
      <w:adjustRightInd w:val="0"/>
      <w:snapToGrid w:val="0"/>
      <w:spacing w:beforeLines="50" w:line="360" w:lineRule="auto"/>
      <w:ind w:firstLine="480" w:firstLineChars="200"/>
    </w:pPr>
    <w:rPr>
      <w:rFonts w:ascii="黑体" w:hAnsi="黑体" w:eastAsia="黑体"/>
      <w:sz w:val="24"/>
    </w:rPr>
  </w:style>
  <w:style w:type="character" w:customStyle="1" w:styleId="859">
    <w:name w:val="Char Char151"/>
    <w:qFormat/>
    <w:uiPriority w:val="0"/>
    <w:rPr>
      <w:rFonts w:ascii="Arial" w:hAnsi="Arial" w:eastAsia="宋体"/>
      <w:kern w:val="2"/>
      <w:sz w:val="24"/>
      <w:lang w:val="en-US" w:eastAsia="zh-CN"/>
    </w:rPr>
  </w:style>
  <w:style w:type="character" w:customStyle="1" w:styleId="860">
    <w:name w:val="tabs"/>
    <w:qFormat/>
    <w:uiPriority w:val="0"/>
  </w:style>
  <w:style w:type="character" w:customStyle="1" w:styleId="861">
    <w:name w:val="Char Char141"/>
    <w:qFormat/>
    <w:uiPriority w:val="0"/>
    <w:rPr>
      <w:rFonts w:ascii="宋体" w:hAnsi="Courier New" w:eastAsia="宋体" w:cs="Courier New"/>
      <w:kern w:val="2"/>
      <w:sz w:val="21"/>
      <w:szCs w:val="21"/>
      <w:lang w:val="en-US" w:eastAsia="zh-CN" w:bidi="ar-SA"/>
    </w:rPr>
  </w:style>
  <w:style w:type="character" w:customStyle="1" w:styleId="862">
    <w:name w:val="number"/>
    <w:qFormat/>
    <w:uiPriority w:val="0"/>
  </w:style>
  <w:style w:type="character" w:customStyle="1" w:styleId="863">
    <w:name w:val="color:#000000 font-family:宋体 font-size:12pt"/>
    <w:qFormat/>
    <w:uiPriority w:val="0"/>
  </w:style>
  <w:style w:type="character" w:customStyle="1" w:styleId="864">
    <w:name w:val="color:#000000 font-family:arial font-size:12pt"/>
    <w:qFormat/>
    <w:uiPriority w:val="0"/>
  </w:style>
  <w:style w:type="character" w:customStyle="1" w:styleId="865">
    <w:name w:val="zw1"/>
    <w:qFormat/>
    <w:uiPriority w:val="0"/>
    <w:rPr>
      <w:rFonts w:hint="eastAsia" w:ascii="宋体" w:hAnsi="宋体" w:eastAsia="宋体"/>
      <w:sz w:val="22"/>
      <w:szCs w:val="22"/>
    </w:rPr>
  </w:style>
  <w:style w:type="character" w:customStyle="1" w:styleId="866">
    <w:name w:val="表格中 Char"/>
    <w:link w:val="867"/>
    <w:qFormat/>
    <w:uiPriority w:val="0"/>
    <w:rPr>
      <w:rFonts w:ascii="Arial" w:hAnsi="Arial" w:cs="Arial"/>
      <w:szCs w:val="21"/>
    </w:rPr>
  </w:style>
  <w:style w:type="paragraph" w:customStyle="1" w:styleId="867">
    <w:name w:val="表格中"/>
    <w:basedOn w:val="1"/>
    <w:next w:val="1"/>
    <w:link w:val="866"/>
    <w:qFormat/>
    <w:uiPriority w:val="0"/>
    <w:pPr>
      <w:widowControl/>
      <w:spacing w:line="360" w:lineRule="exact"/>
      <w:ind w:firstLine="200" w:firstLineChars="200"/>
      <w:jc w:val="center"/>
    </w:pPr>
    <w:rPr>
      <w:rFonts w:ascii="Arial" w:hAnsi="Arial" w:cs="Arial"/>
      <w:szCs w:val="21"/>
    </w:rPr>
  </w:style>
  <w:style w:type="character" w:customStyle="1" w:styleId="868">
    <w:name w:val="content_caption1"/>
    <w:qFormat/>
    <w:uiPriority w:val="0"/>
    <w:rPr>
      <w:rFonts w:hint="default"/>
      <w:b/>
      <w:bCs/>
      <w:color w:val="FF0000"/>
      <w:sz w:val="21"/>
      <w:szCs w:val="21"/>
    </w:rPr>
  </w:style>
  <w:style w:type="character" w:customStyle="1" w:styleId="869">
    <w:name w:val="5文章(治) Char Char"/>
    <w:link w:val="870"/>
    <w:qFormat/>
    <w:uiPriority w:val="0"/>
    <w:rPr>
      <w:sz w:val="24"/>
    </w:rPr>
  </w:style>
  <w:style w:type="paragraph" w:customStyle="1" w:styleId="870">
    <w:name w:val="5文章(治)"/>
    <w:basedOn w:val="1"/>
    <w:link w:val="869"/>
    <w:qFormat/>
    <w:uiPriority w:val="0"/>
    <w:pPr>
      <w:spacing w:line="360" w:lineRule="auto"/>
      <w:ind w:firstLine="480" w:firstLineChars="200"/>
    </w:pPr>
    <w:rPr>
      <w:sz w:val="24"/>
    </w:rPr>
  </w:style>
  <w:style w:type="character" w:customStyle="1" w:styleId="871">
    <w:name w:val="Char Char39"/>
    <w:qFormat/>
    <w:uiPriority w:val="0"/>
    <w:rPr>
      <w:rFonts w:ascii="Arial" w:hAnsi="Arial"/>
      <w:kern w:val="2"/>
      <w:sz w:val="24"/>
      <w:szCs w:val="22"/>
    </w:rPr>
  </w:style>
  <w:style w:type="character" w:customStyle="1" w:styleId="872">
    <w:name w:val="表格内标 Char"/>
    <w:link w:val="873"/>
    <w:qFormat/>
    <w:uiPriority w:val="0"/>
    <w:rPr>
      <w:rFonts w:eastAsia="黑体"/>
    </w:rPr>
  </w:style>
  <w:style w:type="paragraph" w:customStyle="1" w:styleId="873">
    <w:name w:val="表格内标"/>
    <w:basedOn w:val="1"/>
    <w:next w:val="1"/>
    <w:link w:val="872"/>
    <w:qFormat/>
    <w:uiPriority w:val="0"/>
    <w:pPr>
      <w:adjustRightInd w:val="0"/>
      <w:snapToGrid w:val="0"/>
      <w:jc w:val="center"/>
    </w:pPr>
    <w:rPr>
      <w:rFonts w:eastAsia="黑体"/>
    </w:rPr>
  </w:style>
  <w:style w:type="character" w:customStyle="1" w:styleId="874">
    <w:name w:val="倪 正文 Char"/>
    <w:link w:val="875"/>
    <w:qFormat/>
    <w:uiPriority w:val="0"/>
    <w:rPr>
      <w:sz w:val="24"/>
    </w:rPr>
  </w:style>
  <w:style w:type="paragraph" w:customStyle="1" w:styleId="875">
    <w:name w:val="倪 正文"/>
    <w:basedOn w:val="1"/>
    <w:link w:val="874"/>
    <w:qFormat/>
    <w:uiPriority w:val="0"/>
    <w:pPr>
      <w:spacing w:line="360" w:lineRule="auto"/>
      <w:ind w:firstLine="200" w:firstLineChars="200"/>
    </w:pPr>
    <w:rPr>
      <w:sz w:val="24"/>
    </w:rPr>
  </w:style>
  <w:style w:type="character" w:customStyle="1" w:styleId="876">
    <w:name w:val="Char Char5"/>
    <w:qFormat/>
    <w:uiPriority w:val="0"/>
    <w:rPr>
      <w:rFonts w:ascii="Arial" w:hAnsi="Arial" w:eastAsia="宋体"/>
      <w:kern w:val="2"/>
      <w:sz w:val="24"/>
      <w:lang w:val="en-US" w:eastAsia="zh-CN"/>
    </w:rPr>
  </w:style>
  <w:style w:type="character" w:customStyle="1" w:styleId="877">
    <w:name w:val="石化产业工业区正文 Char Char"/>
    <w:link w:val="878"/>
    <w:qFormat/>
    <w:uiPriority w:val="0"/>
    <w:rPr>
      <w:rFonts w:ascii="宋体" w:hAnsi="宋体"/>
      <w:sz w:val="24"/>
    </w:rPr>
  </w:style>
  <w:style w:type="paragraph" w:customStyle="1" w:styleId="878">
    <w:name w:val="石化产业工业区正文"/>
    <w:basedOn w:val="1"/>
    <w:link w:val="877"/>
    <w:qFormat/>
    <w:uiPriority w:val="0"/>
    <w:pPr>
      <w:spacing w:line="324" w:lineRule="auto"/>
      <w:ind w:firstLine="480" w:firstLineChars="200"/>
    </w:pPr>
    <w:rPr>
      <w:rFonts w:ascii="宋体" w:hAnsi="宋体"/>
      <w:sz w:val="24"/>
    </w:rPr>
  </w:style>
  <w:style w:type="paragraph" w:customStyle="1" w:styleId="879">
    <w:name w:val="修订1"/>
    <w:unhideWhenUsed/>
    <w:qFormat/>
    <w:uiPriority w:val="99"/>
    <w:rPr>
      <w:rFonts w:ascii="Times New Roman" w:hAnsi="Times New Roman" w:eastAsia="宋体" w:cs="Times New Roman"/>
      <w:kern w:val="2"/>
      <w:sz w:val="21"/>
      <w:szCs w:val="20"/>
      <w:lang w:val="en-US" w:eastAsia="zh-CN" w:bidi="ar-SA"/>
    </w:rPr>
  </w:style>
  <w:style w:type="paragraph" w:customStyle="1" w:styleId="880">
    <w:name w:val="Header Base"/>
    <w:basedOn w:val="20"/>
    <w:qFormat/>
    <w:uiPriority w:val="0"/>
    <w:pPr>
      <w:keepLines/>
      <w:tabs>
        <w:tab w:val="center" w:pos="4320"/>
        <w:tab w:val="right" w:pos="8640"/>
      </w:tabs>
      <w:spacing w:after="0" w:line="180" w:lineRule="atLeast"/>
    </w:pPr>
    <w:rPr>
      <w:rFonts w:eastAsia="仿宋_GB2312"/>
      <w:sz w:val="24"/>
      <w:lang w:val="zh-CN" w:eastAsia="zh-CN"/>
    </w:rPr>
  </w:style>
  <w:style w:type="paragraph" w:customStyle="1" w:styleId="881">
    <w:name w:val="样式 标题 4款标题1.1.1.1标题 4 Char Char标题 4 Char四表格1目H4H41L4Mi..."/>
    <w:basedOn w:val="6"/>
    <w:qFormat/>
    <w:uiPriority w:val="0"/>
    <w:pPr>
      <w:tabs>
        <w:tab w:val="left" w:pos="1643"/>
        <w:tab w:val="clear" w:pos="864"/>
      </w:tabs>
      <w:ind w:left="1643" w:hanging="563"/>
      <w:jc w:val="center"/>
    </w:pPr>
    <w:rPr>
      <w:rFonts w:ascii="Arial" w:hAnsi="Arial" w:eastAsia="仿宋_GB2312" w:cs="宋体"/>
      <w:bCs/>
    </w:rPr>
  </w:style>
  <w:style w:type="paragraph" w:customStyle="1" w:styleId="882">
    <w:name w:val="p15"/>
    <w:basedOn w:val="1"/>
    <w:qFormat/>
    <w:uiPriority w:val="0"/>
    <w:pPr>
      <w:widowControl/>
      <w:spacing w:line="5280" w:lineRule="auto"/>
      <w:ind w:firstLine="482"/>
    </w:pPr>
    <w:rPr>
      <w:rFonts w:ascii="Times New Roman" w:hAnsi="Times New Roman" w:eastAsia="宋体" w:cs="Times New Roman"/>
      <w:kern w:val="0"/>
      <w:sz w:val="24"/>
      <w:szCs w:val="20"/>
    </w:rPr>
  </w:style>
  <w:style w:type="paragraph" w:customStyle="1" w:styleId="883">
    <w:name w:val="样式 标题 3标题 3 Char小节标题标题 一头条标题1.1.1小标题3h33rd levelH3l3...2"/>
    <w:basedOn w:val="5"/>
    <w:qFormat/>
    <w:uiPriority w:val="0"/>
    <w:pPr>
      <w:tabs>
        <w:tab w:val="left" w:pos="20"/>
        <w:tab w:val="clear" w:pos="720"/>
      </w:tabs>
      <w:adjustRightInd w:val="0"/>
      <w:snapToGrid w:val="0"/>
      <w:spacing w:before="0" w:after="0" w:line="360" w:lineRule="auto"/>
      <w:ind w:left="-351" w:hanging="709"/>
    </w:pPr>
    <w:rPr>
      <w:rFonts w:ascii="仿宋_GB2312" w:eastAsia="仿宋_GB2312"/>
      <w:color w:val="000000"/>
      <w:sz w:val="24"/>
      <w:szCs w:val="20"/>
    </w:rPr>
  </w:style>
  <w:style w:type="paragraph" w:customStyle="1" w:styleId="884">
    <w:name w:val="章节标题"/>
    <w:basedOn w:val="1"/>
    <w:qFormat/>
    <w:uiPriority w:val="0"/>
    <w:rPr>
      <w:rFonts w:ascii="Times New Roman" w:hAnsi="Times New Roman" w:eastAsia="宋体" w:cs="Times New Roman"/>
      <w:b/>
      <w:sz w:val="32"/>
      <w:szCs w:val="20"/>
    </w:rPr>
  </w:style>
  <w:style w:type="paragraph" w:customStyle="1" w:styleId="885">
    <w:name w:val="正式海油文字"/>
    <w:basedOn w:val="1"/>
    <w:qFormat/>
    <w:uiPriority w:val="0"/>
    <w:pPr>
      <w:adjustRightInd w:val="0"/>
      <w:snapToGrid w:val="0"/>
      <w:spacing w:line="500" w:lineRule="exact"/>
      <w:ind w:firstLine="200" w:firstLineChars="200"/>
      <w:jc w:val="left"/>
    </w:pPr>
    <w:rPr>
      <w:rFonts w:ascii="Times New Roman" w:hAnsi="Times New Roman" w:eastAsia="宋体" w:cs="Times New Roman"/>
      <w:color w:val="000000"/>
      <w:sz w:val="24"/>
      <w:szCs w:val="28"/>
    </w:rPr>
  </w:style>
  <w:style w:type="paragraph" w:customStyle="1" w:styleId="886">
    <w:name w:val="WPSOffice手动目录 1"/>
    <w:qFormat/>
    <w:uiPriority w:val="0"/>
    <w:rPr>
      <w:rFonts w:ascii="Calibri" w:hAnsi="Calibri" w:eastAsia="宋体" w:cs="Times New Roman"/>
      <w:kern w:val="0"/>
      <w:sz w:val="20"/>
      <w:szCs w:val="20"/>
      <w:lang w:val="en-US" w:eastAsia="zh-CN" w:bidi="ar-SA"/>
    </w:rPr>
  </w:style>
  <w:style w:type="paragraph" w:customStyle="1" w:styleId="887">
    <w:name w:val="修订2"/>
    <w:unhideWhenUsed/>
    <w:qFormat/>
    <w:uiPriority w:val="99"/>
    <w:rPr>
      <w:rFonts w:ascii="Times New Roman" w:hAnsi="Times New Roman" w:eastAsia="宋体" w:cs="Times New Roman"/>
      <w:kern w:val="2"/>
      <w:sz w:val="21"/>
      <w:szCs w:val="20"/>
      <w:lang w:val="en-US" w:eastAsia="zh-CN" w:bidi="ar-SA"/>
    </w:rPr>
  </w:style>
  <w:style w:type="paragraph" w:customStyle="1" w:styleId="888">
    <w:name w:val="reader-word-layer reader-word-s3-1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9">
    <w:name w:val="CYP样式"/>
    <w:basedOn w:val="1"/>
    <w:qFormat/>
    <w:uiPriority w:val="0"/>
    <w:rPr>
      <w:rFonts w:ascii="Times New Roman" w:hAnsi="Times New Roman" w:eastAsia="宋体" w:cs="Times New Roman"/>
      <w:sz w:val="24"/>
      <w:szCs w:val="20"/>
      <w:lang w:eastAsia="en-US"/>
    </w:rPr>
  </w:style>
  <w:style w:type="paragraph" w:customStyle="1" w:styleId="890">
    <w:name w:val="标准文本 首行缩进: 2 字符 行距: 单倍"/>
    <w:basedOn w:val="1"/>
    <w:qFormat/>
    <w:uiPriority w:val="0"/>
    <w:pPr>
      <w:widowControl/>
      <w:jc w:val="left"/>
    </w:pPr>
    <w:rPr>
      <w:rFonts w:ascii="Arial" w:hAnsi="Arial" w:eastAsia="宋体" w:cs="Arial"/>
      <w:kern w:val="0"/>
      <w:szCs w:val="21"/>
    </w:rPr>
  </w:style>
  <w:style w:type="paragraph" w:customStyle="1" w:styleId="891">
    <w:name w:val="reader-word-layer reader-word-s2-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2">
    <w:name w:val="样式 首行缩进:  2 字符"/>
    <w:basedOn w:val="1"/>
    <w:qFormat/>
    <w:uiPriority w:val="0"/>
    <w:pPr>
      <w:spacing w:line="360" w:lineRule="auto"/>
      <w:ind w:firstLine="480" w:firstLineChars="200"/>
    </w:pPr>
    <w:rPr>
      <w:rFonts w:ascii="Arial" w:hAnsi="Arial" w:eastAsia="宋体" w:cs="Times New Roman"/>
      <w:sz w:val="24"/>
      <w:szCs w:val="20"/>
    </w:rPr>
  </w:style>
  <w:style w:type="paragraph" w:customStyle="1" w:styleId="893">
    <w:name w:val="样式 标题 2标题 2 Char标题节标题节 Char Char标题 2 Char Char Char标题 2 Cha..."/>
    <w:basedOn w:val="4"/>
    <w:qFormat/>
    <w:uiPriority w:val="0"/>
    <w:pPr>
      <w:tabs>
        <w:tab w:val="left" w:pos="567"/>
        <w:tab w:val="clear" w:pos="576"/>
      </w:tabs>
      <w:spacing w:before="120" w:after="60" w:line="240" w:lineRule="auto"/>
      <w:ind w:left="0" w:firstLine="0"/>
    </w:pPr>
    <w:rPr>
      <w:rFonts w:ascii="黑体"/>
      <w:b w:val="0"/>
      <w:bCs w:val="0"/>
      <w:color w:val="000000"/>
      <w:sz w:val="28"/>
      <w:szCs w:val="20"/>
      <w:lang w:eastAsia="zh-CN"/>
    </w:rPr>
  </w:style>
  <w:style w:type="paragraph" w:customStyle="1" w:styleId="894">
    <w:name w:val="表格统一样式"/>
    <w:basedOn w:val="1"/>
    <w:qFormat/>
    <w:uiPriority w:val="0"/>
    <w:pPr>
      <w:widowControl/>
      <w:autoSpaceDE w:val="0"/>
      <w:autoSpaceDN w:val="0"/>
      <w:adjustRightInd w:val="0"/>
      <w:snapToGrid w:val="0"/>
      <w:jc w:val="center"/>
    </w:pPr>
    <w:rPr>
      <w:rFonts w:ascii="Arial" w:hAnsi="Arial" w:eastAsia="宋体" w:cs="Arial"/>
      <w:kern w:val="0"/>
      <w:szCs w:val="21"/>
    </w:rPr>
  </w:style>
  <w:style w:type="paragraph" w:customStyle="1" w:styleId="89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6">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7">
    <w:name w:val="五号正文"/>
    <w:basedOn w:val="1"/>
    <w:qFormat/>
    <w:uiPriority w:val="0"/>
    <w:pPr>
      <w:spacing w:line="420" w:lineRule="exact"/>
      <w:ind w:firstLine="420" w:firstLineChars="200"/>
    </w:pPr>
    <w:rPr>
      <w:rFonts w:ascii="Times New Roman" w:hAnsi="Times New Roman" w:eastAsia="宋体" w:cs="Times New Roman"/>
      <w:color w:val="000000"/>
      <w:kern w:val="0"/>
      <w:szCs w:val="21"/>
    </w:rPr>
  </w:style>
  <w:style w:type="paragraph" w:customStyle="1" w:styleId="898">
    <w:name w:val="reader-word-layer reader-word-s3-2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9">
    <w:name w:val="reader-word-layer reader-word-s5-1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0">
    <w:name w:val="修订3"/>
    <w:unhideWhenUsed/>
    <w:qFormat/>
    <w:uiPriority w:val="99"/>
    <w:rPr>
      <w:rFonts w:ascii="Times New Roman" w:hAnsi="Times New Roman" w:eastAsia="宋体" w:cs="Times New Roman"/>
      <w:kern w:val="2"/>
      <w:sz w:val="21"/>
      <w:szCs w:val="20"/>
      <w:lang w:val="en-US" w:eastAsia="zh-CN" w:bidi="ar-SA"/>
    </w:rPr>
  </w:style>
  <w:style w:type="paragraph" w:customStyle="1" w:styleId="901">
    <w:name w:val="修订5"/>
    <w:unhideWhenUsed/>
    <w:qFormat/>
    <w:uiPriority w:val="99"/>
    <w:rPr>
      <w:rFonts w:ascii="Times New Roman" w:hAnsi="Times New Roman" w:eastAsia="宋体" w:cs="Times New Roman"/>
      <w:kern w:val="2"/>
      <w:sz w:val="21"/>
      <w:szCs w:val="20"/>
      <w:lang w:val="en-US" w:eastAsia="zh-CN" w:bidi="ar-SA"/>
    </w:rPr>
  </w:style>
  <w:style w:type="character" w:customStyle="1" w:styleId="902">
    <w:name w:val="正文 缩进 Char"/>
    <w:link w:val="798"/>
    <w:qFormat/>
    <w:locked/>
    <w:uiPriority w:val="0"/>
    <w:rPr>
      <w:rFonts w:ascii="Times New Roman" w:hAnsi="Times New Roman" w:eastAsia="仿宋_GB2312" w:cs="Times New Roman"/>
      <w:kern w:val="0"/>
      <w:sz w:val="24"/>
      <w:szCs w:val="20"/>
    </w:rPr>
  </w:style>
  <w:style w:type="paragraph" w:customStyle="1" w:styleId="903">
    <w:name w:val="1.5号表格"/>
    <w:basedOn w:val="1"/>
    <w:qFormat/>
    <w:uiPriority w:val="0"/>
    <w:pPr>
      <w:jc w:val="center"/>
    </w:pPr>
    <w:rPr>
      <w:rFonts w:ascii="Times New Roman" w:hAnsi="Times New Roman" w:eastAsia="仿宋" w:cs="Times New Roman"/>
      <w:szCs w:val="21"/>
    </w:rPr>
  </w:style>
  <w:style w:type="character" w:customStyle="1" w:styleId="904">
    <w:name w:val="纯文本 Char1"/>
    <w:qFormat/>
    <w:uiPriority w:val="0"/>
    <w:rPr>
      <w:rFonts w:ascii="宋体" w:hAnsi="Courier New" w:eastAsia="宋体"/>
      <w:kern w:val="2"/>
      <w:sz w:val="21"/>
      <w:lang w:val="en-US" w:eastAsia="zh-CN"/>
    </w:rPr>
  </w:style>
  <w:style w:type="character" w:customStyle="1" w:styleId="905">
    <w:name w:val="正文文本缩进 Char"/>
    <w:qFormat/>
    <w:uiPriority w:val="0"/>
    <w:rPr>
      <w:rFonts w:eastAsia="宋体"/>
      <w:kern w:val="2"/>
      <w:sz w:val="28"/>
      <w:lang w:val="en-US" w:eastAsia="zh-CN" w:bidi="ar-SA"/>
    </w:rPr>
  </w:style>
  <w:style w:type="paragraph" w:customStyle="1" w:styleId="906">
    <w:name w:val="TOC Heading"/>
    <w:basedOn w:val="3"/>
    <w:next w:val="1"/>
    <w:semiHidden/>
    <w:unhideWhenUsed/>
    <w:qFormat/>
    <w:uiPriority w:val="39"/>
    <w:pPr>
      <w:widowControl/>
      <w:tabs>
        <w:tab w:val="clear" w:pos="432"/>
      </w:tabs>
      <w:spacing w:before="480" w:after="0" w:line="276" w:lineRule="auto"/>
      <w:ind w:left="0" w:firstLine="0"/>
      <w:jc w:val="left"/>
      <w:outlineLvl w:val="9"/>
    </w:pPr>
    <w:rPr>
      <w:rFonts w:ascii="Cambria" w:hAnsi="Cambria"/>
      <w:color w:val="365F91"/>
      <w:kern w:val="0"/>
      <w:sz w:val="28"/>
      <w:szCs w:val="28"/>
    </w:rPr>
  </w:style>
  <w:style w:type="character" w:customStyle="1" w:styleId="907">
    <w:name w:val="首行缩进两字 Char2"/>
    <w:qFormat/>
    <w:uiPriority w:val="0"/>
    <w:rPr>
      <w:rFonts w:eastAsia="宋体"/>
      <w:b/>
      <w:sz w:val="24"/>
      <w:lang w:val="en-US" w:eastAsia="zh-CN" w:bidi="ar-SA"/>
    </w:rPr>
  </w:style>
  <w:style w:type="character" w:customStyle="1" w:styleId="908">
    <w:name w:val="尾注文本 字符"/>
    <w:basedOn w:val="58"/>
    <w:semiHidden/>
    <w:qFormat/>
    <w:uiPriority w:val="99"/>
  </w:style>
  <w:style w:type="character" w:customStyle="1" w:styleId="909">
    <w:name w:val="尾注文本 Char"/>
    <w:link w:val="32"/>
    <w:qFormat/>
    <w:uiPriority w:val="0"/>
    <w:rPr>
      <w:rFonts w:ascii="Times New Roman" w:hAnsi="Times New Roman" w:eastAsia="宋体" w:cs="Times New Roman"/>
      <w:szCs w:val="20"/>
    </w:rPr>
  </w:style>
  <w:style w:type="paragraph" w:customStyle="1" w:styleId="910">
    <w:name w:val="环评表格样式"/>
    <w:basedOn w:val="1"/>
    <w:link w:val="911"/>
    <w:qFormat/>
    <w:uiPriority w:val="0"/>
    <w:pPr>
      <w:adjustRightInd w:val="0"/>
      <w:snapToGrid w:val="0"/>
      <w:ind w:left="420" w:right="210" w:rightChars="100" w:hanging="420"/>
      <w:jc w:val="center"/>
    </w:pPr>
    <w:rPr>
      <w:rFonts w:ascii="Times New Roman" w:hAnsi="Times New Roman" w:eastAsia="宋体" w:cs="Times New Roman"/>
      <w:b/>
      <w:bCs/>
      <w:kern w:val="0"/>
      <w:sz w:val="24"/>
      <w:szCs w:val="21"/>
    </w:rPr>
  </w:style>
  <w:style w:type="character" w:customStyle="1" w:styleId="911">
    <w:name w:val="环评表格样式 字符"/>
    <w:link w:val="910"/>
    <w:qFormat/>
    <w:uiPriority w:val="0"/>
    <w:rPr>
      <w:rFonts w:ascii="Times New Roman" w:hAnsi="Times New Roman" w:eastAsia="宋体" w:cs="Times New Roman"/>
      <w:b/>
      <w:bCs/>
      <w:kern w:val="0"/>
      <w:sz w:val="24"/>
      <w:szCs w:val="21"/>
    </w:rPr>
  </w:style>
  <w:style w:type="character" w:customStyle="1" w:styleId="912">
    <w:name w:val="未处理的提及2"/>
    <w:basedOn w:val="58"/>
    <w:semiHidden/>
    <w:unhideWhenUsed/>
    <w:qFormat/>
    <w:uiPriority w:val="99"/>
    <w:rPr>
      <w:color w:val="605E5C"/>
      <w:shd w:val="clear" w:color="auto" w:fill="E1DFDD"/>
    </w:rPr>
  </w:style>
  <w:style w:type="paragraph" w:customStyle="1" w:styleId="913">
    <w:name w:val="样式 样式 样式 纯文本 Char普通文字 Char普通文字 Char CharChar普通文字 Char Char Char ..."/>
    <w:basedOn w:val="1"/>
    <w:qFormat/>
    <w:uiPriority w:val="0"/>
    <w:pPr>
      <w:spacing w:line="360" w:lineRule="auto"/>
      <w:ind w:firstLine="480" w:firstLineChars="200"/>
    </w:pPr>
    <w:rPr>
      <w:rFonts w:ascii="Arial" w:hAnsi="Arial" w:eastAsia="宋体" w:cs="宋体"/>
      <w:sz w:val="24"/>
      <w:szCs w:val="20"/>
    </w:rPr>
  </w:style>
  <w:style w:type="character" w:customStyle="1" w:styleId="914">
    <w:name w:val="未处理的提及3"/>
    <w:basedOn w:val="58"/>
    <w:semiHidden/>
    <w:unhideWhenUsed/>
    <w:qFormat/>
    <w:uiPriority w:val="99"/>
    <w:rPr>
      <w:color w:val="605E5C"/>
      <w:shd w:val="clear" w:color="auto" w:fill="E1DFDD"/>
    </w:rPr>
  </w:style>
  <w:style w:type="paragraph" w:customStyle="1" w:styleId="915">
    <w:name w:val="Other|1"/>
    <w:basedOn w:val="1"/>
    <w:qFormat/>
    <w:uiPriority w:val="0"/>
    <w:pPr>
      <w:spacing w:line="437" w:lineRule="auto"/>
      <w:ind w:firstLine="340"/>
      <w:jc w:val="left"/>
    </w:pPr>
    <w:rPr>
      <w:rFonts w:ascii="宋体" w:hAnsi="宋体" w:eastAsia="宋体" w:cs="宋体"/>
      <w:color w:val="000000"/>
      <w:kern w:val="0"/>
      <w:sz w:val="30"/>
      <w:szCs w:val="30"/>
      <w:lang w:val="zh-TW" w:eastAsia="zh-TW" w:bidi="zh-TW"/>
    </w:rPr>
  </w:style>
  <w:style w:type="table" w:customStyle="1" w:styleId="916">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91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0" Type="http://schemas.openxmlformats.org/officeDocument/2006/relationships/fontTable" Target="fontTable.xml"/><Relationship Id="rId8" Type="http://schemas.openxmlformats.org/officeDocument/2006/relationships/header" Target="header4.xml"/><Relationship Id="rId79" Type="http://schemas.openxmlformats.org/officeDocument/2006/relationships/customXml" Target="../customXml/item2.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24.png"/><Relationship Id="rId75" Type="http://schemas.openxmlformats.org/officeDocument/2006/relationships/image" Target="media/image23.wmf"/><Relationship Id="rId74" Type="http://schemas.openxmlformats.org/officeDocument/2006/relationships/oleObject" Target="embeddings/oleObject20.bin"/><Relationship Id="rId73" Type="http://schemas.openxmlformats.org/officeDocument/2006/relationships/image" Target="media/image22.wmf"/><Relationship Id="rId72" Type="http://schemas.openxmlformats.org/officeDocument/2006/relationships/oleObject" Target="embeddings/oleObject19.bin"/><Relationship Id="rId71" Type="http://schemas.openxmlformats.org/officeDocument/2006/relationships/image" Target="media/image21.wmf"/><Relationship Id="rId70" Type="http://schemas.openxmlformats.org/officeDocument/2006/relationships/oleObject" Target="embeddings/oleObject18.bin"/><Relationship Id="rId7" Type="http://schemas.openxmlformats.org/officeDocument/2006/relationships/footer" Target="footer2.xml"/><Relationship Id="rId69" Type="http://schemas.openxmlformats.org/officeDocument/2006/relationships/image" Target="media/image20.wmf"/><Relationship Id="rId68" Type="http://schemas.openxmlformats.org/officeDocument/2006/relationships/oleObject" Target="embeddings/oleObject17.bin"/><Relationship Id="rId67" Type="http://schemas.openxmlformats.org/officeDocument/2006/relationships/image" Target="media/image19.wmf"/><Relationship Id="rId66" Type="http://schemas.openxmlformats.org/officeDocument/2006/relationships/oleObject" Target="embeddings/oleObject16.bin"/><Relationship Id="rId65" Type="http://schemas.openxmlformats.org/officeDocument/2006/relationships/image" Target="media/image18.wmf"/><Relationship Id="rId64" Type="http://schemas.openxmlformats.org/officeDocument/2006/relationships/oleObject" Target="embeddings/oleObject15.bin"/><Relationship Id="rId63" Type="http://schemas.openxmlformats.org/officeDocument/2006/relationships/image" Target="media/image17.wmf"/><Relationship Id="rId62" Type="http://schemas.openxmlformats.org/officeDocument/2006/relationships/oleObject" Target="embeddings/oleObject14.bin"/><Relationship Id="rId61" Type="http://schemas.openxmlformats.org/officeDocument/2006/relationships/image" Target="media/image16.wmf"/><Relationship Id="rId60" Type="http://schemas.openxmlformats.org/officeDocument/2006/relationships/oleObject" Target="embeddings/oleObject13.bin"/><Relationship Id="rId6" Type="http://schemas.openxmlformats.org/officeDocument/2006/relationships/header" Target="header3.xml"/><Relationship Id="rId59" Type="http://schemas.openxmlformats.org/officeDocument/2006/relationships/image" Target="media/image15.wmf"/><Relationship Id="rId58" Type="http://schemas.openxmlformats.org/officeDocument/2006/relationships/oleObject" Target="embeddings/oleObject12.bin"/><Relationship Id="rId57" Type="http://schemas.openxmlformats.org/officeDocument/2006/relationships/image" Target="media/image14.wmf"/><Relationship Id="rId56" Type="http://schemas.openxmlformats.org/officeDocument/2006/relationships/oleObject" Target="embeddings/oleObject11.bin"/><Relationship Id="rId55" Type="http://schemas.openxmlformats.org/officeDocument/2006/relationships/image" Target="media/image13.wmf"/><Relationship Id="rId54" Type="http://schemas.openxmlformats.org/officeDocument/2006/relationships/oleObject" Target="embeddings/oleObject10.bin"/><Relationship Id="rId53" Type="http://schemas.openxmlformats.org/officeDocument/2006/relationships/image" Target="media/image12.wmf"/><Relationship Id="rId52" Type="http://schemas.openxmlformats.org/officeDocument/2006/relationships/oleObject" Target="embeddings/oleObject9.bin"/><Relationship Id="rId51" Type="http://schemas.openxmlformats.org/officeDocument/2006/relationships/image" Target="media/image11.wmf"/><Relationship Id="rId50" Type="http://schemas.openxmlformats.org/officeDocument/2006/relationships/oleObject" Target="embeddings/oleObject8.bin"/><Relationship Id="rId5" Type="http://schemas.openxmlformats.org/officeDocument/2006/relationships/footer" Target="footer1.xml"/><Relationship Id="rId49" Type="http://schemas.openxmlformats.org/officeDocument/2006/relationships/image" Target="media/image10.wmf"/><Relationship Id="rId48" Type="http://schemas.openxmlformats.org/officeDocument/2006/relationships/oleObject" Target="embeddings/oleObject7.bin"/><Relationship Id="rId47" Type="http://schemas.openxmlformats.org/officeDocument/2006/relationships/image" Target="media/image9.wmf"/><Relationship Id="rId46" Type="http://schemas.openxmlformats.org/officeDocument/2006/relationships/oleObject" Target="embeddings/oleObject6.bin"/><Relationship Id="rId45" Type="http://schemas.openxmlformats.org/officeDocument/2006/relationships/image" Target="media/image8.wmf"/><Relationship Id="rId44" Type="http://schemas.openxmlformats.org/officeDocument/2006/relationships/oleObject" Target="embeddings/oleObject5.bin"/><Relationship Id="rId43" Type="http://schemas.openxmlformats.org/officeDocument/2006/relationships/image" Target="media/image7.wmf"/><Relationship Id="rId42" Type="http://schemas.openxmlformats.org/officeDocument/2006/relationships/oleObject" Target="embeddings/oleObject4.bin"/><Relationship Id="rId41" Type="http://schemas.openxmlformats.org/officeDocument/2006/relationships/image" Target="media/image6.wmf"/><Relationship Id="rId40" Type="http://schemas.openxmlformats.org/officeDocument/2006/relationships/oleObject" Target="embeddings/oleObject3.bin"/><Relationship Id="rId4" Type="http://schemas.openxmlformats.org/officeDocument/2006/relationships/header" Target="header2.xml"/><Relationship Id="rId39" Type="http://schemas.openxmlformats.org/officeDocument/2006/relationships/image" Target="media/image5.wmf"/><Relationship Id="rId38" Type="http://schemas.openxmlformats.org/officeDocument/2006/relationships/oleObject" Target="embeddings/oleObject2.bin"/><Relationship Id="rId37" Type="http://schemas.openxmlformats.org/officeDocument/2006/relationships/image" Target="media/image4.png"/><Relationship Id="rId36" Type="http://schemas.openxmlformats.org/officeDocument/2006/relationships/image" Target="media/image3.emf"/><Relationship Id="rId35" Type="http://schemas.openxmlformats.org/officeDocument/2006/relationships/oleObject" Target="embeddings/oleObject1.bin"/><Relationship Id="rId34" Type="http://schemas.openxmlformats.org/officeDocument/2006/relationships/image" Target="media/image2.jpeg"/><Relationship Id="rId33" Type="http://schemas.openxmlformats.org/officeDocument/2006/relationships/image" Target="media/image1.png"/><Relationship Id="rId32" Type="http://schemas.openxmlformats.org/officeDocument/2006/relationships/theme" Target="theme/theme1.xml"/><Relationship Id="rId31" Type="http://schemas.openxmlformats.org/officeDocument/2006/relationships/header" Target="header25.xml"/><Relationship Id="rId30" Type="http://schemas.openxmlformats.org/officeDocument/2006/relationships/header" Target="header24.xml"/><Relationship Id="rId3" Type="http://schemas.openxmlformats.org/officeDocument/2006/relationships/header" Target="header1.xml"/><Relationship Id="rId29" Type="http://schemas.openxmlformats.org/officeDocument/2006/relationships/header" Target="header23.xml"/><Relationship Id="rId28" Type="http://schemas.openxmlformats.org/officeDocument/2006/relationships/header" Target="header22.xml"/><Relationship Id="rId27" Type="http://schemas.openxmlformats.org/officeDocument/2006/relationships/header" Target="header21.xml"/><Relationship Id="rId26" Type="http://schemas.openxmlformats.org/officeDocument/2006/relationships/header" Target="header20.xml"/><Relationship Id="rId25" Type="http://schemas.openxmlformats.org/officeDocument/2006/relationships/header" Target="header19.xml"/><Relationship Id="rId24" Type="http://schemas.openxmlformats.org/officeDocument/2006/relationships/footer" Target="footer4.xml"/><Relationship Id="rId23" Type="http://schemas.openxmlformats.org/officeDocument/2006/relationships/header" Target="header18.xml"/><Relationship Id="rId22" Type="http://schemas.openxmlformats.org/officeDocument/2006/relationships/header" Target="header17.xml"/><Relationship Id="rId21" Type="http://schemas.openxmlformats.org/officeDocument/2006/relationships/header" Target="header16.xml"/><Relationship Id="rId20" Type="http://schemas.openxmlformats.org/officeDocument/2006/relationships/header" Target="header15.xml"/><Relationship Id="rId2" Type="http://schemas.openxmlformats.org/officeDocument/2006/relationships/settings" Target="settings.xml"/><Relationship Id="rId19" Type="http://schemas.openxmlformats.org/officeDocument/2006/relationships/header" Target="header14.xml"/><Relationship Id="rId18" Type="http://schemas.openxmlformats.org/officeDocument/2006/relationships/header" Target="header13.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A01A8F-F3FD-4988-AFAC-AE599166732F}">
  <ds:schemaRefs/>
</ds:datastoreItem>
</file>

<file path=docProps/app.xml><?xml version="1.0" encoding="utf-8"?>
<Properties xmlns="http://schemas.openxmlformats.org/officeDocument/2006/extended-properties" xmlns:vt="http://schemas.openxmlformats.org/officeDocument/2006/docPropsVTypes">
  <Template>Normal</Template>
  <Pages>77</Pages>
  <Words>3891</Words>
  <Characters>4301</Characters>
  <Lines>1</Lines>
  <Paragraphs>1</Paragraphs>
  <TotalTime>2569</TotalTime>
  <ScaleCrop>false</ScaleCrop>
  <LinksUpToDate>false</LinksUpToDate>
  <CharactersWithSpaces>4319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2023-05-05T02:44:00Z</dcterms:created>
  <dc:creator>孙临</dc:creator>
  <cp:lastModifiedBy>不会跑的花椰菜丶</cp:lastModifiedBy>
  <cp:lastPrinted>2023-08-23T06:01:00Z</cp:lastPrinted>
  <dcterms:modified xsi:type="dcterms:W3CDTF">2026-09-10T07:02:50Z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eyJoZGlkIjoiMzEwNTM5NzYwMDRjMzkwZTVkZjY2ODkwMGIxNGU0OTUiLCJ1c2VySWQiOiIzMjc4MDM4MzAifQ==</vt:lpwstr>
  </property>
  <property fmtid="{D5CDD505-2E9C-101B-9397-08002B2CF9AE}" pid="3" name="KSOProductBuildVer">
    <vt:lpwstr>2052-12.1.0.28505</vt:lpwstr>
  </property>
  <property fmtid="{D5CDD505-2E9C-101B-9397-08002B2CF9AE}" pid="4" name="ICV">
    <vt:lpwstr>F5EEE1AB9FF44341A373E2D55998FA04_13</vt:lpwstr>
  </property>
</Properties>
</file>